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before="120" w:beforeLines="50" w:after="0" w:afterLines="0" w:line="596" w:lineRule="exact"/>
        <w:jc w:val="center"/>
        <w:outlineLvl w:val="0"/>
        <w:rPr>
          <w:rFonts w:hint="eastAsia"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“十四五”时期湖南省农业水价综合改革总任务</w:t>
      </w:r>
    </w:p>
    <w:p>
      <w:pPr>
        <w:adjustRightInd w:val="0"/>
        <w:snapToGrid w:val="0"/>
        <w:spacing w:before="0" w:beforeLines="0" w:after="0" w:afterLines="0" w:line="400" w:lineRule="exact"/>
        <w:ind w:right="275" w:rightChars="131"/>
        <w:jc w:val="right"/>
        <w:outlineLvl w:val="0"/>
        <w:rPr>
          <w:rFonts w:ascii="宋体" w:hAnsi="宋体" w:eastAsia="宋体"/>
          <w:bCs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/>
          <w:bCs/>
          <w:color w:val="000000"/>
          <w:sz w:val="22"/>
          <w:szCs w:val="22"/>
          <w:lang w:bidi="ar"/>
        </w:rPr>
        <w:t>单位：</w:t>
      </w:r>
      <w:r>
        <w:rPr>
          <w:rFonts w:ascii="宋体" w:hAnsi="宋体" w:eastAsia="宋体"/>
          <w:bCs/>
          <w:color w:val="000000"/>
          <w:sz w:val="22"/>
          <w:szCs w:val="22"/>
          <w:lang w:bidi="ar"/>
        </w:rPr>
        <w:t>万亩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2551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Header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sz w:val="22"/>
                <w:szCs w:val="22"/>
                <w:lang w:bidi="ar"/>
              </w:rPr>
              <w:t>地级行政区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sz w:val="22"/>
                <w:szCs w:val="22"/>
                <w:lang w:bidi="ar"/>
              </w:rPr>
              <w:t>县级行政区</w:t>
            </w:r>
          </w:p>
        </w:tc>
        <w:tc>
          <w:tcPr>
            <w:tcW w:w="3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sz w:val="22"/>
                <w:szCs w:val="22"/>
                <w:lang w:bidi="ar"/>
              </w:rPr>
              <w:t>2021—2025年改革总面积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Header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湖南省合计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3455.00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长沙市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255.74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长沙市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岳麓区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开福区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望城区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长沙县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62.04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宁乡市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78.20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浏阳市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64.62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株洲市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194.04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株洲市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荷塘区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芦淞区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石峰区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天元区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8.61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渌口区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攸县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茶陵县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29.61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炎陵县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17.38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醴陵市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57.79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湘潭市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169.58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湘潭市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雨湖区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16.66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岳塘区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湘潭县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80.71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湘乡市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韶山市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衡阳市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331.42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衡阳市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珠晖区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雁峰区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石鼓区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蒸湘区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0.53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南岳区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衡阳市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衡阳县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57.67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衡南县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62.58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衡山县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衡东县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30.81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祁东县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49.27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耒阳市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50.56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常宁市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邵阳市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345.51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邵阳市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双清区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大祥区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北塔区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邵东市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32.96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新邵县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邵阳县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56.41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隆回县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53.19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洞口县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绥宁县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22.29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新宁县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城步县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16.08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武冈市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44.09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岳阳市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342.40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岳阳市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岳阳楼区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11.63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云溪区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8.19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君山区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24.57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岳阳县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34.84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华容县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湘阴县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46.38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平江县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49.89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汨罗市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临湘市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45.95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常德市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510.60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常德市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武陵区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7.71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鼎城区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98.53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安乡县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40.46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汉寿县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101.69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常德市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澧县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64.41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临澧县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47.87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桃源县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92.48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石门县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44.06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津市市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13.39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张家界市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52.43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张家界市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永定区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11.69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武陵源区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0.56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慈利县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27.06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桑植县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13.12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益阳市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250.90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益阳市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资阳区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25.73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赫山区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52.77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南县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67.44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桃江县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46.09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安化县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31.51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沅江市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郴州市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188.37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郴州市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北湖区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苏仙区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14.26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桂阳县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宜章县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永兴县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16.03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嘉禾县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12.82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临武县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12.01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汝城县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18.84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桂东县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9.75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安仁县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20.87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资兴市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17.42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永州市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324.87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永州市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零陵区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34.22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冷水滩区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24.58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祁阳县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55.64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东安县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44.81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双牌县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永州市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道县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江永县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11.12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宁远县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44.03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蓝山县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新田县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8.34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江华县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24.76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怀化市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207.62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怀化市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鹤城区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6.16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中方县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12.12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沅陵县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22.28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辰溪县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溆浦县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32.83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会同县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16.98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麻阳县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14.78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新晃县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10.53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芷江县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17.22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靖州县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21.71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通道县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14.32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洪江市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19.56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洪江区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娄底市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99.17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娄底市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娄星区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5.29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双峰县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33.67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新化县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24.72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冷水江市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涟源市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30.64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湘西州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184.65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湘西自治州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吉首市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泸溪县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22.16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凤凰县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31.47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花垣县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保靖县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古丈县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11.51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永顺县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36.59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1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龙山县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27.78 </w:t>
            </w:r>
          </w:p>
        </w:tc>
      </w:tr>
    </w:tbl>
    <w:p>
      <w:pPr>
        <w:pStyle w:val="5"/>
        <w:shd w:val="clear" w:color="auto" w:fill="auto"/>
        <w:adjustRightInd w:val="0"/>
        <w:snapToGrid w:val="0"/>
        <w:spacing w:line="400" w:lineRule="exact"/>
        <w:jc w:val="left"/>
        <w:outlineLvl w:val="0"/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  <w:t>附件2</w:t>
      </w:r>
    </w:p>
    <w:p>
      <w:pPr>
        <w:pStyle w:val="5"/>
        <w:shd w:val="clear" w:color="auto" w:fill="auto"/>
        <w:adjustRightInd w:val="0"/>
        <w:snapToGrid w:val="0"/>
        <w:spacing w:before="120" w:beforeLines="50" w:after="120" w:afterLines="50" w:line="500" w:lineRule="exact"/>
        <w:jc w:val="center"/>
        <w:outlineLvl w:val="0"/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湖南省2021年农业水价综合改革增量面积任务</w:t>
      </w:r>
    </w:p>
    <w:p>
      <w:pPr>
        <w:pStyle w:val="5"/>
        <w:shd w:val="clear" w:color="auto" w:fill="auto"/>
        <w:adjustRightInd w:val="0"/>
        <w:snapToGrid w:val="0"/>
        <w:spacing w:line="400" w:lineRule="exact"/>
        <w:jc w:val="right"/>
        <w:outlineLvl w:val="0"/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  <w:t>单位：万亩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67"/>
        <w:gridCol w:w="1052"/>
        <w:gridCol w:w="1415"/>
        <w:gridCol w:w="1052"/>
        <w:gridCol w:w="1358"/>
        <w:gridCol w:w="1340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地级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县级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</w:t>
            </w:r>
            <w:r>
              <w:rPr>
                <w:rFonts w:eastAsia="黑体"/>
                <w:color w:val="000000"/>
                <w:kern w:val="0"/>
                <w:sz w:val="24"/>
              </w:rPr>
              <w:t>年新增改革实施面积</w:t>
            </w:r>
          </w:p>
        </w:tc>
        <w:tc>
          <w:tcPr>
            <w:tcW w:w="6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其中</w:t>
            </w:r>
            <w:r>
              <w:rPr>
                <w:color w:val="000000"/>
                <w:kern w:val="0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大中型灌排工程建设改革面积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高标准农田改革面积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高效节水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灌溉项目区改革面积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国家现代产业园改革面积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其他改革面积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湖南省合计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481.01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178.99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277.07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24.95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8" w:firstLineChars="49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长沙市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28.12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14.88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11.47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望城区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3.81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1.92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2.24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宁乡市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7.06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4.72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浏阳市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14.45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11.58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2.59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48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株洲市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25.43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11.47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13.05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0.91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株洲市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天元区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1.47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1.47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渌口区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1.74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攸县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3.95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茶陵县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炎陵县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0.99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醴陵市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14.76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4.48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湘潭市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14.5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5.44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8.58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雨湖区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湘潭县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6.11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4.63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湘乡市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7.78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4.15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3.44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韶山市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0.15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衡阳市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50.38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10.89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33.93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5.56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珠晖区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石鼓区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蒸湘区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南岳区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6.7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6.24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衡南县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8.05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6.57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1.48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衡山县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衡东县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3.89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3.52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祁东县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6.91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4.75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耒阳市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6.06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5.23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常宁市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15.09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9.66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4.97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邵阳市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47.86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12.23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34.11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1.52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双清区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大祥区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0.74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北塔区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0.23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邵东市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8.83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2.23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6.32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新邵县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4.03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3.34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4.64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4.16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隆回县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13.26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3.96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洞口县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5.45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5.17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绥宁县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2.21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2.21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新宁县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3.06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城步县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1.74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武冈市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2.89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岳阳市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36.89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12.97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22.24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岳阳楼区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0.33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云溪区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君山区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6.34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2.38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3.96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华容县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10.86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5.55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5.12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湘阴县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1.81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2.15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平江县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汨罗市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6.08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3.23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2.85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临湘市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常德市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69.14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32.39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33.64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3.11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武陵区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0.68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鼎城区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16.06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10.82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4.82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安乡县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3.48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汉寿县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6.41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1.77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4.18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澧县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19.93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13.69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5.31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临澧县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3.87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3.09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桃源县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8.96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石门县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3.34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3.15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津市市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0.54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柳叶湖区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张家界市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19.4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8.1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张家界市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永定区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武陵源区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慈利县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桑植县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2.46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2.33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益阳市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35.66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17.18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17.56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0.92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益阳市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资阳区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0.99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赫山区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3.15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4.31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桃江县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14.73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10.38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3.89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安化县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8.22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5.5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2.72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沅江市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2.68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2.59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郴州市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38.29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16.76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20.63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北湖区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1.62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苏仙区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2.14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桂阳县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6.53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1.31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5.17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宜章县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1.72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1.65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永兴县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11.95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嘉禾县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1.69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临武县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1.67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1.62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汝城县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2.05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桂东县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1.23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1.16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安仁县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资兴市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3.64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1.69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永州市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52.4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21.01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26.25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5.14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零陵区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13.53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10.21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2.86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冷水滩区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2.36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2.03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祁阳县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5.21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4.43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东安县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3.65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3.37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双牌县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1.74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1.07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道县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6.74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2.16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3.86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江永县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2.72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1.79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宁远县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4.09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蓝山县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新田县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1.48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江华县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怀化市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22.72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0.72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鹤城区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中方县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1.69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沅陵县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辰溪县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1.82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1.82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溆浦县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3.44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会同县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麻阳县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1.63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新晃县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1.57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芷江县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1.95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靖州县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1.55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1.36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通道县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1.59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洪江市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洪江区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娄底市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15.32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3.07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11.84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娄底市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娄星区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双峰县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5.09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1.51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3.58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新化县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3.36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3.04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冷水江市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1.79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1.13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4.01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3.92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湘西自治州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24.9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13.67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湘西州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吉首市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泸溪县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凤凰县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2.01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花垣县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6.33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2.33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保靖县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古丈县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1.06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永顺县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1.88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龙山县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2.46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rPr>
          <w:rFonts w:eastAsia="黑体"/>
          <w:color w:val="000000"/>
          <w:sz w:val="32"/>
          <w:szCs w:val="32"/>
        </w:rPr>
      </w:pPr>
    </w:p>
    <w:p>
      <w:pPr>
        <w:widowControl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eastAsia="仿宋_GB2312"/>
          <w:color w:val="000000"/>
          <w:sz w:val="32"/>
          <w:szCs w:val="32"/>
        </w:rPr>
        <w:t>附件3</w:t>
      </w:r>
    </w:p>
    <w:p>
      <w:pPr>
        <w:pStyle w:val="5"/>
        <w:shd w:val="clear" w:color="auto" w:fill="auto"/>
        <w:adjustRightInd w:val="0"/>
        <w:snapToGrid w:val="0"/>
        <w:spacing w:line="596" w:lineRule="exact"/>
        <w:jc w:val="center"/>
        <w:outlineLvl w:val="0"/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示范县2021—2022年农业水价综合改革</w:t>
      </w:r>
    </w:p>
    <w:p>
      <w:pPr>
        <w:pStyle w:val="5"/>
        <w:shd w:val="clear" w:color="auto" w:fill="auto"/>
        <w:adjustRightInd w:val="0"/>
        <w:snapToGrid w:val="0"/>
        <w:spacing w:line="596" w:lineRule="exact"/>
        <w:jc w:val="center"/>
        <w:outlineLvl w:val="0"/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存量面积任务</w:t>
      </w:r>
    </w:p>
    <w:p>
      <w:pPr>
        <w:pStyle w:val="5"/>
        <w:shd w:val="clear" w:color="auto" w:fill="auto"/>
        <w:adjustRightInd w:val="0"/>
        <w:snapToGrid w:val="0"/>
        <w:spacing w:line="416" w:lineRule="exact"/>
        <w:ind w:right="480"/>
        <w:jc w:val="right"/>
        <w:outlineLvl w:val="0"/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/>
          <w:kern w:val="0"/>
          <w:sz w:val="24"/>
          <w:szCs w:val="24"/>
        </w:rPr>
        <w:t xml:space="preserve">                                               单位：万亩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07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示范县名称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涉及灌区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存量农田改革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宁乡市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黄材灌区、田坪灌区、洞庭桥灌区、大石魁灌区、孙家埠头灌区、四清坝灌区、黄土潭灌区、金河灌区、铁冲灌区、俄山坝灌区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  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酒埠江灌区、苏州坝灌区、老虎岩灌区、凉江灌区、皮佳如灌区、三星坝灌区、张家冲水库灌区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韶山灌区、花石水库灌区、上石坝水库灌区、石坝口水库灌区、中路铺水库灌区、印子山水库灌区、湾东港灌区、吟江河坝灌区、南田水库灌区、紫荆山水库灌区、涟家港电灌灌区、东风水库灌区、铜梁水库灌区、桅杆岭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衡南县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欧阳海灌区、双板桥灌区、斗山桥灌区、栗江电灌灌区、龙溪桥灌区、新塘电灌站灌区、相市灌区、三口桥水库灌区、卫星水库灌区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邵东市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三都灌区、上沙江灌区、流光岭灌区、黄家坝灌区、同乐坪灌区、马皇冲灌区、天台山灌区、炉前灌区、神前洞灌区、邵水灌区、电灌站灌区、封江坝灌区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spacing w:line="38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铁山灌区、大坳灌区、岳坊灌区、中洲垸灌区、白洋水库灌区、荣湾水库灌区、百花台水库灌区、南源水库灌区、楠木水库灌区、香严水库灌区、蓄水湖灌区、朱仑水库灌区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湖灌区、岩马灌区、捶鼓仑坝灌区、王家湾水库灌区、肖家冲水库灌区、戴家湾灌区、龙潭水库灌区、洪福水库灌区、喉咙管水库灌区、夹山口水库灌区、江东市水库灌区、荆竹界水库灌区、九岗冲水库灌区、莲荷塘水库灌区、林家冲水库灌区、柳溪水库灌区、仁如冲水库灌区、盘湖碈灌区、清水坝水库灌区、龙池湖灌区、粟家坝灌区、王九冲水库灌区、围堤湖灌区、颜家庙水库灌区、斋家冲水库灌区、东洲灌区、西洲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张家界灌区、岩泊渡灌区、胜天水库灌区、峪塔水库灌区、碗田水库灌区、甘堰灌区、宜冲桥灌区、广福桥灌区、白洋峪水库灌区、许家坊灌区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  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河坝镇灌区、千山红镇灌区、金盆镇灌区、平福灌区、唐家湾灌区、钟家嘴灌区、八一灌区、长春灌区、苏河灌区、北洲子镇灌区、白马圻灌区、长胜灌区、北河口灌区、德和灌区、杨泗庙灌区、德胜港灌区、复兴港灌区、厂窖灌区、莲子港灌区、明山灌区、三仙湖灌区、下柴灌区、游港灌区、富民灌区、西河灌区、中鱼口灌区、哑吧渡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青山垅灌区、黄口堰灌区、便江电灌站灌区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水市水库灌区、双龙水库灌区、凤仙桥水库灌区、半山水库灌区、永佳水库灌区、仁和坝河坝灌区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溆水灌区、紫荆灌区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白马灌区、南冲灌区、群力灌区、燕霄灌区、千金灌区、曲江坝灌区、树山灌区、江边灌区、水口庙灌区、峡山塘灌区、宣丰山灌区、龙潭脑灌区、四方井灌区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保靖县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酉水灌区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4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440.11</w:t>
            </w:r>
          </w:p>
        </w:tc>
      </w:tr>
    </w:tbl>
    <w:p>
      <w:pPr>
        <w:widowControl/>
        <w:spacing w:before="120" w:beforeLines="50"/>
        <w:ind w:firstLine="210" w:firstLineChars="100"/>
        <w:jc w:val="left"/>
        <w:rPr>
          <w:bCs/>
          <w:color w:val="000000"/>
          <w:szCs w:val="21"/>
          <w:lang w:bidi="ar"/>
        </w:rPr>
        <w:sectPr>
          <w:footerReference r:id="rId3" w:type="default"/>
          <w:footerReference r:id="rId4" w:type="even"/>
          <w:pgSz w:w="11900" w:h="16840"/>
          <w:pgMar w:top="1871" w:right="1531" w:bottom="1531" w:left="1588" w:header="851" w:footer="1304" w:gutter="0"/>
          <w:cols w:space="720" w:num="1"/>
          <w:docGrid w:linePitch="360" w:charSpace="0"/>
        </w:sectPr>
      </w:pPr>
      <w:r>
        <w:rPr>
          <w:bCs/>
          <w:color w:val="000000"/>
          <w:szCs w:val="21"/>
          <w:lang w:bidi="ar"/>
        </w:rPr>
        <w:t>注：以2011—2019年已建高标准农田面积为基数</w:t>
      </w:r>
    </w:p>
    <w:p>
      <w:pPr>
        <w:pStyle w:val="6"/>
        <w:shd w:val="clear" w:color="auto" w:fill="auto"/>
        <w:adjustRightInd w:val="0"/>
        <w:snapToGrid w:val="0"/>
        <w:spacing w:before="0" w:after="0" w:line="500" w:lineRule="exact"/>
        <w:jc w:val="left"/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附件4</w:t>
      </w:r>
    </w:p>
    <w:p>
      <w:pPr>
        <w:pStyle w:val="6"/>
        <w:shd w:val="clear" w:color="auto" w:fill="auto"/>
        <w:adjustRightInd w:val="0"/>
        <w:snapToGrid w:val="0"/>
        <w:spacing w:before="156" w:beforeLines="50" w:after="156" w:afterLines="50" w:line="596" w:lineRule="exact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  <w:lang w:bidi="en-US"/>
        </w:rPr>
      </w:pPr>
      <w:r>
        <w:rPr>
          <w:rFonts w:ascii="Times New Roman" w:hAnsi="Times New Roman" w:eastAsia="方正小标宋简体" w:cs="Times New Roman"/>
          <w:color w:val="000000"/>
          <w:spacing w:val="0"/>
          <w:kern w:val="0"/>
          <w:sz w:val="36"/>
          <w:szCs w:val="36"/>
          <w:lang w:bidi="ar"/>
        </w:rPr>
        <w:t>湖南省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spacing w:val="0"/>
          <w:kern w:val="0"/>
          <w:sz w:val="36"/>
          <w:szCs w:val="36"/>
          <w:lang w:bidi="ar"/>
        </w:rPr>
        <w:t>农业水价综合改革工作技术规范要求</w:t>
      </w:r>
      <w: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  <w:lang w:bidi="en-US"/>
        </w:rPr>
        <w:t>（试行）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699"/>
        <w:gridCol w:w="701"/>
        <w:gridCol w:w="2068"/>
        <w:gridCol w:w="4695"/>
        <w:gridCol w:w="3638"/>
        <w:gridCol w:w="2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内   容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主要工作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标    准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组织领导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健全领导机制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成立市县改革领导小组或建立联席会议制度；定期召开领导小组会或联席会议。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政府出台相关文件或会议纪要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可参考省级层面制定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制定实施方案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市县级人民政府制定《农业水价综合改革实施方案》，制订年度实施方案或实施计划。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出台实施方案及批复文件和年度实施计划文件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实施方案必须包含：计量配置、四项机制建立，细化到具体村、灌区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核定改革范围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对照省级核定的有效灌溉面积，按照“应改尽改”的原则科学核定改革范围。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建立改革台账，落实到具体地块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全面完成省下达的改革面积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强化考核督导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建立考核督导机制；组织推进会、培训等；加强督查检查调研等。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出台评价考核机制文件，相关材料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年度督导不少于4次，年度培训不少于1次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四个机制建立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农业水价形成机制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出台水价核定办法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制定县级农业水价核定办法；明确超定额累进加价制度。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制定并出台县级农业用水价格管理办法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可参考省级层面制定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科学核算农业水价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完成大中型灌区和末级渠系的农业供水成本核算；提出反映大中型灌区和末级渠系运行维护成本的建议水价。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形成成本核算或成本监审结论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出台县级指导价格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出台县级农业用水指导价，并且达到运行维护成本。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制定并出台达到运行成本的核价文件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合理确定执行水价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按照县级农业用水指导价确定执行水价，协商定价程序规范。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根据核价文件确定并公示实际执行水价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四个机制建立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精准补贴和节水奖励机制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出台精准补贴和节水奖励办法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县级出台农业用水精准补贴和节水奖励办法。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制定相关制度和办法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可参考省级层面制定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落实水价改革奖补资金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建立财政预算安排长效机制；市、县财政安排精准补贴和节水奖励资金，并及时拨付到位。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安排相关奖补资金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规范资金使用管理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农业水价综合改革补助资金使用合理、合规。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落实《湖南省水利发展资金管理办法》《湖南省农业水价综合改革奖补资金管理办法》等文件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工程管护机制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出台管护办法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县级出台农田水利工程管护办法；加强工程管护考核结果运用。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《农田水利条例》及《湖南省小型农田水利条例》等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可参考省级层面制定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明晰工程产权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县级小型农田水利工程设施全部明晰产权，纳入村级集体资产范围。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县级组织开展清产核资，确权颁证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大中型灌区管理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县级大中型灌区按《湖南省大中型灌区标准化规范化管理实施细则（试行）》达到标准化、规范化管理。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kern w:val="0"/>
                <w:sz w:val="22"/>
                <w:szCs w:val="22"/>
                <w:lang w:bidi="ar"/>
              </w:rPr>
              <w:t>参照《湖南省大中型灌区标准化规范化管理实施细则（试行）》《灌区改造技术标准》（GB/T50599—2020）《灌溉与排水工程设计标准》（GB50288—2018）《节水灌溉工程验收规范》（GB/T50769—2012）等执行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灌溉保证率达到设计以上水平，骨干灌排设施完好率达到80%以上，灌溉水有效利用系数达到0.55以上，人员到位率和“两费”落实率达到80%以上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高标准农田管理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</w:rPr>
              <w:t>项目竣工验收后，应及时按有关规定办理资产交付手续。按照“谁受益、谁管护，谁使用、谁管护”的原则明确工程管护主体，拟定管护制度，落实管护责任，保证工程在设计使用期间内正常运行。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《高标准农田建设通则》（GB/T30600—2014）《高标准农田建设标准》（DB43876.1—2014）《农田建设项目管理办法》（农业农村部2019年第4号令）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明确管护组织和责任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县级成立多元化农民用水管护组织、全覆盖改革区域；签订管护协议、加强工程管护。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《关于加强农民用水户协会建设的指导意见》（湘水办〔2013〕3号）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县级落实管护主体的制度和办法，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组织运行规范，工程管护、用水管理、水费计收等作用发挥良好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四个机制建立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用水管理机制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完善供水计量措施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县级计量设施全覆盖改革面积；大中型灌区骨干工程干支渠与田间工程分界点全部实现供水计量；计量设施用水计量数据齐全。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参照《灌溉渠道系统量水规范》（GB/T21303-2017）执行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加强灌溉用水定额管理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县级明确灌溉用水定额；灌溉前下达用水计划；灌溉结束核定用水总量；粮食等重要农作物合理用水有保障。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参照《灌溉用水定额编制导则》（GB/T29404-2012）《湖南省用水定额》（DB43T388-2020）执行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健全农业用水总量控制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县级农业用水总量指标分解到农村集体经济组织、用水合作组织等用水主体。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《湖南省实行最严格水资源管理制度考核办法》（湘政办发〔2013〕62号）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加强取水许可管理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县级大中灌区全面实行取水许可管理。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水利部《关于加强农业取水许可管理的通知》（办资源〔2015〕75号）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改革效益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完成改革任务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县级完成改革任务落实到具体田块统计表。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节水成效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宣传材料；县级年度用水量对比，节水节电量证明等材料。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节水减排成效证明材料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管护成效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农田水利设施完善、状况良好、维修养护到位，工程良性机制基本建立。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县村管护协议、管护制度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综合效益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保障粮食安全、乡村振兴等综合效益。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保障粮食安全，增产增收，促进农业农村现代化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农民负担合理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ind w:left="42" w:leftChars="20" w:right="42" w:rightChars="2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群众满意度问卷调查表等，每个村问卷调查表不少于10 份。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spacing w:line="320" w:lineRule="exact"/>
              <w:ind w:left="42" w:leftChars="20" w:right="42" w:rightChars="2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shd w:val="clear" w:color="auto" w:fill="auto"/>
        <w:adjustRightInd w:val="0"/>
        <w:snapToGrid w:val="0"/>
        <w:spacing w:before="0" w:after="0" w:line="596" w:lineRule="exact"/>
        <w:jc w:val="both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br w:type="page"/>
      </w:r>
      <w:r>
        <w:rPr>
          <w:rFonts w:eastAsia="仿宋_GB2312"/>
          <w:color w:val="000000"/>
          <w:sz w:val="32"/>
          <w:szCs w:val="32"/>
        </w:rPr>
        <w:t>附件5</w:t>
      </w:r>
    </w:p>
    <w:p>
      <w:pPr>
        <w:pStyle w:val="5"/>
        <w:shd w:val="clear" w:color="auto" w:fill="auto"/>
        <w:adjustRightInd w:val="0"/>
        <w:snapToGrid w:val="0"/>
        <w:spacing w:after="156" w:afterLines="50" w:line="596" w:lineRule="exact"/>
        <w:jc w:val="center"/>
        <w:outlineLvl w:val="0"/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湖南省农业水价综合改革工作部门职责分工表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827"/>
        <w:gridCol w:w="8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责任部门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主要任务</w:t>
            </w:r>
          </w:p>
        </w:tc>
        <w:tc>
          <w:tcPr>
            <w:tcW w:w="8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发展改革部门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加快农业水价形成机制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1、按照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大中型灌区和末级渠系</w:t>
            </w:r>
            <w:r>
              <w:rPr>
                <w:color w:val="000000"/>
                <w:kern w:val="0"/>
                <w:sz w:val="22"/>
                <w:szCs w:val="22"/>
              </w:rPr>
              <w:t>分别对农业供水成本进行核算，及时组织农业水价成本监审和调价工作，并做好政策公示。</w:t>
            </w:r>
          </w:p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2、组织开展改革政策宣传、改革知识培训工作。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财政部门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健全农业用水精准补贴机制和节水奖励政策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3、建立与灌溉体系运行成本、调价幅度、财力状况相匹配的农业供水精准补贴和节水奖励机制。</w:t>
            </w:r>
          </w:p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4、落实省市县改革资金。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水利部门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完善农田水利设施管理服务体系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5、负责农田水利工程运行维护监管，指导农民用水合作组织规范组建和发展。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加强供水计量设施建设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6、完善大中型灌区骨干工程供水计量设施。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夯实管护组织建设和终端用水管理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7、建立符合当地特点的终端农业用水管理机制，制订用水计划。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加强农业用水总量控制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8、科学核定县级行政区域农业用水总量控制指标，逐步把指标细化分解到农民用水合作组织、农村集体经济组织、农业产业园、大型农户、村、组等主要农业用水主体。</w:t>
            </w:r>
          </w:p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9、探索水权制度建立，实行总量控制。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完善农田水利设施管理服务体系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10、牵头推进农田水利设施产权制度改革，组织加强农田水利工程运行维护的监管，明确工程产权和管护主体。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加强供水计量设施建设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11、负责农田水利建设项目管理，结合实际情况配套实用易行的计量设施。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夯实管护组织建设和终端用水管理</w:t>
            </w:r>
          </w:p>
        </w:tc>
        <w:tc>
          <w:tcPr>
            <w:tcW w:w="8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12、指导调整优化种植结构和节水农业发展等工作。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35F49"/>
    <w:rsid w:val="4103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 (3)"/>
    <w:basedOn w:val="1"/>
    <w:qFormat/>
    <w:uiPriority w:val="0"/>
    <w:pPr>
      <w:shd w:val="clear" w:color="auto" w:fill="FFFFFF"/>
      <w:spacing w:line="569" w:lineRule="exact"/>
      <w:jc w:val="distribute"/>
    </w:pPr>
    <w:rPr>
      <w:rFonts w:ascii="宋体" w:hAnsi="宋体" w:eastAsia="宋体" w:cs="宋体"/>
      <w:b/>
      <w:bCs/>
      <w:sz w:val="30"/>
      <w:szCs w:val="30"/>
    </w:rPr>
  </w:style>
  <w:style w:type="paragraph" w:customStyle="1" w:styleId="6">
    <w:name w:val="正文文本 (2)2"/>
    <w:basedOn w:val="1"/>
    <w:qFormat/>
    <w:uiPriority w:val="0"/>
    <w:pPr>
      <w:shd w:val="clear" w:color="auto" w:fill="FFFFFF"/>
      <w:spacing w:before="240" w:after="840" w:line="0" w:lineRule="atLeast"/>
      <w:jc w:val="center"/>
    </w:pPr>
    <w:rPr>
      <w:rFonts w:ascii="宋体" w:hAnsi="宋体" w:eastAsia="宋体" w:cs="宋体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2022-05-05T09:18:00Z</dcterms:created>
  <dc:creator>朱佳妮</dc:creator>
  <cp:lastModifiedBy>朱佳妮</cp:lastModifiedBy>
  <dcterms:modified xsi:type="dcterms:W3CDTF">2022-05-05T09:19:11Z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F5FF910834F64518B87BFB3F44AA00FC</vt:lpwstr>
  </property>
</Properties>
</file>