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附件1</w:t>
      </w:r>
    </w:p>
    <w:p>
      <w:pPr>
        <w:widowControl/>
        <w:spacing w:line="588" w:lineRule="exact"/>
        <w:jc w:val="center"/>
        <w:outlineLvl w:val="0"/>
        <w:rPr>
          <w:rFonts w:hint="eastAsia" w:eastAsia="方正小标宋_GBK"/>
          <w:kern w:val="0"/>
          <w:sz w:val="36"/>
          <w:szCs w:val="36"/>
        </w:rPr>
      </w:pPr>
    </w:p>
    <w:p>
      <w:pPr>
        <w:widowControl/>
        <w:spacing w:line="596" w:lineRule="exact"/>
        <w:jc w:val="center"/>
        <w:outlineLvl w:val="0"/>
        <w:rPr>
          <w:rFonts w:hint="eastAsia" w:ascii="方正小标宋_GBK" w:eastAsia="方正小标宋_GBK"/>
          <w:kern w:val="0"/>
          <w:sz w:val="42"/>
          <w:szCs w:val="42"/>
        </w:rPr>
      </w:pPr>
      <w:r>
        <w:rPr>
          <w:rFonts w:hint="eastAsia" w:ascii="方正小标宋_GBK" w:eastAsia="方正小标宋_GBK"/>
          <w:kern w:val="0"/>
          <w:sz w:val="42"/>
          <w:szCs w:val="42"/>
        </w:rPr>
        <w:t>2023年煤矿安全改造备选项目</w:t>
      </w:r>
    </w:p>
    <w:p>
      <w:pPr>
        <w:widowControl/>
        <w:spacing w:line="596" w:lineRule="exact"/>
        <w:jc w:val="center"/>
        <w:outlineLvl w:val="0"/>
        <w:rPr>
          <w:rFonts w:hint="eastAsia" w:ascii="方正小标宋_GBK" w:eastAsia="方正小标宋_GBK"/>
          <w:kern w:val="0"/>
          <w:sz w:val="42"/>
          <w:szCs w:val="42"/>
        </w:rPr>
      </w:pPr>
      <w:r>
        <w:rPr>
          <w:rFonts w:hint="eastAsia" w:ascii="方正小标宋_GBK" w:eastAsia="方正小标宋_GBK"/>
          <w:kern w:val="0"/>
          <w:sz w:val="42"/>
          <w:szCs w:val="42"/>
        </w:rPr>
        <w:t>建设方案编制提纲</w:t>
      </w:r>
    </w:p>
    <w:p>
      <w:pPr>
        <w:spacing w:line="596" w:lineRule="exact"/>
        <w:ind w:firstLine="600"/>
        <w:rPr>
          <w:rFonts w:eastAsia="方正仿宋_GBK"/>
          <w:sz w:val="30"/>
          <w:szCs w:val="30"/>
        </w:rPr>
      </w:pPr>
    </w:p>
    <w:p>
      <w:pPr>
        <w:spacing w:line="596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申报企业按照年度投资申报通知有关要求，自行或委托中介机构编制备选项目建设方案。</w:t>
      </w:r>
    </w:p>
    <w:p>
      <w:pPr>
        <w:spacing w:line="596" w:lineRule="exact"/>
        <w:ind w:firstLine="6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一、项目所属煤矿企业的基本情况</w:t>
      </w:r>
    </w:p>
    <w:p>
      <w:pPr>
        <w:spacing w:line="596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三年安全生产状况、安全生产费用提取使用情况；瓦斯等重大灾害综合治理情况；煤矿智能化改造推进情况；中央预算内投资计划执行情况；落实煤炭供给侧结构性改革措施、履行煤炭供应保障社会责任情况；企业信用状况。</w:t>
      </w:r>
    </w:p>
    <w:p>
      <w:pPr>
        <w:spacing w:line="596" w:lineRule="exact"/>
        <w:ind w:firstLine="6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二、项目的基本情况</w:t>
      </w:r>
    </w:p>
    <w:p>
      <w:pPr>
        <w:spacing w:line="596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全国投资项目在线审批监管平台生成的项目代码；项目纳入国家重大建设项目库，并通过在线平台完成审批、核准或备案情况；建设内容；投资概算及资金来源；建设条件落实情况等。</w:t>
      </w:r>
    </w:p>
    <w:p>
      <w:pPr>
        <w:spacing w:line="596" w:lineRule="exact"/>
        <w:ind w:firstLine="6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三、有关证明材料</w:t>
      </w:r>
    </w:p>
    <w:p>
      <w:pPr>
        <w:spacing w:line="596" w:lineRule="exact"/>
        <w:ind w:firstLine="600"/>
        <w:rPr>
          <w:rFonts w:eastAsia="仿宋_GB2312"/>
          <w:spacing w:val="-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根据附件2明确的打分指标，需提供的其它内容或证明材料。</w:t>
      </w:r>
    </w:p>
    <w:p>
      <w:pPr>
        <w:spacing w:line="59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申报企业对申报材料的真实性负责，并作出真实性承诺。依法需要对项目招标范围、招标方式、招标组织形式进行审批、核准的，还应当在项目建设方案中增加有关招标的内容。</w:t>
      </w:r>
    </w:p>
    <w:p>
      <w:pPr>
        <w:spacing w:line="596" w:lineRule="exact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71" w:right="1531" w:bottom="1531" w:left="1588" w:header="851" w:footer="1304" w:gutter="0"/>
          <w:cols w:space="720" w:num="1"/>
          <w:docGrid w:type="lines" w:linePitch="312" w:charSpace="0"/>
        </w:sectPr>
      </w:pPr>
    </w:p>
    <w:p>
      <w:pPr>
        <w:snapToGrid w:val="0"/>
        <w:jc w:val="left"/>
        <w:outlineLvl w:val="0"/>
        <w:rPr>
          <w:rFonts w:hint="eastAsia" w:eastAsia="仿宋_GB2312"/>
          <w:sz w:val="32"/>
          <w:szCs w:val="32"/>
        </w:rPr>
      </w:pPr>
    </w:p>
    <w:p>
      <w:pPr>
        <w:snapToGrid w:val="0"/>
        <w:jc w:val="left"/>
        <w:outlineLvl w:val="0"/>
        <w:rPr>
          <w:rFonts w:hint="eastAsia" w:eastAsia="仿宋_GB2312"/>
          <w:sz w:val="32"/>
          <w:szCs w:val="32"/>
        </w:rPr>
      </w:pPr>
    </w:p>
    <w:p>
      <w:pPr>
        <w:snapToGrid w:val="0"/>
        <w:jc w:val="left"/>
        <w:outlineLvl w:val="0"/>
        <w:rPr>
          <w:rFonts w:ascii="Times New Roman"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snapToGrid w:val="0"/>
        <w:jc w:val="center"/>
        <w:outlineLvl w:val="0"/>
        <w:rPr>
          <w:rFonts w:hint="eastAsia" w:eastAsia="方正小标宋_GBK"/>
          <w:sz w:val="36"/>
          <w:szCs w:val="36"/>
          <w:lang w:val="en"/>
        </w:rPr>
      </w:pPr>
      <w:r>
        <w:rPr>
          <w:rFonts w:hint="eastAsia" w:eastAsia="方正小标宋_GBK"/>
          <w:sz w:val="36"/>
          <w:szCs w:val="36"/>
          <w:u w:val="single"/>
        </w:rPr>
        <w:t xml:space="preserve">     </w:t>
      </w:r>
      <w:r>
        <w:rPr>
          <w:rFonts w:hint="eastAsia" w:eastAsia="方正小标宋_GBK"/>
          <w:sz w:val="36"/>
          <w:szCs w:val="36"/>
        </w:rPr>
        <w:t>2023</w:t>
      </w:r>
      <w:r>
        <w:rPr>
          <w:rFonts w:eastAsia="方正小标宋_GBK"/>
          <w:sz w:val="36"/>
          <w:szCs w:val="36"/>
        </w:rPr>
        <w:t>年</w:t>
      </w:r>
      <w:r>
        <w:rPr>
          <w:rFonts w:hint="eastAsia" w:eastAsia="方正小标宋_GBK"/>
          <w:sz w:val="36"/>
          <w:szCs w:val="36"/>
        </w:rPr>
        <w:t>煤矿安全改造备选项目审核意见表</w:t>
      </w:r>
    </w:p>
    <w:tbl>
      <w:tblPr>
        <w:tblStyle w:val="4"/>
        <w:tblW w:w="15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86"/>
        <w:gridCol w:w="795"/>
        <w:gridCol w:w="1050"/>
        <w:gridCol w:w="855"/>
        <w:gridCol w:w="930"/>
        <w:gridCol w:w="735"/>
        <w:gridCol w:w="709"/>
        <w:gridCol w:w="708"/>
        <w:gridCol w:w="709"/>
        <w:gridCol w:w="886"/>
        <w:gridCol w:w="1033"/>
        <w:gridCol w:w="885"/>
        <w:gridCol w:w="840"/>
        <w:gridCol w:w="710"/>
        <w:gridCol w:w="740"/>
        <w:gridCol w:w="103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名称</w:t>
            </w:r>
          </w:p>
        </w:tc>
        <w:tc>
          <w:tcPr>
            <w:tcW w:w="45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矿井基本情况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主要建设内容</w:t>
            </w:r>
          </w:p>
        </w:tc>
        <w:tc>
          <w:tcPr>
            <w:tcW w:w="3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投资规模（万元）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项目建设方案审核意见(主要建设内容是否符合支持范围)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项目投资审核意见(投资概算是否合理)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投资来源（万元）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是否属于申报通知中明确不得作为备选项目的情况（是/否）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项目前期工作落实情况(包括投资来源落实、是否已开工、预计开工和竣工时间等)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登记公告生产能力（万吨/年）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矿井灾害类型及等级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是否列入《国家首批智能化示范煤矿建设名单》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项目单位信用信息查询结果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项目所在地（县级行政区）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投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资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主要方面投资</w:t>
            </w: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申请中央预算内投资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地方(中央企业)拟补助资金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企业自有、银行贷款等</w:t>
            </w: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煤矿重大灾害源头治理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提升煤矿开采本质安全水平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加快创新变革煤炭生产供应方式</w:t>
            </w: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eastAsia="方正仿宋_GBK"/>
                <w:szCs w:val="21"/>
              </w:rPr>
              <w:t>合计</w:t>
            </w:r>
          </w:p>
          <w:p>
            <w:pPr>
              <w:pStyle w:val="2"/>
              <w:spacing w:line="320" w:lineRule="exact"/>
              <w:rPr>
                <w:rFonts w:eastAsia="方正仿宋_GBK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hint="eastAsia"/>
                <w:color w:val="343633"/>
                <w:sz w:val="28"/>
                <w:szCs w:val="24"/>
              </w:rPr>
            </w:pPr>
            <w:r>
              <w:rPr>
                <w:rFonts w:eastAsia="方正仿宋_GBK"/>
                <w:szCs w:val="21"/>
              </w:rPr>
              <w:t>（一）</w:t>
            </w:r>
            <w:r>
              <w:rPr>
                <w:color w:val="343633"/>
                <w:sz w:val="28"/>
                <w:szCs w:val="24"/>
              </w:rPr>
              <w:t>××</w:t>
            </w:r>
          </w:p>
          <w:p>
            <w:pPr>
              <w:pStyle w:val="2"/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煤矿</w:t>
            </w:r>
          </w:p>
          <w:p>
            <w:pPr>
              <w:pStyle w:val="2"/>
              <w:spacing w:line="320" w:lineRule="exact"/>
              <w:rPr>
                <w:rFonts w:hint="eastAsia"/>
                <w:color w:val="343633"/>
                <w:sz w:val="28"/>
                <w:szCs w:val="24"/>
              </w:rPr>
            </w:pPr>
            <w:r>
              <w:rPr>
                <w:rFonts w:eastAsia="方正仿宋_GBK"/>
                <w:szCs w:val="21"/>
              </w:rPr>
              <w:t>（二）</w:t>
            </w:r>
            <w:r>
              <w:rPr>
                <w:color w:val="343633"/>
                <w:sz w:val="28"/>
                <w:szCs w:val="24"/>
              </w:rPr>
              <w:t>××</w:t>
            </w:r>
          </w:p>
          <w:p>
            <w:pPr>
              <w:pStyle w:val="2"/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煤矿</w:t>
            </w:r>
          </w:p>
          <w:p>
            <w:pPr>
              <w:pStyle w:val="2"/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  <w:r>
              <w:rPr>
                <w:color w:val="343633"/>
                <w:sz w:val="28"/>
              </w:rPr>
              <w:t>×××</w:t>
            </w: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color w:val="343633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color w:val="343633"/>
                <w:sz w:val="28"/>
              </w:rPr>
              <w:t>×××</w:t>
            </w:r>
          </w:p>
        </w:tc>
      </w:tr>
    </w:tbl>
    <w:p>
      <w:pPr>
        <w:spacing w:line="588" w:lineRule="exact"/>
        <w:rPr>
          <w:rFonts w:eastAsia="方正仿宋_GBK"/>
          <w:sz w:val="30"/>
          <w:szCs w:val="30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napToGrid w:val="0"/>
        <w:rPr>
          <w:rFonts w:ascii="Times New Roman"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snapToGrid w:val="0"/>
        <w:spacing w:before="156" w:beforeLines="50" w:after="156" w:afterLines="50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2023年中央预算内投资绩效目标申报表</w:t>
      </w:r>
    </w:p>
    <w:tbl>
      <w:tblPr>
        <w:tblStyle w:val="4"/>
        <w:tblW w:w="8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09"/>
        <w:gridCol w:w="1701"/>
        <w:gridCol w:w="3258"/>
        <w:gridCol w:w="2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u w:val="single"/>
              </w:rPr>
              <w:t>XX地方或单位</w:t>
            </w:r>
            <w:r>
              <w:rPr>
                <w:color w:val="000000"/>
                <w:kern w:val="0"/>
                <w:sz w:val="18"/>
                <w:szCs w:val="18"/>
              </w:rPr>
              <w:t>2023年煤矿安全改造项目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申报地方或单位</w:t>
            </w:r>
          </w:p>
        </w:tc>
        <w:tc>
          <w:tcPr>
            <w:tcW w:w="5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项目总投资（万元）</w:t>
            </w:r>
          </w:p>
        </w:tc>
        <w:tc>
          <w:tcPr>
            <w:tcW w:w="5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本次申请中央预算内投资（万元）</w:t>
            </w:r>
          </w:p>
        </w:tc>
        <w:tc>
          <w:tcPr>
            <w:tcW w:w="5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8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绩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效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年度指标值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实施效果指标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数量指标（可设多个指标，如改造煤矿个数，主要安全生产系统改革个数，智能装备台套等）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质量指标（可选设）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时效指标（项目建设期，小于或等于1年）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成本指标（可选设）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社会效益指标（如安全生产状况改善）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生态效益指标（瓦斯抽采和利用量目标）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万立方米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可持续影响指标（如煤矸石、矿井水利用率目标）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满意度指标（可选设）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过程管理指标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计划管理指标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“两个责任”落实到位率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切块投资计划分解用时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资金管理指标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中央预算内投资支付率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%（不得低于70%）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年度计划投资完成率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%（不得低于85%）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项目管理指标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项目开工率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超规模、超标准和超概算项目比例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%（不得高于5%）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监督检查指标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审计、督查、巡视等指出问题项目比例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%（不得高于1%）</w:t>
            </w:r>
          </w:p>
        </w:tc>
      </w:tr>
    </w:tbl>
    <w:p>
      <w:pPr>
        <w:spacing w:line="380" w:lineRule="exact"/>
        <w:ind w:firstLine="600"/>
        <w:outlineLvl w:val="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注：煤矿安全改造项目按地区或中央单位申报绩效目标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  <w:r>
      <w:rPr>
        <w:rFonts w:hint="eastAsia"/>
        <w:kern w:val="0"/>
        <w:sz w:val="28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6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9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JhNjE5ZTFlZWQ3NzJjM2JhYjY2MDc0MTk4NWYifQ=="/>
  </w:docVars>
  <w:rsids>
    <w:rsidRoot w:val="6DC631F7"/>
    <w:rsid w:val="6DC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  <w:ind w:firstLine="0" w:firstLineChars="0"/>
    </w:pPr>
    <w:rPr>
      <w:rFonts w:eastAsia="宋体"/>
      <w:sz w:val="21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2022-11-25T08:29:00Z</dcterms:created>
  <dc:creator>朱佳妮</dc:creator>
  <cp:lastModifiedBy>朱佳妮</cp:lastModifiedBy>
  <dcterms:modified xsi:type="dcterms:W3CDTF">2022-11-25T08:29:29Z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FAAC9EE5ADEE4B299F1FC728A746F1F1</vt:lpwstr>
  </property>
</Properties>
</file>