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3D79AC"/>
          <w:spacing w:val="0"/>
          <w:sz w:val="36"/>
          <w:szCs w:val="36"/>
        </w:rPr>
      </w:pPr>
      <w:r>
        <w:rPr>
          <w:rFonts w:hint="eastAsia" w:ascii="微软雅黑" w:hAnsi="微软雅黑" w:eastAsia="微软雅黑" w:cs="微软雅黑"/>
          <w:b/>
          <w:i w:val="0"/>
          <w:caps w:val="0"/>
          <w:color w:val="3D79AC"/>
          <w:spacing w:val="0"/>
          <w:sz w:val="36"/>
          <w:szCs w:val="36"/>
        </w:rPr>
        <w:t>2021年湖南省发改委干部培训中心预算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Calibri" w:hAnsi="Calibri" w:cs="Calibri"/>
          <w:sz w:val="28"/>
          <w:szCs w:val="28"/>
        </w:rPr>
      </w:pPr>
      <w:r>
        <w:rPr>
          <w:rFonts w:hint="eastAsia" w:ascii="宋体" w:hAnsi="宋体" w:eastAsia="宋体" w:cs="宋体"/>
          <w:i w:val="0"/>
          <w:caps w:val="0"/>
          <w:color w:val="333333"/>
          <w:spacing w:val="0"/>
          <w:sz w:val="28"/>
          <w:szCs w:val="28"/>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both"/>
        <w:rPr>
          <w:rFonts w:hint="default" w:ascii="Calibri" w:hAnsi="Calibri" w:cs="Calibri"/>
          <w:sz w:val="28"/>
          <w:szCs w:val="28"/>
        </w:rPr>
      </w:pPr>
      <w:r>
        <w:rPr>
          <w:rFonts w:hint="eastAsia" w:ascii="宋体" w:hAnsi="宋体" w:eastAsia="宋体" w:cs="宋体"/>
          <w:b/>
          <w:i w:val="0"/>
          <w:caps w:val="0"/>
          <w:color w:val="333333"/>
          <w:spacing w:val="0"/>
          <w:sz w:val="28"/>
          <w:szCs w:val="28"/>
        </w:rPr>
        <w:t>第一部分 2021年单位预算说明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left"/>
        <w:rPr>
          <w:rFonts w:hint="default" w:ascii="Calibri" w:hAnsi="Calibri" w:cs="Calibri"/>
          <w:sz w:val="28"/>
          <w:szCs w:val="28"/>
        </w:rPr>
      </w:pPr>
      <w:r>
        <w:rPr>
          <w:rFonts w:hint="eastAsia" w:ascii="宋体" w:hAnsi="宋体" w:eastAsia="宋体" w:cs="宋体"/>
          <w:b/>
          <w:i w:val="0"/>
          <w:caps w:val="0"/>
          <w:color w:val="333333"/>
          <w:spacing w:val="0"/>
          <w:sz w:val="28"/>
          <w:szCs w:val="28"/>
        </w:rPr>
        <w:t>第二部分 2021年单位预算表（见附件）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1、收支总表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2、收入总表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3、支出总表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4、支出预算分类汇总表（按政府预算经济分类）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5、支出预算分类汇总表（按部门预算经济分类）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6、财政拨款收支总表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7、一般公共预算支出表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8、一般公共预算基本支出表-人员经费（工资福利支出）（按政府预算经济分类）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9、一般公共预算基本支出表-人员经费（工资福利支出）（按部门预算经济分类）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10、一般公共预算基本支出表-人员经费（对个人和家庭的补助）（按政府预算经济分类）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11、一般公共预算基本支出表-人员经费（对个人和家庭的补助）（按部门预算经济分类）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12、一般公共预算基本支出表-公用经费（商品和服务支出）（按政府预算经济分类）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13、一般公共预算基本支出表-公用经费（商品和服务支出）（按部门预算经济分类）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14、一般公共预算“三公”经费支出表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15、政府性基金预算支出表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16、政府性基金预算支出分类汇总表（按政府预算经济分类）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17、政府性基金预算支出分类汇总表（按部门预算经济分类）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18、国有资本经营预算支出表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19、财政专户管理资金预算支出表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20、省级专项资金预算汇总表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21、省级专项资金绩效目标表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22、其他项目支出绩效目标表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23、部门整体支出绩效目标表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Calibri" w:hAnsi="Calibri" w:cs="Calibri"/>
          <w:sz w:val="28"/>
          <w:szCs w:val="28"/>
        </w:rPr>
      </w:pPr>
      <w:r>
        <w:rPr>
          <w:rFonts w:hint="eastAsia" w:ascii="宋体" w:hAnsi="宋体" w:eastAsia="宋体" w:cs="宋体"/>
          <w:i w:val="0"/>
          <w:caps w:val="0"/>
          <w:color w:val="333333"/>
          <w:spacing w:val="0"/>
          <w:sz w:val="28"/>
          <w:szCs w:val="28"/>
        </w:rPr>
        <w:t>注：以上部门预算报表中，空表表示本单位无相关收支情况。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Calibri" w:hAnsi="Calibri" w:cs="Calibri"/>
          <w:sz w:val="28"/>
          <w:szCs w:val="28"/>
        </w:rPr>
      </w:pPr>
      <w:r>
        <w:rPr>
          <w:rFonts w:hint="eastAsia" w:ascii="宋体" w:hAnsi="宋体" w:eastAsia="宋体" w:cs="宋体"/>
          <w:i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8"/>
          <w:szCs w:val="28"/>
        </w:rPr>
      </w:pPr>
      <w:r>
        <w:rPr>
          <w:rFonts w:hint="eastAsia" w:ascii="宋体" w:hAnsi="宋体" w:eastAsia="宋体" w:cs="宋体"/>
          <w:i w:val="0"/>
          <w:caps w:val="0"/>
          <w:color w:val="333333"/>
          <w:spacing w:val="0"/>
          <w:sz w:val="28"/>
          <w:szCs w:val="28"/>
        </w:rPr>
        <w:t>第一部分 2021年单位预算说明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8"/>
          <w:szCs w:val="28"/>
        </w:rPr>
      </w:pPr>
      <w:r>
        <w:rPr>
          <w:rFonts w:hint="eastAsia" w:ascii="宋体" w:hAnsi="宋体" w:eastAsia="宋体" w:cs="宋体"/>
          <w:b/>
          <w:i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49"/>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一、单位基本概况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2"/>
        <w:jc w:val="both"/>
        <w:rPr>
          <w:rFonts w:hint="default" w:ascii="Calibri" w:hAnsi="Calibri" w:cs="Calibri"/>
          <w:sz w:val="28"/>
          <w:szCs w:val="28"/>
        </w:rPr>
      </w:pPr>
      <w:r>
        <w:rPr>
          <w:rFonts w:hint="eastAsia" w:ascii="宋体" w:hAnsi="宋体" w:eastAsia="宋体" w:cs="宋体"/>
          <w:b/>
          <w:i w:val="0"/>
          <w:caps w:val="0"/>
          <w:color w:val="333333"/>
          <w:spacing w:val="0"/>
          <w:sz w:val="28"/>
          <w:szCs w:val="28"/>
        </w:rPr>
        <w:t>（一）职能职责：</w:t>
      </w:r>
      <w:r>
        <w:rPr>
          <w:rFonts w:hint="eastAsia" w:ascii="宋体" w:hAnsi="宋体" w:eastAsia="宋体" w:cs="宋体"/>
          <w:i w:val="0"/>
          <w:caps w:val="0"/>
          <w:color w:val="333333"/>
          <w:spacing w:val="0"/>
          <w:sz w:val="28"/>
          <w:szCs w:val="28"/>
        </w:rPr>
        <w:t>组织实施全省发改委系统工作人员的初任培训、任职培训、更新知识培训和专门业务培训。会同委人事处研究制定系统公务员培训规划、年度计划和培训管理制度。指导全省各市州发改委的干部教育培训工作。承担国家发改委培训中心及国家发改委引智办的国际国内合作培训任务。开展干部教育培训工作、实践与理论的研究，承担系统内科研题</w:t>
      </w:r>
      <w:r>
        <w:rPr>
          <w:rFonts w:hint="eastAsia" w:ascii="宋体" w:hAnsi="宋体" w:eastAsia="宋体" w:cs="宋体"/>
          <w:b/>
          <w:i w:val="0"/>
          <w:caps w:val="0"/>
          <w:color w:val="333333"/>
          <w:spacing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1"/>
        <w:jc w:val="left"/>
        <w:rPr>
          <w:rFonts w:hint="default" w:ascii="Calibri" w:hAnsi="Calibri" w:cs="Calibri"/>
          <w:sz w:val="28"/>
          <w:szCs w:val="28"/>
        </w:rPr>
      </w:pPr>
      <w:r>
        <w:rPr>
          <w:rFonts w:hint="eastAsia" w:ascii="宋体" w:hAnsi="宋体" w:eastAsia="宋体" w:cs="宋体"/>
          <w:b/>
          <w:i w:val="0"/>
          <w:caps w:val="0"/>
          <w:color w:val="333333"/>
          <w:spacing w:val="0"/>
          <w:sz w:val="28"/>
          <w:szCs w:val="28"/>
        </w:rPr>
        <w:t>（二）机构设置：</w:t>
      </w:r>
      <w:r>
        <w:rPr>
          <w:rFonts w:hint="eastAsia" w:ascii="宋体" w:hAnsi="宋体" w:eastAsia="宋体" w:cs="宋体"/>
          <w:i w:val="0"/>
          <w:caps w:val="0"/>
          <w:color w:val="333333"/>
          <w:spacing w:val="0"/>
          <w:sz w:val="28"/>
          <w:szCs w:val="28"/>
        </w:rPr>
        <w:t>内设办公室，培训部，人事党务部，物业管理部。编办核定全额拨款事业编制22名，实有在职人员19人，离退休人员22人。</w:t>
      </w:r>
      <w:r>
        <w:rPr>
          <w:rFonts w:hint="eastAsia" w:ascii="宋体" w:hAnsi="宋体" w:eastAsia="宋体" w:cs="宋体"/>
          <w:i w:val="0"/>
          <w:caps w:val="0"/>
          <w:color w:val="333333"/>
          <w:spacing w:val="0"/>
          <w:sz w:val="28"/>
          <w:szCs w:val="28"/>
          <w:lang w:eastAsia="zh-CN"/>
        </w:rPr>
        <w:t>本单位无二级单位，预算公开仅包含本级预算。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49"/>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二、单位收支总体情况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1"/>
        <w:jc w:val="both"/>
        <w:rPr>
          <w:rFonts w:hint="default" w:ascii="Calibri" w:hAnsi="Calibri" w:cs="Calibri"/>
          <w:sz w:val="28"/>
          <w:szCs w:val="28"/>
        </w:rPr>
      </w:pPr>
      <w:r>
        <w:rPr>
          <w:rFonts w:hint="eastAsia" w:ascii="宋体" w:hAnsi="宋体" w:eastAsia="宋体" w:cs="宋体"/>
          <w:b/>
          <w:i w:val="0"/>
          <w:caps w:val="0"/>
          <w:color w:val="333333"/>
          <w:spacing w:val="0"/>
          <w:sz w:val="28"/>
          <w:szCs w:val="28"/>
        </w:rPr>
        <w:t>（一）收入预算：</w:t>
      </w:r>
      <w:r>
        <w:rPr>
          <w:rFonts w:hint="eastAsia" w:ascii="宋体" w:hAnsi="宋体" w:eastAsia="宋体" w:cs="宋体"/>
          <w:i w:val="0"/>
          <w:caps w:val="0"/>
          <w:color w:val="333333"/>
          <w:spacing w:val="0"/>
          <w:sz w:val="28"/>
          <w:szCs w:val="28"/>
        </w:rPr>
        <w:t>包括一般公共预算、政府性基金、国有资本经营预算等财政拨款收入，以及经营收入、事业收入等单位资金。2021年本单位收入预算554.85万元，其中，一般公共预算拨款554.85万元，政府性基金预算拨款0万元，国有资本经营预算拨款0万元，纳入专户管理的非税收入</w:t>
      </w:r>
      <w:r>
        <w:rPr>
          <w:rFonts w:hint="eastAsia" w:ascii="宋体" w:hAnsi="宋体" w:eastAsia="宋体" w:cs="宋体"/>
          <w:i w:val="0"/>
          <w:caps w:val="0"/>
          <w:color w:val="333333"/>
          <w:spacing w:val="0"/>
          <w:sz w:val="28"/>
          <w:szCs w:val="28"/>
          <w:lang w:val="en-US" w:eastAsia="zh-CN"/>
        </w:rPr>
        <w:t>0</w:t>
      </w:r>
      <w:r>
        <w:rPr>
          <w:rFonts w:hint="eastAsia" w:ascii="宋体" w:hAnsi="宋体" w:eastAsia="宋体" w:cs="宋体"/>
          <w:i w:val="0"/>
          <w:caps w:val="0"/>
          <w:color w:val="333333"/>
          <w:spacing w:val="0"/>
          <w:sz w:val="28"/>
          <w:szCs w:val="28"/>
        </w:rPr>
        <w:t>万元。</w:t>
      </w:r>
      <w:r>
        <w:rPr>
          <w:rFonts w:hint="eastAsia" w:ascii="宋体" w:hAnsi="宋体" w:eastAsia="宋体" w:cs="宋体"/>
          <w:b/>
          <w:i w:val="0"/>
          <w:caps w:val="0"/>
          <w:color w:val="333333"/>
          <w:spacing w:val="0"/>
          <w:sz w:val="28"/>
          <w:szCs w:val="28"/>
        </w:rPr>
        <w:t>收入较去年减少48.2万元，主要是新增在职转退休人员2人，调出1人。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1"/>
        <w:jc w:val="left"/>
        <w:rPr>
          <w:rFonts w:hint="default" w:ascii="Calibri" w:hAnsi="Calibri" w:cs="Calibri"/>
          <w:sz w:val="28"/>
          <w:szCs w:val="28"/>
        </w:rPr>
      </w:pPr>
      <w:r>
        <w:rPr>
          <w:rFonts w:hint="eastAsia" w:ascii="宋体" w:hAnsi="宋体" w:eastAsia="宋体" w:cs="宋体"/>
          <w:b/>
          <w:i w:val="0"/>
          <w:caps w:val="0"/>
          <w:color w:val="333333"/>
          <w:spacing w:val="0"/>
          <w:sz w:val="28"/>
          <w:szCs w:val="28"/>
        </w:rPr>
        <w:t>（二）支出预算：</w:t>
      </w:r>
      <w:r>
        <w:rPr>
          <w:rFonts w:hint="eastAsia" w:ascii="宋体" w:hAnsi="宋体" w:eastAsia="宋体" w:cs="宋体"/>
          <w:i w:val="0"/>
          <w:caps w:val="0"/>
          <w:color w:val="333333"/>
          <w:spacing w:val="0"/>
          <w:sz w:val="28"/>
          <w:szCs w:val="28"/>
        </w:rPr>
        <w:t>2021年本单位支出预算554.85万元，其中，一般公共服务500.97万元，社会保障和就业支出53.88万元。</w:t>
      </w:r>
      <w:r>
        <w:rPr>
          <w:rFonts w:hint="eastAsia" w:ascii="宋体" w:hAnsi="宋体" w:eastAsia="宋体" w:cs="宋体"/>
          <w:b/>
          <w:i w:val="0"/>
          <w:caps w:val="0"/>
          <w:color w:val="333333"/>
          <w:spacing w:val="0"/>
          <w:sz w:val="28"/>
          <w:szCs w:val="28"/>
        </w:rPr>
        <w:t>支出较去年减少48.2万元，主要是新增在职转退休人员2人，调出1人。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三、一般公共预算拨款支出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2021年本单位一般公共预算拨款支出预算554.85万元，其中，一般公共服务支出500.97万元，占90.29 %；社会保障和就业支出53.88万元，占9.71 %。具体安排情况如下：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left"/>
        <w:rPr>
          <w:rFonts w:hint="default" w:ascii="Calibri" w:hAnsi="Calibri" w:cs="Calibri"/>
          <w:sz w:val="28"/>
          <w:szCs w:val="28"/>
        </w:rPr>
      </w:pPr>
      <w:r>
        <w:rPr>
          <w:rFonts w:hint="eastAsia" w:ascii="宋体" w:hAnsi="宋体" w:eastAsia="宋体" w:cs="宋体"/>
          <w:b/>
          <w:i w:val="0"/>
          <w:caps w:val="0"/>
          <w:color w:val="333333"/>
          <w:spacing w:val="0"/>
          <w:sz w:val="28"/>
          <w:szCs w:val="28"/>
        </w:rPr>
        <w:t>（一）基本支出：</w:t>
      </w:r>
      <w:r>
        <w:rPr>
          <w:rFonts w:hint="eastAsia" w:ascii="宋体" w:hAnsi="宋体" w:eastAsia="宋体" w:cs="宋体"/>
          <w:i w:val="0"/>
          <w:caps w:val="0"/>
          <w:color w:val="333333"/>
          <w:spacing w:val="0"/>
          <w:sz w:val="28"/>
          <w:szCs w:val="28"/>
        </w:rPr>
        <w:t>2021年本单位基本支出预算数554.85万元，主要是为保障单位机构正常运转、完成日常工作任务而发生的各项支出，包括用于基本工资、津贴补贴等人员经费以及办公费、印刷费、水电费、办公设备购置等公用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left"/>
        <w:rPr>
          <w:rFonts w:hint="default" w:ascii="Calibri" w:hAnsi="Calibri" w:cs="Calibri"/>
          <w:sz w:val="28"/>
          <w:szCs w:val="28"/>
        </w:rPr>
      </w:pPr>
      <w:r>
        <w:rPr>
          <w:rFonts w:hint="eastAsia" w:ascii="宋体" w:hAnsi="宋体" w:eastAsia="宋体" w:cs="宋体"/>
          <w:b/>
          <w:i w:val="0"/>
          <w:caps w:val="0"/>
          <w:color w:val="333333"/>
          <w:spacing w:val="0"/>
          <w:sz w:val="28"/>
          <w:szCs w:val="28"/>
        </w:rPr>
        <w:t>（二）项目支出：</w:t>
      </w:r>
      <w:r>
        <w:rPr>
          <w:rFonts w:hint="eastAsia" w:ascii="宋体" w:hAnsi="宋体" w:eastAsia="宋体" w:cs="宋体"/>
          <w:i w:val="0"/>
          <w:caps w:val="0"/>
          <w:color w:val="333333"/>
          <w:spacing w:val="0"/>
          <w:sz w:val="28"/>
          <w:szCs w:val="28"/>
        </w:rPr>
        <w:t>2021年本单位项目支出预算0万元，无项目支出安排。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四、政府性基金预算支出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2021年本单位政府性基金支出预算0万元。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五、其他重要事项的情况说明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left"/>
        <w:rPr>
          <w:rFonts w:hint="default" w:ascii="Calibri" w:hAnsi="Calibri" w:cs="Calibri"/>
          <w:sz w:val="28"/>
          <w:szCs w:val="28"/>
        </w:rPr>
      </w:pPr>
      <w:r>
        <w:rPr>
          <w:rFonts w:hint="eastAsia" w:ascii="宋体" w:hAnsi="宋体" w:eastAsia="宋体" w:cs="宋体"/>
          <w:b/>
          <w:i w:val="0"/>
          <w:caps w:val="0"/>
          <w:color w:val="333333"/>
          <w:spacing w:val="0"/>
          <w:sz w:val="28"/>
          <w:szCs w:val="28"/>
        </w:rPr>
        <w:t>（一）机关运行经费：</w:t>
      </w:r>
      <w:r>
        <w:rPr>
          <w:rFonts w:hint="eastAsia" w:ascii="宋体" w:hAnsi="宋体" w:eastAsia="宋体" w:cs="宋体"/>
          <w:i w:val="0"/>
          <w:caps w:val="0"/>
          <w:color w:val="333333"/>
          <w:spacing w:val="0"/>
          <w:sz w:val="28"/>
          <w:szCs w:val="28"/>
        </w:rPr>
        <w:t>2021年本单位机关运行经费105.16万元，比上年预算增加0.05万元，基本持平。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both"/>
        <w:rPr>
          <w:rFonts w:hint="default" w:ascii="Calibri" w:hAnsi="Calibri" w:cs="Calibri"/>
          <w:sz w:val="28"/>
          <w:szCs w:val="28"/>
        </w:rPr>
      </w:pPr>
      <w:r>
        <w:rPr>
          <w:rFonts w:hint="eastAsia" w:ascii="宋体" w:hAnsi="宋体" w:eastAsia="宋体" w:cs="宋体"/>
          <w:b/>
          <w:i w:val="0"/>
          <w:caps w:val="0"/>
          <w:color w:val="333333"/>
          <w:spacing w:val="0"/>
          <w:sz w:val="28"/>
          <w:szCs w:val="28"/>
        </w:rPr>
        <w:t>（二）“三公”经费预算：</w:t>
      </w:r>
      <w:r>
        <w:rPr>
          <w:rFonts w:hint="eastAsia" w:ascii="宋体" w:hAnsi="宋体" w:eastAsia="宋体" w:cs="宋体"/>
          <w:i w:val="0"/>
          <w:caps w:val="0"/>
          <w:color w:val="333333"/>
          <w:spacing w:val="0"/>
          <w:sz w:val="28"/>
          <w:szCs w:val="28"/>
        </w:rPr>
        <w:t>2021年本单位“三公”经费预算数为2万元，其中，公务接待费0万元，公务用车购置及运行费2万元（其中，公务用车购置费0万元，公务用车运行费2万元），因公出国（境）费0万元。2021年“三公”经费预算较上年减少0.45万元，主要是压减一般性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both"/>
        <w:rPr>
          <w:rFonts w:hint="default" w:ascii="Calibri" w:hAnsi="Calibri" w:cs="Calibri"/>
          <w:sz w:val="28"/>
          <w:szCs w:val="28"/>
        </w:rPr>
      </w:pPr>
      <w:r>
        <w:rPr>
          <w:rFonts w:hint="eastAsia" w:ascii="宋体" w:hAnsi="宋体" w:eastAsia="宋体" w:cs="宋体"/>
          <w:b/>
          <w:i w:val="0"/>
          <w:caps w:val="0"/>
          <w:color w:val="333333"/>
          <w:spacing w:val="0"/>
          <w:sz w:val="28"/>
          <w:szCs w:val="28"/>
        </w:rPr>
        <w:t>（三）一般性支出情况：</w:t>
      </w:r>
      <w:r>
        <w:rPr>
          <w:rFonts w:hint="eastAsia" w:ascii="宋体" w:hAnsi="宋体" w:eastAsia="宋体" w:cs="宋体"/>
          <w:i w:val="0"/>
          <w:caps w:val="0"/>
          <w:color w:val="333333"/>
          <w:spacing w:val="0"/>
          <w:sz w:val="28"/>
          <w:szCs w:val="28"/>
        </w:rPr>
        <w:t>2021年本单位会议费预算0万元，培训费预算3万元，拟开展系统内干部培训，人数200人，内容为培训资料费。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both"/>
        <w:rPr>
          <w:rFonts w:hint="default" w:ascii="Calibri" w:hAnsi="Calibri" w:cs="Calibri"/>
          <w:sz w:val="28"/>
          <w:szCs w:val="28"/>
        </w:rPr>
      </w:pPr>
      <w:r>
        <w:rPr>
          <w:rFonts w:hint="eastAsia" w:ascii="宋体" w:hAnsi="宋体" w:eastAsia="宋体" w:cs="宋体"/>
          <w:b/>
          <w:i w:val="0"/>
          <w:caps w:val="0"/>
          <w:color w:val="333333"/>
          <w:spacing w:val="0"/>
          <w:sz w:val="28"/>
          <w:szCs w:val="28"/>
        </w:rPr>
        <w:t>（四）政府采购情况：</w:t>
      </w:r>
      <w:r>
        <w:rPr>
          <w:rFonts w:hint="eastAsia" w:ascii="宋体" w:hAnsi="宋体" w:eastAsia="宋体" w:cs="宋体"/>
          <w:i w:val="0"/>
          <w:caps w:val="0"/>
          <w:color w:val="333333"/>
          <w:spacing w:val="0"/>
          <w:sz w:val="28"/>
          <w:szCs w:val="28"/>
        </w:rPr>
        <w:t>2021年本部门政府采购预算总额0万元，其中，货物类采购预算0万元；工程类采购预算0万元；服务类采购预算0万元。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left"/>
        <w:rPr>
          <w:rFonts w:hint="default" w:ascii="Calibri" w:hAnsi="Calibri" w:cs="Calibri"/>
          <w:sz w:val="28"/>
          <w:szCs w:val="28"/>
        </w:rPr>
      </w:pPr>
      <w:r>
        <w:rPr>
          <w:rFonts w:hint="eastAsia" w:ascii="宋体" w:hAnsi="宋体" w:eastAsia="宋体" w:cs="宋体"/>
          <w:b/>
          <w:i w:val="0"/>
          <w:caps w:val="0"/>
          <w:color w:val="333333"/>
          <w:spacing w:val="0"/>
          <w:sz w:val="28"/>
          <w:szCs w:val="28"/>
        </w:rPr>
        <w:t>（五）国有资产占用使用及新增资产配置情况：</w:t>
      </w:r>
      <w:r>
        <w:rPr>
          <w:rFonts w:hint="eastAsia" w:ascii="宋体" w:hAnsi="宋体" w:eastAsia="宋体" w:cs="宋体"/>
          <w:i w:val="0"/>
          <w:caps w:val="0"/>
          <w:color w:val="333333"/>
          <w:spacing w:val="0"/>
          <w:sz w:val="28"/>
          <w:szCs w:val="28"/>
        </w:rPr>
        <w:t>截至2020年12月底，本单位共有公务用车2辆，其中，其他按照规定配备的公务用车2辆；单位价值50万元以上通用设备</w:t>
      </w:r>
      <w:r>
        <w:rPr>
          <w:rFonts w:hint="eastAsia" w:ascii="宋体" w:hAnsi="宋体" w:eastAsia="宋体" w:cs="宋体"/>
          <w:i w:val="0"/>
          <w:caps w:val="0"/>
          <w:color w:val="333333"/>
          <w:spacing w:val="0"/>
          <w:sz w:val="28"/>
          <w:szCs w:val="28"/>
          <w:u w:val="single"/>
        </w:rPr>
        <w:t> </w:t>
      </w:r>
      <w:bookmarkStart w:id="0" w:name="_GoBack"/>
      <w:bookmarkEnd w:id="0"/>
      <w:r>
        <w:rPr>
          <w:rFonts w:hint="eastAsia" w:ascii="宋体" w:hAnsi="宋体" w:eastAsia="宋体" w:cs="宋体"/>
          <w:i w:val="0"/>
          <w:caps w:val="0"/>
          <w:color w:val="333333"/>
          <w:spacing w:val="0"/>
          <w:sz w:val="28"/>
          <w:szCs w:val="28"/>
          <w:u w:val="single"/>
        </w:rPr>
        <w:t>4</w:t>
      </w:r>
      <w:r>
        <w:rPr>
          <w:rFonts w:hint="eastAsia" w:ascii="宋体" w:hAnsi="宋体" w:eastAsia="宋体" w:cs="宋体"/>
          <w:i w:val="0"/>
          <w:caps w:val="0"/>
          <w:color w:val="333333"/>
          <w:spacing w:val="0"/>
          <w:sz w:val="28"/>
          <w:szCs w:val="28"/>
        </w:rPr>
        <w:t>台，单位价值100万元以上专用设备0台。2021年拟新增配置公务用车0辆。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left"/>
        <w:rPr>
          <w:rFonts w:hint="default" w:ascii="Calibri" w:hAnsi="Calibri" w:cs="Calibri"/>
          <w:sz w:val="28"/>
          <w:szCs w:val="28"/>
        </w:rPr>
      </w:pPr>
      <w:r>
        <w:rPr>
          <w:rFonts w:hint="eastAsia" w:ascii="宋体" w:hAnsi="宋体" w:eastAsia="宋体" w:cs="宋体"/>
          <w:b/>
          <w:i w:val="0"/>
          <w:caps w:val="0"/>
          <w:color w:val="333333"/>
          <w:spacing w:val="0"/>
          <w:sz w:val="28"/>
          <w:szCs w:val="28"/>
        </w:rPr>
        <w:t>（六）预算绩效目标说明：</w:t>
      </w:r>
      <w:r>
        <w:rPr>
          <w:rFonts w:hint="eastAsia" w:ascii="宋体" w:hAnsi="宋体" w:eastAsia="宋体" w:cs="宋体"/>
          <w:i w:val="0"/>
          <w:caps w:val="0"/>
          <w:color w:val="333333"/>
          <w:spacing w:val="0"/>
          <w:sz w:val="28"/>
          <w:szCs w:val="28"/>
        </w:rPr>
        <w:t>本单位所有支出实行绩效目标管理。纳入2021年单位整体支出绩效目标的金额为554.85万元，其中，基本支出554.85万元，项目支出0万元，具体绩效目标详见报表。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both"/>
        <w:rPr>
          <w:rFonts w:hint="default" w:ascii="Calibri" w:hAnsi="Calibri" w:cs="Calibri"/>
          <w:sz w:val="28"/>
          <w:szCs w:val="28"/>
        </w:rPr>
      </w:pPr>
      <w:r>
        <w:rPr>
          <w:rFonts w:hint="eastAsia" w:ascii="宋体" w:hAnsi="宋体" w:eastAsia="宋体" w:cs="宋体"/>
          <w:i w:val="0"/>
          <w:caps w:val="0"/>
          <w:color w:val="333333"/>
          <w:spacing w:val="0"/>
          <w:sz w:val="28"/>
          <w:szCs w:val="28"/>
        </w:rPr>
        <w:t>六、名词解释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both"/>
        <w:rPr>
          <w:rFonts w:hint="default" w:ascii="Calibri" w:hAnsi="Calibri" w:cs="Calibri"/>
          <w:sz w:val="28"/>
          <w:szCs w:val="28"/>
        </w:rPr>
      </w:pPr>
      <w:r>
        <w:rPr>
          <w:rFonts w:hint="eastAsia" w:ascii="宋体" w:hAnsi="宋体" w:eastAsia="宋体" w:cs="宋体"/>
          <w:i w:val="0"/>
          <w:caps w:val="0"/>
          <w:color w:val="333333"/>
          <w:spacing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both"/>
        <w:rPr>
          <w:rFonts w:hint="default" w:ascii="Calibri" w:hAnsi="Calibri" w:cs="Calibri"/>
          <w:sz w:val="28"/>
          <w:szCs w:val="28"/>
        </w:rPr>
      </w:pPr>
      <w:r>
        <w:rPr>
          <w:rFonts w:hint="eastAsia" w:ascii="宋体" w:hAnsi="宋体" w:eastAsia="宋体" w:cs="宋体"/>
          <w:i w:val="0"/>
          <w:caps w:val="0"/>
          <w:color w:val="333333"/>
          <w:spacing w:val="0"/>
          <w:sz w:val="28"/>
          <w:szCs w:val="28"/>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8"/>
          <w:szCs w:val="28"/>
        </w:rPr>
      </w:pPr>
      <w:r>
        <w:rPr>
          <w:rFonts w:hint="eastAsia" w:ascii="宋体" w:hAnsi="宋体" w:eastAsia="宋体" w:cs="宋体"/>
          <w:i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Calibri" w:hAnsi="Calibri" w:cs="Calibri"/>
          <w:sz w:val="28"/>
          <w:szCs w:val="28"/>
        </w:rPr>
      </w:pPr>
      <w:r>
        <w:rPr>
          <w:rFonts w:hint="default" w:ascii="Calibri" w:hAnsi="Calibri" w:eastAsia="微软雅黑" w:cs="Calibri"/>
          <w:i w:val="0"/>
          <w:caps w:val="0"/>
          <w:color w:val="333333"/>
          <w:spacing w:val="0"/>
          <w:sz w:val="28"/>
          <w:szCs w:val="2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857BB"/>
    <w:rsid w:val="696857BB"/>
    <w:rsid w:val="71C81A7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2022-09-02T01:17:00Z</dcterms:created>
  <dc:creator>董月兰</dc:creator>
  <cp:lastModifiedBy>董月兰</cp:lastModifiedBy>
  <dcterms:modified xsi:type="dcterms:W3CDTF">2022-09-02T01:23:28Z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