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color w:val="auto"/>
          <w:sz w:val="56"/>
          <w:szCs w:val="56"/>
        </w:rPr>
      </w:pPr>
    </w:p>
    <w:p>
      <w:pPr>
        <w:pStyle w:val="11"/>
        <w:jc w:val="center"/>
        <w:rPr>
          <w:color w:val="auto"/>
          <w:sz w:val="56"/>
          <w:szCs w:val="56"/>
        </w:rPr>
      </w:pPr>
    </w:p>
    <w:p>
      <w:pPr>
        <w:pStyle w:val="11"/>
        <w:jc w:val="center"/>
        <w:rPr>
          <w:color w:val="auto"/>
          <w:sz w:val="84"/>
          <w:szCs w:val="84"/>
        </w:rPr>
      </w:pPr>
    </w:p>
    <w:p>
      <w:pPr>
        <w:pStyle w:val="11"/>
        <w:jc w:val="center"/>
        <w:rPr>
          <w:color w:val="auto"/>
          <w:sz w:val="84"/>
          <w:szCs w:val="84"/>
        </w:rPr>
      </w:pPr>
    </w:p>
    <w:p>
      <w:pPr>
        <w:pStyle w:val="11"/>
        <w:jc w:val="center"/>
        <w:rPr>
          <w:color w:val="auto"/>
          <w:sz w:val="52"/>
          <w:szCs w:val="52"/>
        </w:rPr>
      </w:pPr>
      <w:r>
        <w:rPr>
          <w:rFonts w:hint="eastAsia"/>
          <w:color w:val="auto"/>
          <w:sz w:val="52"/>
          <w:szCs w:val="52"/>
        </w:rPr>
        <w:t>2020年度</w:t>
      </w:r>
    </w:p>
    <w:p>
      <w:pPr>
        <w:pStyle w:val="11"/>
        <w:jc w:val="center"/>
        <w:rPr>
          <w:color w:val="auto"/>
          <w:sz w:val="52"/>
          <w:szCs w:val="52"/>
        </w:rPr>
      </w:pPr>
      <w:bookmarkStart w:id="3" w:name="_GoBack"/>
      <w:r>
        <w:rPr>
          <w:rFonts w:hint="eastAsia"/>
          <w:color w:val="auto"/>
          <w:sz w:val="52"/>
          <w:szCs w:val="52"/>
        </w:rPr>
        <w:t>湖南省价格成本调查队单位决算</w:t>
      </w:r>
      <w:bookmarkEnd w:id="3"/>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spacing w:line="500" w:lineRule="exact"/>
        <w:jc w:val="both"/>
        <w:rPr>
          <w:b/>
          <w:color w:val="auto"/>
          <w:sz w:val="36"/>
          <w:szCs w:val="28"/>
        </w:rPr>
      </w:pPr>
    </w:p>
    <w:p>
      <w:pPr>
        <w:pStyle w:val="11"/>
        <w:spacing w:line="500" w:lineRule="exact"/>
        <w:jc w:val="center"/>
        <w:rPr>
          <w:b/>
          <w:color w:val="auto"/>
        </w:rPr>
      </w:pPr>
    </w:p>
    <w:p>
      <w:pPr>
        <w:pStyle w:val="11"/>
        <w:spacing w:line="500" w:lineRule="exact"/>
        <w:jc w:val="center"/>
        <w:rPr>
          <w:b/>
          <w:color w:val="auto"/>
        </w:rPr>
      </w:pPr>
      <w:r>
        <w:rPr>
          <w:rFonts w:hint="eastAsia"/>
          <w:b/>
          <w:color w:val="auto"/>
        </w:rPr>
        <w:t>目录</w:t>
      </w:r>
    </w:p>
    <w:p>
      <w:pPr>
        <w:pStyle w:val="11"/>
        <w:spacing w:line="360" w:lineRule="auto"/>
        <w:jc w:val="both"/>
        <w:rPr>
          <w:rFonts w:ascii="仿宋_GB2312" w:hAnsi="仿宋_GB2312" w:cs="仿宋_GB2312"/>
          <w:b/>
          <w:color w:val="auto"/>
        </w:rPr>
      </w:pPr>
      <w:r>
        <w:rPr>
          <w:rFonts w:hint="eastAsia"/>
          <w:b/>
          <w:color w:val="auto"/>
        </w:rPr>
        <w:t>第一部分湖南省价格成本调查队单位概况</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一、部门职责</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二、机构设置</w:t>
      </w:r>
    </w:p>
    <w:p>
      <w:pPr>
        <w:pStyle w:val="11"/>
        <w:spacing w:line="360" w:lineRule="auto"/>
        <w:rPr>
          <w:rFonts w:ascii="仿宋_GB2312" w:hAnsi="仿宋_GB2312" w:cs="仿宋_GB2312"/>
          <w:b/>
          <w:color w:val="auto"/>
        </w:rPr>
      </w:pPr>
      <w:r>
        <w:rPr>
          <w:rFonts w:hint="eastAsia" w:hAnsi="仿宋_GB2312"/>
          <w:b/>
          <w:color w:val="auto"/>
        </w:rPr>
        <w:t>第二部分</w:t>
      </w:r>
      <w:r>
        <w:rPr>
          <w:rFonts w:hAnsi="仿宋_GB2312"/>
          <w:b/>
          <w:color w:val="auto"/>
        </w:rPr>
        <w:t>20</w:t>
      </w:r>
      <w:r>
        <w:rPr>
          <w:rFonts w:hint="eastAsia" w:hAnsi="仿宋_GB2312"/>
          <w:b/>
          <w:color w:val="auto"/>
        </w:rPr>
        <w:t>20年度部门决算表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一、收入支出决算总表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二、收入决算表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三、支出决算表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四、财政拨款收入支出决算总表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五、一般公共预算财政拨款支出决算表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六、一般公共预算财政拨款基本支出决算表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七、一般公共预算财政拨款“三公”经费支出决算表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八、政府性基金预算财政拨款收入支出决算表</w:t>
      </w:r>
    </w:p>
    <w:p>
      <w:pPr>
        <w:pStyle w:val="11"/>
        <w:spacing w:line="360" w:lineRule="auto"/>
        <w:ind w:firstLine="600" w:firstLineChars="25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九、国有资本经营预算财政拨款支出决算表</w:t>
      </w:r>
    </w:p>
    <w:p>
      <w:pPr>
        <w:pStyle w:val="11"/>
        <w:spacing w:line="360" w:lineRule="auto"/>
        <w:rPr>
          <w:rFonts w:ascii="仿宋_GB2312" w:hAnsi="仿宋_GB2312" w:cs="仿宋_GB2312"/>
          <w:b/>
          <w:color w:val="auto"/>
        </w:rPr>
      </w:pPr>
      <w:r>
        <w:rPr>
          <w:rFonts w:hint="eastAsia" w:hAnsi="仿宋_GB2312"/>
          <w:b/>
          <w:color w:val="auto"/>
        </w:rPr>
        <w:t>第三部分</w:t>
      </w:r>
      <w:r>
        <w:rPr>
          <w:rFonts w:hAnsi="仿宋_GB2312"/>
          <w:b/>
          <w:color w:val="auto"/>
        </w:rPr>
        <w:t>20</w:t>
      </w:r>
      <w:r>
        <w:rPr>
          <w:rFonts w:hint="eastAsia" w:hAnsi="仿宋_GB2312"/>
          <w:b/>
          <w:color w:val="auto"/>
        </w:rPr>
        <w:t>20年度部门决算情况说明</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一、收入支出决算总体情况说明</w:t>
      </w:r>
    </w:p>
    <w:p>
      <w:pPr>
        <w:spacing w:line="360" w:lineRule="auto"/>
        <w:ind w:firstLine="600" w:firstLineChars="250"/>
        <w:jc w:val="left"/>
        <w:rPr>
          <w:rFonts w:ascii="仿宋_GB2312" w:hAnsi="仿宋_GB2312" w:cs="仿宋_GB2312"/>
          <w:color w:val="auto"/>
          <w:sz w:val="24"/>
          <w:szCs w:val="24"/>
        </w:rPr>
      </w:pPr>
      <w:r>
        <w:rPr>
          <w:rFonts w:ascii="仿宋_GB2312" w:hAnsi="仿宋_GB2312" w:cs="仿宋_GB2312"/>
          <w:color w:val="auto"/>
          <w:sz w:val="24"/>
          <w:szCs w:val="24"/>
        </w:rPr>
        <w:t>二、收入决算情况说明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三、支出决算情况说明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四、财政拨款收入支出决算总体情况说明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五、一般公共预算财政拨款支出决算情况说明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六、一般公共预算财政拨款基本支出决算情况说明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七、一般公共预算财政拨款三公经费支出决算情况说明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八</w:t>
      </w:r>
      <w:r>
        <w:rPr>
          <w:rFonts w:ascii="仿宋_GB2312" w:hAnsi="仿宋_GB2312" w:cs="仿宋_GB2312"/>
          <w:color w:val="auto"/>
          <w:kern w:val="0"/>
          <w:sz w:val="24"/>
          <w:szCs w:val="24"/>
        </w:rPr>
        <w:t>、</w:t>
      </w:r>
      <w:r>
        <w:rPr>
          <w:rFonts w:hint="eastAsia" w:ascii="仿宋_GB2312" w:hAnsi="仿宋_GB2312" w:cs="仿宋_GB2312"/>
          <w:color w:val="auto"/>
          <w:kern w:val="0"/>
          <w:sz w:val="24"/>
          <w:szCs w:val="24"/>
        </w:rPr>
        <w:t>政府性基金预算收入支出决算情况</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九</w:t>
      </w:r>
      <w:r>
        <w:rPr>
          <w:rFonts w:ascii="仿宋_GB2312" w:hAnsi="仿宋_GB2312" w:cs="仿宋_GB2312"/>
          <w:color w:val="auto"/>
          <w:kern w:val="0"/>
          <w:sz w:val="24"/>
          <w:szCs w:val="24"/>
        </w:rPr>
        <w:t>、</w:t>
      </w:r>
      <w:r>
        <w:rPr>
          <w:rFonts w:hint="eastAsia" w:ascii="仿宋_GB2312" w:hAnsi="仿宋_GB2312" w:cs="仿宋_GB2312"/>
          <w:color w:val="auto"/>
          <w:kern w:val="0"/>
          <w:sz w:val="24"/>
          <w:szCs w:val="24"/>
        </w:rPr>
        <w:t>关于机关运行经费支出说明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十、一般性支出情况</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十一、关于政府采购支出说明</w:t>
      </w:r>
    </w:p>
    <w:p>
      <w:pPr>
        <w:pStyle w:val="11"/>
        <w:spacing w:line="360" w:lineRule="auto"/>
        <w:ind w:firstLine="600" w:firstLineChars="250"/>
        <w:rPr>
          <w:rFonts w:ascii="仿宋_GB2312" w:hAnsi="仿宋_GB2312" w:cs="仿宋_GB2312" w:eastAsiaTheme="minorEastAsia"/>
          <w:color w:val="auto"/>
        </w:rPr>
      </w:pPr>
      <w:r>
        <w:rPr>
          <w:rFonts w:hint="eastAsia" w:ascii="仿宋_GB2312" w:hAnsi="仿宋_GB2312" w:cs="仿宋_GB2312" w:eastAsiaTheme="minorEastAsia"/>
          <w:color w:val="auto"/>
        </w:rPr>
        <w:t>十二、关于国有资产占用情况说明</w:t>
      </w:r>
    </w:p>
    <w:p>
      <w:pPr>
        <w:pStyle w:val="11"/>
        <w:spacing w:line="360" w:lineRule="auto"/>
        <w:ind w:firstLine="600" w:firstLineChars="250"/>
        <w:rPr>
          <w:rFonts w:ascii="仿宋_GB2312" w:hAnsi="仿宋_GB2312" w:cs="仿宋_GB2312" w:eastAsiaTheme="minorEastAsia"/>
          <w:color w:val="auto"/>
        </w:rPr>
      </w:pPr>
      <w:r>
        <w:rPr>
          <w:rFonts w:hint="eastAsia" w:ascii="仿宋_GB2312" w:hAnsi="仿宋_GB2312" w:cs="仿宋_GB2312" w:eastAsiaTheme="minorEastAsia"/>
          <w:color w:val="auto"/>
        </w:rPr>
        <w:t>十三、关</w:t>
      </w:r>
      <w:r>
        <w:rPr>
          <w:rFonts w:hint="eastAsia" w:cs="仿宋_GB2312" w:asciiTheme="minorEastAsia" w:hAnsiTheme="minorEastAsia" w:eastAsiaTheme="minorEastAsia"/>
          <w:color w:val="auto"/>
        </w:rPr>
        <w:t>于2020年</w:t>
      </w:r>
      <w:r>
        <w:rPr>
          <w:rFonts w:hint="eastAsia" w:ascii="仿宋_GB2312" w:hAnsi="仿宋_GB2312" w:cs="仿宋_GB2312" w:eastAsiaTheme="minorEastAsia"/>
          <w:color w:val="auto"/>
        </w:rPr>
        <w:t>度预算绩效情况的说明</w:t>
      </w:r>
    </w:p>
    <w:p>
      <w:pPr>
        <w:autoSpaceDE w:val="0"/>
        <w:autoSpaceDN w:val="0"/>
        <w:adjustRightInd w:val="0"/>
        <w:spacing w:line="360" w:lineRule="auto"/>
        <w:jc w:val="left"/>
        <w:rPr>
          <w:rFonts w:ascii="黑体" w:hAnsi="黑体" w:eastAsia="黑体" w:cs="黑体"/>
          <w:b/>
          <w:color w:val="auto"/>
          <w:kern w:val="0"/>
          <w:sz w:val="24"/>
          <w:szCs w:val="24"/>
        </w:rPr>
      </w:pPr>
      <w:r>
        <w:rPr>
          <w:rFonts w:ascii="黑体" w:hAnsi="黑体" w:eastAsia="黑体" w:cs="黑体"/>
          <w:b/>
          <w:color w:val="auto"/>
          <w:kern w:val="0"/>
          <w:sz w:val="24"/>
          <w:szCs w:val="24"/>
        </w:rPr>
        <w:t>第四部分名词解释</w:t>
      </w:r>
    </w:p>
    <w:p>
      <w:pPr>
        <w:autoSpaceDE w:val="0"/>
        <w:autoSpaceDN w:val="0"/>
        <w:adjustRightInd w:val="0"/>
        <w:spacing w:line="360" w:lineRule="auto"/>
        <w:jc w:val="left"/>
        <w:rPr>
          <w:color w:val="auto"/>
          <w:sz w:val="72"/>
          <w:szCs w:val="72"/>
        </w:rPr>
      </w:pPr>
      <w:r>
        <w:rPr>
          <w:rFonts w:hint="eastAsia" w:ascii="黑体" w:hAnsi="黑体" w:eastAsia="黑体" w:cs="黑体"/>
          <w:b/>
          <w:color w:val="auto"/>
          <w:kern w:val="0"/>
          <w:sz w:val="24"/>
          <w:szCs w:val="24"/>
        </w:rPr>
        <w:t>第五部分附件</w:t>
      </w:r>
    </w:p>
    <w:p>
      <w:pPr>
        <w:pStyle w:val="11"/>
        <w:jc w:val="center"/>
        <w:rPr>
          <w:color w:val="auto"/>
          <w:sz w:val="36"/>
          <w:szCs w:val="36"/>
        </w:rPr>
      </w:pPr>
    </w:p>
    <w:p>
      <w:pPr>
        <w:pStyle w:val="11"/>
        <w:jc w:val="center"/>
        <w:rPr>
          <w:color w:val="auto"/>
          <w:sz w:val="36"/>
          <w:szCs w:val="36"/>
        </w:rPr>
      </w:pPr>
      <w:r>
        <w:rPr>
          <w:rFonts w:hint="eastAsia"/>
          <w:color w:val="auto"/>
          <w:sz w:val="36"/>
          <w:szCs w:val="36"/>
        </w:rPr>
        <w:t>第一部分  湖南省价格成本调查队单位概况</w:t>
      </w:r>
    </w:p>
    <w:p>
      <w:pPr>
        <w:pStyle w:val="12"/>
        <w:ind w:firstLine="0" w:firstLineChars="0"/>
        <w:jc w:val="left"/>
        <w:rPr>
          <w:rFonts w:ascii="黑体" w:hAnsi="黑体" w:eastAsia="黑体"/>
          <w:color w:val="auto"/>
          <w:sz w:val="32"/>
          <w:szCs w:val="32"/>
        </w:rPr>
      </w:pPr>
    </w:p>
    <w:p>
      <w:pPr>
        <w:pStyle w:val="12"/>
        <w:ind w:firstLine="560"/>
        <w:jc w:val="left"/>
        <w:rPr>
          <w:rFonts w:ascii="黑体" w:hAnsi="黑体" w:eastAsia="黑体"/>
          <w:color w:val="auto"/>
          <w:sz w:val="28"/>
          <w:szCs w:val="28"/>
        </w:rPr>
      </w:pPr>
      <w:r>
        <w:rPr>
          <w:rFonts w:hint="eastAsia" w:ascii="黑体" w:hAnsi="黑体" w:eastAsia="黑体"/>
          <w:color w:val="auto"/>
          <w:sz w:val="28"/>
          <w:szCs w:val="28"/>
        </w:rPr>
        <w:t>一、</w:t>
      </w:r>
      <w:r>
        <w:rPr>
          <w:rFonts w:ascii="黑体" w:hAnsi="黑体" w:eastAsia="黑体"/>
          <w:color w:val="auto"/>
          <w:sz w:val="28"/>
          <w:szCs w:val="28"/>
        </w:rPr>
        <w:t>部门职责</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湖南省价格成本调查队是湖南省发展</w:t>
      </w:r>
      <w:r>
        <w:rPr>
          <w:rFonts w:hint="eastAsia" w:asciiTheme="minorEastAsia" w:hAnsiTheme="minorEastAsia" w:cstheme="minorEastAsia"/>
          <w:color w:val="auto"/>
          <w:sz w:val="28"/>
          <w:szCs w:val="28"/>
          <w:lang w:eastAsia="zh-CN"/>
        </w:rPr>
        <w:t>和</w:t>
      </w:r>
      <w:r>
        <w:rPr>
          <w:rFonts w:hint="eastAsia" w:asciiTheme="minorEastAsia" w:hAnsiTheme="minorEastAsia" w:cstheme="minorEastAsia"/>
          <w:color w:val="auto"/>
          <w:sz w:val="28"/>
          <w:szCs w:val="28"/>
        </w:rPr>
        <w:t>改革委员会直属机构，主要职责是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价成本监审工作承担重要商品和服务成本监测；负责组织、指导、协调全省成本工作；承办“湖南成本价格发布平台”运行等。其主要工作包括成本调查、成本监审、成本监测等三大方面：</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（一）农本调查：国家和省里安排的重要农产品成本调查，包括7个直报品种、24个常规品种、3个专项和生猪月报应急成本调查等工作任务，涉及全省14个市州、54个县市区、约2000户农调户。</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（二）成本监审：承担政府制定或调整商品、服务价格和行政事业性收费前实施定价成本监审，并进行定期监审；对政府购买服务中单一来源采购和定向委托方式的项目开展成本监审工作。</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（三）成本监测：动态掌握重要商品与服务的成本状况，加强价格成本数据的研究，促进成果转化。</w:t>
      </w:r>
    </w:p>
    <w:p>
      <w:pPr>
        <w:pStyle w:val="2"/>
        <w:rPr>
          <w:rFonts w:hint="default"/>
          <w:color w:val="auto"/>
        </w:rPr>
      </w:pPr>
    </w:p>
    <w:p>
      <w:pPr>
        <w:pStyle w:val="12"/>
        <w:ind w:firstLine="840" w:firstLineChars="300"/>
        <w:jc w:val="left"/>
        <w:rPr>
          <w:rFonts w:ascii="黑体" w:hAnsi="黑体" w:eastAsia="黑体"/>
          <w:color w:val="auto"/>
          <w:sz w:val="28"/>
          <w:szCs w:val="28"/>
        </w:rPr>
      </w:pPr>
      <w:r>
        <w:rPr>
          <w:rFonts w:hint="eastAsia" w:ascii="黑体" w:hAnsi="黑体" w:eastAsia="黑体"/>
          <w:color w:val="auto"/>
          <w:sz w:val="28"/>
          <w:szCs w:val="28"/>
        </w:rPr>
        <w:t>二、机构设置及决算单位构</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内设机构设置。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9名。</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（二）决算单位构成。湖南省价格成本调查队2020年部门决算汇总公开单位构成包括：湖南省价格成本调查队单位本级。</w:t>
      </w:r>
    </w:p>
    <w:p>
      <w:pPr>
        <w:tabs>
          <w:tab w:val="left" w:pos="953"/>
        </w:tabs>
        <w:jc w:val="left"/>
        <w:rPr>
          <w:rFonts w:asciiTheme="minorEastAsia" w:hAnsiTheme="minorEastAsia" w:cstheme="minorEastAsia"/>
          <w:color w:val="auto"/>
          <w:sz w:val="28"/>
          <w:szCs w:val="28"/>
        </w:rPr>
        <w:sectPr>
          <w:pgSz w:w="11906" w:h="16838"/>
          <w:pgMar w:top="1270" w:right="1689" w:bottom="1270" w:left="1689" w:header="851" w:footer="992" w:gutter="0"/>
          <w:cols w:space="425" w:num="1"/>
          <w:docGrid w:type="lines" w:linePitch="312" w:charSpace="0"/>
        </w:sectPr>
      </w:pPr>
      <w:r>
        <w:rPr>
          <w:rFonts w:hint="eastAsia" w:asciiTheme="minorEastAsia" w:hAnsiTheme="minorEastAsia" w:cstheme="minorEastAsia"/>
          <w:color w:val="auto"/>
          <w:sz w:val="28"/>
          <w:szCs w:val="28"/>
        </w:rPr>
        <w:tab/>
      </w:r>
    </w:p>
    <w:tbl>
      <w:tblPr>
        <w:tblStyle w:val="7"/>
        <w:tblW w:w="14081" w:type="dxa"/>
        <w:tblInd w:w="93" w:type="dxa"/>
        <w:tblLayout w:type="fixed"/>
        <w:tblCellMar>
          <w:top w:w="0" w:type="dxa"/>
          <w:left w:w="108" w:type="dxa"/>
          <w:bottom w:w="0" w:type="dxa"/>
          <w:right w:w="108" w:type="dxa"/>
        </w:tblCellMar>
      </w:tblPr>
      <w:tblGrid>
        <w:gridCol w:w="4124"/>
        <w:gridCol w:w="936"/>
        <w:gridCol w:w="143"/>
        <w:gridCol w:w="697"/>
        <w:gridCol w:w="236"/>
        <w:gridCol w:w="790"/>
        <w:gridCol w:w="3757"/>
        <w:gridCol w:w="1225"/>
        <w:gridCol w:w="657"/>
        <w:gridCol w:w="1516"/>
      </w:tblGrid>
      <w:tr>
        <w:tblPrEx>
          <w:tblCellMar>
            <w:top w:w="0" w:type="dxa"/>
            <w:left w:w="108" w:type="dxa"/>
            <w:bottom w:w="0" w:type="dxa"/>
            <w:right w:w="108" w:type="dxa"/>
          </w:tblCellMar>
        </w:tblPrEx>
        <w:trPr>
          <w:trHeight w:val="360" w:hRule="atLeast"/>
        </w:trPr>
        <w:tc>
          <w:tcPr>
            <w:tcW w:w="14081"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rPr>
            </w:pPr>
            <w:r>
              <w:rPr>
                <w:rFonts w:hint="eastAsia" w:ascii="黑体" w:eastAsia="黑体" w:cs="黑体"/>
                <w:color w:val="auto"/>
                <w:kern w:val="0"/>
                <w:sz w:val="36"/>
                <w:szCs w:val="36"/>
              </w:rPr>
              <w:t>第二部分  部门决算表</w:t>
            </w:r>
          </w:p>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9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ascii="宋体" w:hAnsi="宋体" w:eastAsia="宋体" w:cs="宋体"/>
                <w:color w:val="auto"/>
                <w:kern w:val="0"/>
                <w:sz w:val="20"/>
                <w:szCs w:val="20"/>
              </w:rPr>
              <w:t xml:space="preserve"> </w:t>
            </w:r>
            <w:r>
              <w:rPr>
                <w:rFonts w:hint="eastAsia" w:ascii="宋体" w:hAnsi="宋体" w:eastAsia="宋体" w:cs="宋体"/>
                <w:color w:val="auto"/>
                <w:kern w:val="0"/>
                <w:sz w:val="22"/>
              </w:rPr>
              <w:t>湖南省价格成本调查队</w:t>
            </w:r>
          </w:p>
        </w:tc>
        <w:tc>
          <w:tcPr>
            <w:tcW w:w="69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2020年度</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340" w:hRule="atLeast"/>
        </w:trPr>
        <w:tc>
          <w:tcPr>
            <w:tcW w:w="692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7156"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862"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c>
          <w:tcPr>
            <w:tcW w:w="37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21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2"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7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1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374.69</w:t>
            </w: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341.34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四、上级补助收入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五、事业收入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六、经营收入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七、附属单位上缴收入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w:t>
            </w:r>
            <w:r>
              <w:rPr>
                <w:rFonts w:hint="eastAsia" w:ascii="宋体" w:hAnsi="宋体" w:eastAsia="宋体" w:cs="宋体"/>
                <w:color w:val="auto"/>
                <w:kern w:val="0"/>
                <w:sz w:val="22"/>
              </w:rPr>
              <w:t>社会保障和就业支出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36.97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15.15</w:t>
            </w: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389.84</w:t>
            </w:r>
          </w:p>
        </w:tc>
        <w:tc>
          <w:tcPr>
            <w:tcW w:w="37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392.72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使用非财政拨款结余</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2"/>
              </w:rPr>
            </w:pPr>
            <w:r>
              <w:rPr>
                <w:rFonts w:hint="eastAsia" w:ascii="宋体" w:hAnsi="宋体" w:eastAsia="宋体" w:cs="宋体"/>
                <w:color w:val="auto"/>
                <w:kern w:val="0"/>
                <w:sz w:val="22"/>
              </w:rPr>
              <w:t xml:space="preserve">           结余分配</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年初结转和结余</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65.84</w:t>
            </w: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年末结转和结余</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62.96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455.68</w:t>
            </w:r>
          </w:p>
        </w:tc>
        <w:tc>
          <w:tcPr>
            <w:tcW w:w="37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455.68</w:t>
            </w:r>
          </w:p>
        </w:tc>
      </w:tr>
      <w:tr>
        <w:tblPrEx>
          <w:tblCellMar>
            <w:top w:w="0" w:type="dxa"/>
            <w:left w:w="108" w:type="dxa"/>
            <w:bottom w:w="0" w:type="dxa"/>
            <w:right w:w="108" w:type="dxa"/>
          </w:tblCellMar>
        </w:tblPrEx>
        <w:trPr>
          <w:trHeight w:val="875" w:hRule="atLeast"/>
        </w:trPr>
        <w:tc>
          <w:tcPr>
            <w:tcW w:w="14081" w:type="dxa"/>
            <w:gridSpan w:val="10"/>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注：1.本表反映部门本年度的总收支和年末结转结余情况。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2.本套报表金额单位转换时可能存在尾数误差。</w:t>
            </w:r>
          </w:p>
        </w:tc>
      </w:tr>
    </w:tbl>
    <w:p>
      <w:pPr>
        <w:jc w:val="center"/>
        <w:rPr>
          <w:rFonts w:ascii="黑体" w:hAnsi="黑体" w:eastAsia="黑体"/>
          <w:color w:val="auto"/>
          <w:sz w:val="28"/>
          <w:szCs w:val="28"/>
        </w:rPr>
        <w:sectPr>
          <w:pgSz w:w="16838" w:h="11906" w:orient="landscape"/>
          <w:pgMar w:top="1570" w:right="1440" w:bottom="1570" w:left="1440" w:header="851" w:footer="992" w:gutter="0"/>
          <w:cols w:space="0"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476"/>
        <w:gridCol w:w="494"/>
        <w:gridCol w:w="4852"/>
        <w:gridCol w:w="1711"/>
        <w:gridCol w:w="1197"/>
        <w:gridCol w:w="1197"/>
        <w:gridCol w:w="1197"/>
        <w:gridCol w:w="1197"/>
        <w:gridCol w:w="1197"/>
        <w:gridCol w:w="1910"/>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blPrEx>
          <w:tblCellMar>
            <w:top w:w="0" w:type="dxa"/>
            <w:left w:w="0" w:type="dxa"/>
            <w:bottom w:w="0" w:type="dxa"/>
            <w:right w:w="0" w:type="dxa"/>
          </w:tblCellMar>
        </w:tblPrEx>
        <w:trPr>
          <w:trHeight w:val="285" w:hRule="atLeast"/>
        </w:trPr>
        <w:tc>
          <w:tcPr>
            <w:tcW w:w="47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49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485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71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CellMar>
            <w:top w:w="0" w:type="dxa"/>
            <w:left w:w="0" w:type="dxa"/>
            <w:bottom w:w="0" w:type="dxa"/>
            <w:right w:w="0" w:type="dxa"/>
          </w:tblCellMar>
        </w:tblPrEx>
        <w:trPr>
          <w:trHeight w:val="285" w:hRule="atLeast"/>
        </w:trPr>
        <w:tc>
          <w:tcPr>
            <w:tcW w:w="970"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auto"/>
                <w:sz w:val="20"/>
                <w:szCs w:val="20"/>
              </w:rPr>
            </w:pPr>
            <w:r>
              <w:rPr>
                <w:rFonts w:hint="eastAsia"/>
                <w:color w:val="auto"/>
                <w:sz w:val="20"/>
                <w:szCs w:val="20"/>
              </w:rPr>
              <w:t>部门：</w:t>
            </w:r>
          </w:p>
        </w:tc>
        <w:tc>
          <w:tcPr>
            <w:tcW w:w="485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71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rPr>
          <w:trHeight w:val="450" w:hRule="atLeast"/>
        </w:trPr>
        <w:tc>
          <w:tcPr>
            <w:tcW w:w="58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17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19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CellMar>
            <w:top w:w="0" w:type="dxa"/>
            <w:left w:w="0" w:type="dxa"/>
            <w:bottom w:w="0" w:type="dxa"/>
            <w:right w:w="0" w:type="dxa"/>
          </w:tblCellMar>
        </w:tblPrEx>
        <w:trPr>
          <w:trHeight w:val="450" w:hRule="atLeast"/>
        </w:trPr>
        <w:tc>
          <w:tcPr>
            <w:tcW w:w="9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485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rPr>
          <w:trHeight w:val="450" w:hRule="atLeast"/>
        </w:trPr>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485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510" w:hRule="atLeast"/>
        </w:trPr>
        <w:tc>
          <w:tcPr>
            <w:tcW w:w="58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171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19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blPrEx>
          <w:tblCellMar>
            <w:top w:w="0" w:type="dxa"/>
            <w:left w:w="0" w:type="dxa"/>
            <w:bottom w:w="0" w:type="dxa"/>
            <w:right w:w="0" w:type="dxa"/>
          </w:tblCellMar>
        </w:tblPrEx>
        <w:trPr>
          <w:trHeight w:val="450" w:hRule="atLeast"/>
        </w:trPr>
        <w:tc>
          <w:tcPr>
            <w:tcW w:w="58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389.84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374.69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color w:val="auto"/>
              </w:rPr>
              <w:t>15.15</w:t>
            </w: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　201</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一般公共服务支出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337.72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337.72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　20104</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发展与改革事务</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337.72</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337.72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2010401</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行政运行</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华文中宋" w:hAnsi="华文中宋" w:eastAsia="华文中宋" w:cs="宋体"/>
                <w:color w:val="auto"/>
                <w:sz w:val="24"/>
                <w:szCs w:val="24"/>
              </w:rPr>
            </w:pPr>
            <w:r>
              <w:rPr>
                <w:rFonts w:hint="eastAsia"/>
                <w:color w:val="auto"/>
              </w:rPr>
              <w:t>302.55</w:t>
            </w:r>
            <w:r>
              <w:rPr>
                <w:rFonts w:hint="eastAsia" w:ascii="华文中宋" w:hAnsi="华文中宋" w:eastAsia="华文中宋"/>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302.55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2010499</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其他发展与改革事务支出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35.17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35.17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208</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社会保障和就业支出　</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36.97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36.97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20805</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行政事业单位养老支出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2080505</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机关事业单位基本养老保险缴费支出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229</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其他支出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22999</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其他支出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2299901</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其他支出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15.15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15.15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bl>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p>
      <w:pPr>
        <w:widowControl/>
        <w:rPr>
          <w:rFonts w:ascii="Times New Roman" w:hAnsi="Times New Roman" w:eastAsia="方正小标宋_GBK" w:cs="Times New Roman"/>
          <w:color w:val="auto"/>
          <w:kern w:val="0"/>
          <w:sz w:val="36"/>
          <w:szCs w:val="36"/>
        </w:rPr>
      </w:pPr>
    </w:p>
    <w:tbl>
      <w:tblPr>
        <w:tblStyle w:val="7"/>
        <w:tblW w:w="13183" w:type="dxa"/>
        <w:tblInd w:w="93" w:type="dxa"/>
        <w:tblLayout w:type="fixed"/>
        <w:tblCellMar>
          <w:top w:w="0" w:type="dxa"/>
          <w:left w:w="108" w:type="dxa"/>
          <w:bottom w:w="0" w:type="dxa"/>
          <w:right w:w="108" w:type="dxa"/>
        </w:tblCellMar>
      </w:tblPr>
      <w:tblGrid>
        <w:gridCol w:w="1042"/>
        <w:gridCol w:w="236"/>
        <w:gridCol w:w="2375"/>
        <w:gridCol w:w="1409"/>
        <w:gridCol w:w="785"/>
        <w:gridCol w:w="593"/>
        <w:gridCol w:w="1084"/>
        <w:gridCol w:w="220"/>
        <w:gridCol w:w="1457"/>
        <w:gridCol w:w="266"/>
        <w:gridCol w:w="1411"/>
        <w:gridCol w:w="2305"/>
      </w:tblGrid>
      <w:tr>
        <w:tblPrEx>
          <w:tblCellMar>
            <w:top w:w="0" w:type="dxa"/>
            <w:left w:w="108" w:type="dxa"/>
            <w:bottom w:w="0" w:type="dxa"/>
            <w:right w:w="108" w:type="dxa"/>
          </w:tblCellMar>
        </w:tblPrEx>
        <w:trPr>
          <w:trHeight w:val="435" w:hRule="atLeast"/>
        </w:trPr>
        <w:tc>
          <w:tcPr>
            <w:tcW w:w="13183" w:type="dxa"/>
            <w:gridSpan w:val="12"/>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7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1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8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7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1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8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项    目</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本年支出合计</w:t>
            </w:r>
          </w:p>
        </w:tc>
        <w:tc>
          <w:tcPr>
            <w:tcW w:w="138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基本支出</w:t>
            </w:r>
          </w:p>
        </w:tc>
        <w:tc>
          <w:tcPr>
            <w:tcW w:w="13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项目支出</w:t>
            </w:r>
          </w:p>
        </w:tc>
        <w:tc>
          <w:tcPr>
            <w:tcW w:w="172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上缴上级支出</w:t>
            </w:r>
          </w:p>
        </w:tc>
        <w:tc>
          <w:tcPr>
            <w:tcW w:w="14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功能分类科目编码</w:t>
            </w:r>
          </w:p>
        </w:tc>
        <w:tc>
          <w:tcPr>
            <w:tcW w:w="23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科目名称</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3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栏次</w:t>
            </w:r>
          </w:p>
        </w:tc>
        <w:tc>
          <w:tcPr>
            <w:tcW w:w="14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3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30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72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4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w:t>
            </w:r>
          </w:p>
        </w:tc>
      </w:tr>
      <w:tr>
        <w:tblPrEx>
          <w:tblCellMar>
            <w:top w:w="0" w:type="dxa"/>
            <w:left w:w="108" w:type="dxa"/>
            <w:bottom w:w="0" w:type="dxa"/>
            <w:right w:w="108" w:type="dxa"/>
          </w:tblCellMar>
        </w:tblPrEx>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合计</w:t>
            </w: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392.72</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346.68</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46.04</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一般公共服务支出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341.34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20104</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发展与改革事务</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341.34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2010401</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行政运行</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2010499</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其他发展与改革事务支出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208</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社会保障和就业支出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20805</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行政事业单位养老支出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2080505</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机关事业单位基本养老保险缴费支出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229</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22999</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2299901</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630" w:hRule="atLeast"/>
        </w:trPr>
        <w:tc>
          <w:tcPr>
            <w:tcW w:w="13183" w:type="dxa"/>
            <w:gridSpan w:val="12"/>
            <w:tcBorders>
              <w:top w:val="nil"/>
              <w:left w:val="nil"/>
              <w:bottom w:val="nil"/>
              <w:right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注：本表反映部门本年度各项支出情况。</w:t>
            </w:r>
          </w:p>
        </w:tc>
      </w:tr>
    </w:tbl>
    <w:p>
      <w:pPr>
        <w:widowControl/>
        <w:ind w:left="93"/>
        <w:jc w:val="center"/>
        <w:rPr>
          <w:rFonts w:ascii="Times New Roman" w:hAnsi="Times New Roman" w:eastAsia="方正小标宋_GBK" w:cs="Times New Roman"/>
          <w:color w:val="auto"/>
          <w:kern w:val="0"/>
          <w:szCs w:val="21"/>
        </w:rPr>
      </w:pPr>
    </w:p>
    <w:p>
      <w:pPr>
        <w:widowControl/>
        <w:ind w:left="93"/>
        <w:jc w:val="center"/>
        <w:rPr>
          <w:rFonts w:ascii="Times New Roman" w:hAnsi="Times New Roman" w:eastAsia="方正小标宋_GBK" w:cs="Times New Roman"/>
          <w:color w:val="auto"/>
          <w:kern w:val="0"/>
          <w:szCs w:val="21"/>
        </w:rPr>
      </w:pPr>
    </w:p>
    <w:p>
      <w:pPr>
        <w:widowControl/>
        <w:ind w:left="93"/>
        <w:jc w:val="center"/>
        <w:rPr>
          <w:rFonts w:ascii="Times New Roman" w:hAnsi="Times New Roman" w:eastAsia="方正小标宋_GBK" w:cs="Times New Roman"/>
          <w:color w:val="auto"/>
          <w:kern w:val="0"/>
          <w:szCs w:val="21"/>
        </w:rPr>
      </w:pPr>
    </w:p>
    <w:p>
      <w:pPr>
        <w:widowControl/>
        <w:ind w:left="93"/>
        <w:jc w:val="center"/>
        <w:rPr>
          <w:rFonts w:ascii="Times New Roman" w:hAnsi="Times New Roman" w:eastAsia="方正小标宋_GBK" w:cs="Times New Roman"/>
          <w:color w:val="auto"/>
          <w:kern w:val="0"/>
          <w:szCs w:val="21"/>
        </w:rPr>
      </w:pPr>
    </w:p>
    <w:tbl>
      <w:tblPr>
        <w:tblStyle w:val="7"/>
        <w:tblW w:w="15521" w:type="dxa"/>
        <w:tblInd w:w="93" w:type="dxa"/>
        <w:tblLayout w:type="fixed"/>
        <w:tblCellMar>
          <w:top w:w="0" w:type="dxa"/>
          <w:left w:w="108" w:type="dxa"/>
          <w:bottom w:w="0" w:type="dxa"/>
          <w:right w:w="108" w:type="dxa"/>
        </w:tblCellMar>
      </w:tblPr>
      <w:tblGrid>
        <w:gridCol w:w="3595"/>
        <w:gridCol w:w="737"/>
        <w:gridCol w:w="1273"/>
        <w:gridCol w:w="2915"/>
        <w:gridCol w:w="1067"/>
        <w:gridCol w:w="1420"/>
        <w:gridCol w:w="1547"/>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color w:val="auto"/>
                <w:kern w:val="0"/>
                <w:sz w:val="24"/>
                <w:szCs w:val="24"/>
              </w:rPr>
            </w:pPr>
            <w:bookmarkStart w:id="0" w:name="RANGE!A1:I22"/>
            <w:bookmarkEnd w:id="0"/>
            <w:bookmarkStart w:id="1" w:name="RANGE!A1:F16"/>
          </w:p>
        </w:tc>
        <w:tc>
          <w:tcPr>
            <w:tcW w:w="737"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273"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2915"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067"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420"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547"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60" w:hRule="atLeast"/>
        </w:trPr>
        <w:tc>
          <w:tcPr>
            <w:tcW w:w="15521"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3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1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6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4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73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1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6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4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60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991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374.69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341.34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341.34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七、社会保障和就业支出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36.97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36.97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374.69　</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378.31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378.31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19.75　</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16.13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16.13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19.75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394.44　</w:t>
            </w:r>
          </w:p>
        </w:tc>
        <w:tc>
          <w:tcPr>
            <w:tcW w:w="29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28</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394.44　</w:t>
            </w:r>
          </w:p>
        </w:tc>
        <w:tc>
          <w:tcPr>
            <w:tcW w:w="15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394.44</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585" w:hRule="atLeast"/>
        </w:trPr>
        <w:tc>
          <w:tcPr>
            <w:tcW w:w="15521"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7"/>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378.31</w:t>
            </w:r>
            <w:r>
              <w:rPr>
                <w:rFonts w:ascii="Times New Roman" w:hAnsi="Times New Roman" w:eastAsia="仿宋_GB2312" w:cs="Times New Roman"/>
                <w:color w:val="auto"/>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346.68</w:t>
            </w: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341.34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309.71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20104</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发展与改革事务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341.34</w:t>
            </w:r>
          </w:p>
        </w:tc>
        <w:tc>
          <w:tcPr>
            <w:tcW w:w="3492" w:type="dxa"/>
            <w:tcBorders>
              <w:top w:val="nil"/>
              <w:left w:val="nil"/>
              <w:bottom w:val="single" w:color="auto" w:sz="4"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309.71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2010401</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 xml:space="preserve"> 309.71</w:t>
            </w:r>
          </w:p>
        </w:tc>
        <w:tc>
          <w:tcPr>
            <w:tcW w:w="3492" w:type="dxa"/>
            <w:tcBorders>
              <w:top w:val="nil"/>
              <w:left w:val="nil"/>
              <w:bottom w:val="single" w:color="auto" w:sz="4"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309.71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2010499</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 xml:space="preserve"> 31.63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ind w:firstLine="1155" w:firstLineChars="5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20805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492" w:type="dxa"/>
            <w:tcBorders>
              <w:top w:val="nil"/>
              <w:left w:val="nil"/>
              <w:bottom w:val="single" w:color="auto" w:sz="8"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420" w:firstLineChars="20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492" w:type="dxa"/>
            <w:tcBorders>
              <w:top w:val="nil"/>
              <w:left w:val="nil"/>
              <w:bottom w:val="single" w:color="auto" w:sz="8"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7"/>
        <w:tblW w:w="15614" w:type="dxa"/>
        <w:tblInd w:w="0" w:type="dxa"/>
        <w:tblLayout w:type="fixed"/>
        <w:tblCellMar>
          <w:top w:w="0" w:type="dxa"/>
          <w:left w:w="108" w:type="dxa"/>
          <w:bottom w:w="0" w:type="dxa"/>
          <w:right w:w="108" w:type="dxa"/>
        </w:tblCellMar>
      </w:tblPr>
      <w:tblGrid>
        <w:gridCol w:w="1338"/>
        <w:gridCol w:w="3366"/>
        <w:gridCol w:w="951"/>
        <w:gridCol w:w="857"/>
        <w:gridCol w:w="2316"/>
        <w:gridCol w:w="951"/>
        <w:gridCol w:w="857"/>
        <w:gridCol w:w="4206"/>
        <w:gridCol w:w="772"/>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4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59"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b/>
                <w:bCs/>
                <w:color w:val="auto"/>
                <w:kern w:val="0"/>
                <w:szCs w:val="20"/>
              </w:rPr>
              <w:t>253.59</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b/>
                <w:bCs/>
                <w:color w:val="auto"/>
                <w:kern w:val="0"/>
                <w:szCs w:val="20"/>
              </w:rPr>
              <w:t>93.09</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53.06</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8.27</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42.00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6.23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73.28</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6.50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0.44</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15.97</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1.54</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0.54</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19.00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1.63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9.00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2.00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10.23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24.30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0.53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17.48</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7.80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9.36</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0.53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5.73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5.30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4.55</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12.00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9.42</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b/>
                <w:bCs/>
                <w:color w:val="auto"/>
                <w:kern w:val="0"/>
                <w:szCs w:val="20"/>
              </w:rPr>
              <w:t>253.59</w:t>
            </w:r>
          </w:p>
        </w:tc>
        <w:tc>
          <w:tcPr>
            <w:tcW w:w="91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b/>
                <w:bCs/>
                <w:color w:val="auto"/>
                <w:kern w:val="0"/>
                <w:szCs w:val="20"/>
              </w:rPr>
              <w:t>93.09</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auto"/>
          <w:kern w:val="0"/>
          <w:sz w:val="36"/>
          <w:szCs w:val="36"/>
        </w:rPr>
      </w:pPr>
      <w:r>
        <w:rPr>
          <w:rFonts w:hint="eastAsia" w:ascii="Times New Roman" w:hAnsi="Times New Roman" w:eastAsia="方正小标宋_GBK" w:cs="Times New Roman"/>
          <w:color w:val="auto"/>
          <w:kern w:val="0"/>
          <w:sz w:val="36"/>
          <w:szCs w:val="36"/>
        </w:rPr>
        <w:t>一般公共预算财政拨款“三公”经费支出决算表</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w:t>
      </w:r>
      <w:r>
        <w:rPr>
          <w:rFonts w:hint="eastAsia" w:ascii="Times New Roman" w:hAnsi="Times New Roman" w:eastAsia="仿宋_GB2312" w:cs="Times New Roman"/>
          <w:color w:val="auto"/>
          <w:kern w:val="0"/>
          <w:szCs w:val="21"/>
        </w:rPr>
        <w:t>7</w:t>
      </w:r>
      <w:r>
        <w:rPr>
          <w:rFonts w:ascii="Times New Roman" w:hAnsi="Times New Roman" w:eastAsia="仿宋_GB2312" w:cs="Times New Roman"/>
          <w:color w:val="auto"/>
          <w:kern w:val="0"/>
          <w:szCs w:val="21"/>
        </w:rPr>
        <w:t>表</w:t>
      </w:r>
    </w:p>
    <w:p>
      <w:pPr>
        <w:widowControl/>
        <w:ind w:right="42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7"/>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5.08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4.55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0.53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5.08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4.55</w:t>
            </w:r>
            <w:r>
              <w:rPr>
                <w:rFonts w:ascii="Times New Roman" w:hAnsi="Times New Roman" w:eastAsia="仿宋_GB2312" w:cs="Times New Roman"/>
                <w:color w:val="auto"/>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0.53</w:t>
            </w:r>
          </w:p>
        </w:tc>
      </w:tr>
    </w:tbl>
    <w:p>
      <w:pPr>
        <w:widowControl/>
        <w:jc w:val="left"/>
        <w:rPr>
          <w:rFonts w:ascii="宋体" w:eastAsia="宋体" w:cs="宋体"/>
          <w:color w:val="auto"/>
          <w:kern w:val="0"/>
          <w:sz w:val="24"/>
          <w:szCs w:val="24"/>
        </w:rPr>
      </w:pPr>
      <w:r>
        <w:rPr>
          <w:rFonts w:hint="eastAsia" w:ascii="宋体" w:eastAsia="宋体" w:cs="宋体"/>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auto"/>
          <w:kern w:val="0"/>
          <w:sz w:val="24"/>
          <w:szCs w:val="24"/>
        </w:rPr>
        <w:br w:type="page"/>
      </w:r>
    </w:p>
    <w:p>
      <w:pPr>
        <w:autoSpaceDE w:val="0"/>
        <w:autoSpaceDN w:val="0"/>
        <w:adjustRightInd w:val="0"/>
        <w:ind w:left="315" w:leftChars="150"/>
        <w:jc w:val="left"/>
        <w:rPr>
          <w:rFonts w:ascii="宋体" w:eastAsia="宋体" w:cs="宋体"/>
          <w:color w:val="auto"/>
          <w:kern w:val="0"/>
          <w:sz w:val="24"/>
          <w:szCs w:val="24"/>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政府性基金预算财政拨款收入支出决算表</w:t>
      </w:r>
    </w:p>
    <w:p>
      <w:pPr>
        <w:widowControl/>
        <w:wordWrap w:val="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部门：                                                                                                                       公开08表</w:t>
      </w:r>
    </w:p>
    <w:p>
      <w:pPr>
        <w:widowControl/>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无</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注：本表反映部门本年度政府性基金预算财政拨款收入、支出及结转和结余情况</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(若本单位无政府性基金收支</w:t>
      </w:r>
      <w:r>
        <w:rPr>
          <w:rFonts w:hint="eastAsia" w:ascii="Times New Roman" w:hAnsi="Times New Roman" w:eastAsia="仿宋_GB2312" w:cs="Times New Roman"/>
          <w:color w:val="auto"/>
          <w:kern w:val="0"/>
          <w:szCs w:val="21"/>
        </w:rPr>
        <w:t>,请说明：XX单位没有政府性基金收入，也没有使用政府性基金安排的支出，故本表无数据</w:t>
      </w:r>
      <w:r>
        <w:rPr>
          <w:rFonts w:ascii="Times New Roman" w:hAnsi="Times New Roman" w:eastAsia="仿宋_GB2312" w:cs="Times New Roman"/>
          <w:color w:val="auto"/>
          <w:kern w:val="0"/>
          <w:szCs w:val="21"/>
        </w:rPr>
        <w:t>)。</w:t>
      </w:r>
    </w:p>
    <w:p>
      <w:pPr>
        <w:widowControl/>
        <w:jc w:val="left"/>
        <w:rPr>
          <w:rFonts w:ascii="黑体" w:hAnsi="黑体" w:eastAsia="黑体"/>
          <w:color w:val="auto"/>
          <w:szCs w:val="21"/>
        </w:rPr>
      </w:pPr>
      <w:r>
        <w:rPr>
          <w:rFonts w:ascii="黑体" w:hAnsi="黑体" w:eastAsia="黑体"/>
          <w:color w:val="auto"/>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Fonts w:hint="eastAsia" w:ascii="宋体" w:hAnsi="宋体" w:eastAsia="宋体" w:cs="宋体"/>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0</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注：本表反映部门本年度国有资本经营预算财政拨款支出情况。</w:t>
            </w:r>
          </w:p>
        </w:tc>
      </w:tr>
    </w:tbl>
    <w:p>
      <w:pPr>
        <w:pStyle w:val="11"/>
        <w:rPr>
          <w:color w:val="auto"/>
          <w:sz w:val="72"/>
          <w:szCs w:val="72"/>
        </w:rPr>
        <w:sectPr>
          <w:pgSz w:w="16838" w:h="11906" w:orient="landscape"/>
          <w:pgMar w:top="720" w:right="720" w:bottom="720" w:left="720" w:header="851" w:footer="992" w:gutter="0"/>
          <w:cols w:space="425" w:num="1"/>
          <w:docGrid w:type="lines" w:linePitch="312" w:charSpace="0"/>
        </w:sectPr>
      </w:pPr>
    </w:p>
    <w:p>
      <w:pPr>
        <w:pStyle w:val="11"/>
        <w:jc w:val="center"/>
        <w:rPr>
          <w:color w:val="auto"/>
          <w:sz w:val="70"/>
          <w:szCs w:val="70"/>
        </w:rPr>
      </w:pPr>
      <w:r>
        <w:rPr>
          <w:rFonts w:hint="eastAsia"/>
          <w:color w:val="auto"/>
          <w:sz w:val="36"/>
          <w:szCs w:val="36"/>
        </w:rPr>
        <w:t xml:space="preserve">第三部分  </w:t>
      </w:r>
      <w:r>
        <w:rPr>
          <w:color w:val="auto"/>
          <w:sz w:val="36"/>
          <w:szCs w:val="36"/>
        </w:rPr>
        <w:t>20</w:t>
      </w:r>
      <w:r>
        <w:rPr>
          <w:rFonts w:hint="eastAsia"/>
          <w:color w:val="auto"/>
          <w:sz w:val="36"/>
          <w:szCs w:val="36"/>
        </w:rPr>
        <w:t>20年度部门决算情况说明</w:t>
      </w:r>
    </w:p>
    <w:p>
      <w:pPr>
        <w:widowControl/>
        <w:jc w:val="left"/>
        <w:rPr>
          <w:rFonts w:asciiTheme="minorEastAsia" w:hAnsiTheme="minorEastAsia"/>
          <w:color w:val="auto"/>
          <w:sz w:val="32"/>
          <w:szCs w:val="32"/>
        </w:rPr>
      </w:pPr>
    </w:p>
    <w:p>
      <w:pPr>
        <w:pStyle w:val="11"/>
        <w:ind w:firstLine="562" w:firstLineChars="200"/>
        <w:rPr>
          <w:rFonts w:hAnsi="黑体"/>
          <w:b/>
          <w:color w:val="auto"/>
          <w:sz w:val="28"/>
          <w:szCs w:val="28"/>
        </w:rPr>
      </w:pPr>
      <w:r>
        <w:rPr>
          <w:rFonts w:hint="eastAsia" w:hAnsi="黑体"/>
          <w:b/>
          <w:color w:val="auto"/>
          <w:sz w:val="28"/>
          <w:szCs w:val="28"/>
        </w:rPr>
        <w:t>一、收入支出决算总体情况说明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2020年度总收入455.68万元。与上年相比，减少197.87万元，减少30.28%，主要是因为2019年项目经费结转结余减少。总支出455.68万元，较上年相比，减少197.87万元，减少30.28%，主要是因为2019年项目经费结转结余减少。</w:t>
      </w:r>
    </w:p>
    <w:p>
      <w:pPr>
        <w:pStyle w:val="11"/>
        <w:ind w:firstLine="562" w:firstLineChars="200"/>
        <w:rPr>
          <w:rFonts w:hAnsi="黑体"/>
          <w:b/>
          <w:color w:val="auto"/>
          <w:sz w:val="28"/>
          <w:szCs w:val="28"/>
        </w:rPr>
      </w:pPr>
      <w:r>
        <w:rPr>
          <w:rFonts w:hint="eastAsia" w:hAnsi="黑体"/>
          <w:b/>
          <w:color w:val="auto"/>
          <w:sz w:val="28"/>
          <w:szCs w:val="28"/>
        </w:rPr>
        <w:t>二、收入决算情况说明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本年收入合计455.68万元，其中：财政拨款收入374.69万元，占82.23%；其他收入15.15万元，占3.32%；年初结转和结余65.84万元，占14.45%。</w:t>
      </w:r>
    </w:p>
    <w:p>
      <w:pPr>
        <w:pStyle w:val="11"/>
        <w:ind w:firstLine="562" w:firstLineChars="200"/>
        <w:rPr>
          <w:rFonts w:hAnsi="黑体"/>
          <w:b/>
          <w:color w:val="auto"/>
          <w:sz w:val="28"/>
          <w:szCs w:val="28"/>
        </w:rPr>
      </w:pPr>
      <w:r>
        <w:rPr>
          <w:rFonts w:hint="eastAsia" w:hAnsi="黑体"/>
          <w:b/>
          <w:color w:val="auto"/>
          <w:sz w:val="28"/>
          <w:szCs w:val="28"/>
        </w:rPr>
        <w:t>三、支出决算情况说明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本年支出合计455.68万元，其中：基本支出346.68万元，占76.08%；项目支出46.04万元，占10.10%；年末结转和结余62.96万元，占13.82%。</w:t>
      </w:r>
    </w:p>
    <w:p>
      <w:pPr>
        <w:pStyle w:val="11"/>
        <w:ind w:firstLine="562" w:firstLineChars="200"/>
        <w:rPr>
          <w:rFonts w:hAnsi="黑体"/>
          <w:b/>
          <w:color w:val="auto"/>
          <w:sz w:val="28"/>
          <w:szCs w:val="28"/>
        </w:rPr>
      </w:pPr>
      <w:r>
        <w:rPr>
          <w:rFonts w:hint="eastAsia" w:hAnsi="黑体"/>
          <w:b/>
          <w:color w:val="auto"/>
          <w:sz w:val="28"/>
          <w:szCs w:val="28"/>
        </w:rPr>
        <w:t>四、财政拨款收入支出决算总体情况说明</w:t>
      </w:r>
    </w:p>
    <w:p>
      <w:pPr>
        <w:pStyle w:val="11"/>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2020年度财政拨款收入394.44万元，与上年相比，减少239万元,减少 37.73%，主要是因为项目经费减少。支出394.44万元（包括年末财政拨款结转和结余16.13万元），与上年相比，减少197.87万元，减少30.28%，减少的原因是将项目结余作为对市、县农调工作的转移支付。</w:t>
      </w:r>
    </w:p>
    <w:p>
      <w:pPr>
        <w:pStyle w:val="11"/>
        <w:ind w:firstLine="562" w:firstLineChars="200"/>
        <w:rPr>
          <w:rFonts w:hAnsi="黑体"/>
          <w:b/>
          <w:color w:val="auto"/>
          <w:sz w:val="28"/>
          <w:szCs w:val="28"/>
        </w:rPr>
      </w:pPr>
      <w:r>
        <w:rPr>
          <w:rFonts w:hint="eastAsia" w:hAnsi="黑体"/>
          <w:b/>
          <w:color w:val="auto"/>
          <w:sz w:val="28"/>
          <w:szCs w:val="28"/>
        </w:rPr>
        <w:t>五、一般公共预算财政拨款支出决算情况说明</w:t>
      </w:r>
    </w:p>
    <w:p>
      <w:pPr>
        <w:pStyle w:val="11"/>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（一）财政拨款支出决算总体情况</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2020年度财政拨款支出378.31万元，占本年支出合计的95.91%，与上年相比，财政拨款支出增加55.58万元，增长17.22%，主要是因为公用经费增加。</w:t>
      </w:r>
    </w:p>
    <w:p>
      <w:pPr>
        <w:pStyle w:val="11"/>
        <w:ind w:firstLine="421" w:firstLineChars="15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（二）财政拨款支出决算结构情况</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2020年度财政拨款支出378.31万元，主要用于以下方面：一般公共服务（类）支出341.34万元，占90.23%；社会保障和就业（类）支出36.97万元，占9.77%。</w:t>
      </w:r>
    </w:p>
    <w:p>
      <w:pPr>
        <w:pStyle w:val="11"/>
        <w:ind w:firstLine="702" w:firstLineChars="25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（三）财政拨款支出决算具体情况</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2020年度财政拨款支出年初预算数为383.43万元，支出决算数为378.31万元，完成年初预算的98.66%，其中：</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1、一般公共服务（类）发展与改革事务（款）行政运行（项）。</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年初预算为266.46万元，支出决算为309.71万元，完成年初预算的116.23%，决算数大于年初预算数的主要原因是：年初预算其他发展与改革事务支出有部分调整记入行政运行项下。</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2、一般公共服务（类）发展与改革事务（款）其他发展与改革事务支出（项）。</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年初预算为80万元，支出决算为31.63万元，完成年初预算的39.54%，决算数小于年初预算数的主要原因是：年初预算其他发展与改革事务支出有部分调整记入行政运行项下。</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3、社会保障和就业支出（类）行政事业单位养老支出（款）机关事业单位基本养老保险缴费支出（项）。</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年初预算为36.97万元，支出决算为36.97万元，完成年初预算的100%。</w:t>
      </w:r>
    </w:p>
    <w:p>
      <w:pPr>
        <w:pStyle w:val="11"/>
        <w:ind w:firstLine="562" w:firstLineChars="200"/>
        <w:rPr>
          <w:rFonts w:hAnsi="黑体"/>
          <w:b/>
          <w:color w:val="auto"/>
          <w:sz w:val="28"/>
          <w:szCs w:val="28"/>
        </w:rPr>
      </w:pPr>
      <w:r>
        <w:rPr>
          <w:rFonts w:hint="eastAsia" w:hAnsi="黑体"/>
          <w:b/>
          <w:color w:val="auto"/>
          <w:sz w:val="28"/>
          <w:szCs w:val="28"/>
        </w:rPr>
        <w:t>六、一般公共预算财政拨款基本支出决算情况说明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基本支出346.68万元，其中：人员经费253.59万元，占基本支出的73.15%,主要包括基本工资、津贴补贴、奖金、伙食补助费、职工基本养老保险缴费、其他社会保障缴费、住房公积金、其他工资福利支出；公用经费93.09万元，占基本支出的26.85%，主要包括办公费、印刷费、水费、、电费、邮电费、取暖费、物业管理费、差旅费、维修费、会议费、培训费、公务接待费、工会经费、福利费、公务用车运行维护费、其他交通费用、其他商品和服务支出。</w:t>
      </w:r>
    </w:p>
    <w:p>
      <w:pPr>
        <w:pStyle w:val="11"/>
        <w:ind w:firstLine="562" w:firstLineChars="200"/>
        <w:rPr>
          <w:rFonts w:hAnsi="黑体"/>
          <w:b/>
          <w:color w:val="auto"/>
          <w:sz w:val="28"/>
          <w:szCs w:val="28"/>
        </w:rPr>
      </w:pPr>
      <w:r>
        <w:rPr>
          <w:rFonts w:hint="eastAsia" w:hAnsi="黑体"/>
          <w:b/>
          <w:color w:val="auto"/>
          <w:sz w:val="28"/>
          <w:szCs w:val="28"/>
        </w:rPr>
        <w:t>七、一般公共预算财政拨款三公经费支出决算情况说明</w:t>
      </w:r>
    </w:p>
    <w:p>
      <w:pPr>
        <w:pStyle w:val="11"/>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（一）“三公”经费财政拨款支出决算总体情况说明</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“三公”经费财政拨款支出预算为5.08万元，支出决算为5.08万元，完成预算的100%，其中：</w:t>
      </w:r>
    </w:p>
    <w:p>
      <w:pPr>
        <w:pStyle w:val="11"/>
        <w:ind w:firstLine="700" w:firstLineChars="25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因公出国（境）费支出预算为0万元，支出决算为0万元，完成预算的0%，与上年相比减少0万元，减少0%。</w:t>
      </w:r>
    </w:p>
    <w:p>
      <w:pPr>
        <w:pStyle w:val="11"/>
        <w:ind w:firstLine="700" w:firstLineChars="25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公务接待费支出预算为0.53万元，支出决算为0.53万元，完成预算的100%，与上年相比减少0万元，减少0%。</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公务用车购置费及运行维护费支出预算为4.55万元，支出决算为4.55万元，完成预算的100%，与上年相比减少0万元，减少0%。</w:t>
      </w:r>
    </w:p>
    <w:p>
      <w:pPr>
        <w:pStyle w:val="11"/>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（二）“三公”经费财政拨款支出决算具体情况说明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2020年度“三公”经费财政拨款支出决算中，公务接待费支出决算0.53万元，占10.43%,公务用车购置费及运行维护费支出决算4.55万元，占89.57%。其中：</w:t>
      </w:r>
    </w:p>
    <w:p>
      <w:pPr>
        <w:pStyle w:val="11"/>
        <w:ind w:firstLine="700" w:firstLineChars="25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1、因公出国（境）费支出决算为0万元，全年安排因公出国（境）团组0个，累计0人次。</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2、公务接待费支出决算为0.53万元，全年共接待来访团组8个、来宾66人次，主要是业务上的学习和交流发生的接待支出。</w:t>
      </w:r>
    </w:p>
    <w:p>
      <w:pPr>
        <w:ind w:firstLine="700" w:firstLineChars="250"/>
        <w:rPr>
          <w:rFonts w:cs="黑体" w:asciiTheme="minorEastAsia" w:hAnsiTheme="minorEastAsia"/>
          <w:color w:val="auto"/>
          <w:kern w:val="0"/>
          <w:sz w:val="28"/>
          <w:szCs w:val="28"/>
        </w:rPr>
      </w:pPr>
      <w:r>
        <w:rPr>
          <w:rFonts w:hint="eastAsia" w:asciiTheme="minorEastAsia" w:hAnsiTheme="minorEastAsia"/>
          <w:color w:val="auto"/>
          <w:sz w:val="28"/>
          <w:szCs w:val="28"/>
        </w:rPr>
        <w:t>3、公务用车购置费及运行维护费支出决算为4.55万元，其中：公务用车运行维护费4.55万元，主要是公务用车油费、维护费用支出，截止2020年12月31日，我单位开支财政拨款的公务用车保有量为1辆。</w:t>
      </w:r>
    </w:p>
    <w:p>
      <w:pPr>
        <w:pStyle w:val="11"/>
        <w:ind w:firstLine="562" w:firstLineChars="200"/>
        <w:rPr>
          <w:rFonts w:hAnsi="黑体"/>
          <w:b/>
          <w:color w:val="auto"/>
          <w:sz w:val="28"/>
          <w:szCs w:val="28"/>
        </w:rPr>
      </w:pPr>
      <w:r>
        <w:rPr>
          <w:rFonts w:hint="eastAsia" w:hAnsi="黑体"/>
          <w:b/>
          <w:color w:val="auto"/>
          <w:sz w:val="28"/>
          <w:szCs w:val="28"/>
        </w:rPr>
        <w:t>八、政府性基金预算收入支出决算情况</w:t>
      </w:r>
    </w:p>
    <w:p>
      <w:pPr>
        <w:pStyle w:val="11"/>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2020年度本单位无政府性基金收支。</w:t>
      </w:r>
    </w:p>
    <w:p>
      <w:pPr>
        <w:pStyle w:val="11"/>
        <w:ind w:firstLine="562" w:firstLineChars="200"/>
        <w:rPr>
          <w:rFonts w:hAnsi="黑体"/>
          <w:b/>
          <w:color w:val="auto"/>
          <w:sz w:val="28"/>
          <w:szCs w:val="28"/>
        </w:rPr>
      </w:pPr>
      <w:r>
        <w:rPr>
          <w:rFonts w:hint="eastAsia" w:hAnsi="黑体"/>
          <w:b/>
          <w:color w:val="auto"/>
          <w:sz w:val="28"/>
          <w:szCs w:val="28"/>
        </w:rPr>
        <w:t>九、关于机关运行经费支出说明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本部门2020年度机关运行经费支出93.09万元，比年初预算数减少3.93万元，降低4.05%。主要原因是：严格管理，厉行节约。</w:t>
      </w:r>
    </w:p>
    <w:p>
      <w:pPr>
        <w:pStyle w:val="11"/>
        <w:ind w:firstLine="562" w:firstLineChars="200"/>
        <w:rPr>
          <w:rFonts w:hAnsi="黑体"/>
          <w:b/>
          <w:color w:val="auto"/>
          <w:sz w:val="28"/>
          <w:szCs w:val="28"/>
        </w:rPr>
      </w:pPr>
      <w:r>
        <w:rPr>
          <w:rFonts w:hint="eastAsia" w:hAnsi="黑体"/>
          <w:b/>
          <w:color w:val="auto"/>
          <w:sz w:val="28"/>
          <w:szCs w:val="28"/>
        </w:rPr>
        <w:t>十、一般性支出情况</w:t>
      </w:r>
    </w:p>
    <w:p>
      <w:pPr>
        <w:pStyle w:val="3"/>
        <w:widowControl/>
        <w:spacing w:beforeAutospacing="0" w:afterAutospacing="0"/>
        <w:rPr>
          <w:rFonts w:hint="default" w:cs="黑体" w:asciiTheme="minorEastAsia" w:hAnsiTheme="minorEastAsia" w:eastAsiaTheme="minorEastAsia"/>
          <w:b w:val="0"/>
          <w:color w:val="auto"/>
          <w:sz w:val="28"/>
          <w:szCs w:val="28"/>
        </w:rPr>
      </w:pPr>
      <w:r>
        <w:rPr>
          <w:rFonts w:cs="黑体" w:asciiTheme="minorEastAsia" w:hAnsiTheme="minorEastAsia" w:eastAsiaTheme="minorEastAsia"/>
          <w:b w:val="0"/>
          <w:color w:val="auto"/>
          <w:sz w:val="28"/>
          <w:szCs w:val="28"/>
        </w:rPr>
        <w:t xml:space="preserve">    2020年本部门开支会议费7.80万元，用于召开三类会议，人数170人，内容为全省城镇污水处理成本监审业务培训会议，用于召开三类会议，人数38人，内容为全省成本工作座谈会议；开支培训费9.36万元，用于开展三类培训，人数170人，内容为全省城镇污水处理成本监审业务培训。</w:t>
      </w:r>
      <w:r>
        <w:rPr>
          <w:rFonts w:hint="default" w:cs="黑体" w:asciiTheme="minorEastAsia" w:hAnsiTheme="minorEastAsia" w:eastAsiaTheme="minorEastAsia"/>
          <w:b w:val="0"/>
          <w:color w:val="auto"/>
          <w:sz w:val="28"/>
          <w:szCs w:val="28"/>
        </w:rPr>
        <w:t>20</w:t>
      </w:r>
      <w:r>
        <w:rPr>
          <w:rFonts w:cs="黑体" w:asciiTheme="minorEastAsia" w:hAnsiTheme="minorEastAsia" w:eastAsiaTheme="minorEastAsia"/>
          <w:b w:val="0"/>
          <w:color w:val="auto"/>
          <w:sz w:val="28"/>
          <w:szCs w:val="28"/>
        </w:rPr>
        <w:t>20年全年无举办节庆、晚会、论坛、赛事等活动。</w:t>
      </w:r>
    </w:p>
    <w:p>
      <w:pPr>
        <w:pStyle w:val="11"/>
        <w:ind w:firstLine="562" w:firstLineChars="200"/>
        <w:rPr>
          <w:rFonts w:hAnsi="黑体"/>
          <w:b/>
          <w:color w:val="auto"/>
          <w:sz w:val="28"/>
          <w:szCs w:val="28"/>
        </w:rPr>
      </w:pPr>
      <w:r>
        <w:rPr>
          <w:rFonts w:hint="eastAsia" w:hAnsi="黑体"/>
          <w:b/>
          <w:color w:val="auto"/>
          <w:sz w:val="28"/>
          <w:szCs w:val="28"/>
        </w:rPr>
        <w:t>十一、关于政府采购支出说明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部门2020年度政府采购支出总额8.86万元，其中：政府采购货物支出8.86万元、政府采购工程支出0万元、政府采购服务支出0万元。授予中小企业合同金额8.86万元，占政府采购支出总额的100%，其中：授予小微企业合同金额8.86万元，占政府采购支出总额的100%。</w:t>
      </w:r>
    </w:p>
    <w:p>
      <w:pPr>
        <w:pStyle w:val="11"/>
        <w:ind w:firstLine="562" w:firstLineChars="200"/>
        <w:rPr>
          <w:rFonts w:hAnsi="黑体"/>
          <w:b/>
          <w:color w:val="auto"/>
          <w:sz w:val="28"/>
          <w:szCs w:val="28"/>
        </w:rPr>
      </w:pPr>
      <w:r>
        <w:rPr>
          <w:rFonts w:hint="eastAsia" w:hAnsi="黑体"/>
          <w:b/>
          <w:color w:val="auto"/>
          <w:sz w:val="28"/>
          <w:szCs w:val="28"/>
        </w:rPr>
        <w:t>十二、关于国有资产占用情况说明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截至2020年12月31日，本单位共有车辆1辆，主要是其他公务用车；单位价值50万元以上通用设备0台（套）；单位价值100万元以上专用设备0台（套）。</w:t>
      </w:r>
    </w:p>
    <w:p>
      <w:pPr>
        <w:pStyle w:val="11"/>
        <w:ind w:firstLine="562" w:firstLineChars="200"/>
        <w:rPr>
          <w:rFonts w:hAnsi="黑体"/>
          <w:b/>
          <w:color w:val="auto"/>
          <w:sz w:val="28"/>
          <w:szCs w:val="28"/>
        </w:rPr>
      </w:pPr>
      <w:r>
        <w:rPr>
          <w:rFonts w:hint="eastAsia" w:hAnsi="黑体"/>
          <w:b/>
          <w:color w:val="auto"/>
          <w:sz w:val="28"/>
          <w:szCs w:val="28"/>
        </w:rPr>
        <w:t>十三、关于2020年度预算绩效情况的说明</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根据《湖南省财政厅关于开展2020年度部门整体支出绩效自评工作的通知》（湘财绩〔2020〕4号）等文件精神，我队设立绩效评价工作小组，针对我队2020年度部门整体支出进行了绩效自评。评价主要围绕部门职责、行业发展规划，以预算资金管理为主线，总结部门资产管理和开展业务情况，从运行成本、管理效率、履职效能、社会效应、可持续发展能力和服务对象满意度等方面进行了综合评价。对照年初制定的绩效目标及《部门整体支出绩效评价指标》和《项目支出绩效评价指标》进行评价，自评得分分别为97.6分和94.4分，整体结果为“优”。同时已按省财政厅统一要求在我委门户网站公开。</w:t>
      </w:r>
    </w:p>
    <w:p>
      <w:pPr>
        <w:rPr>
          <w:color w:val="auto"/>
        </w:rPr>
      </w:pPr>
      <w:r>
        <w:rPr>
          <w:rFonts w:hint="eastAsia"/>
          <w:color w:val="auto"/>
        </w:rPr>
        <w:br w:type="page"/>
      </w:r>
    </w:p>
    <w:p>
      <w:pPr>
        <w:pStyle w:val="2"/>
        <w:rPr>
          <w:rFonts w:hint="default"/>
          <w:color w:val="auto"/>
        </w:rPr>
      </w:pPr>
    </w:p>
    <w:p>
      <w:pPr>
        <w:pStyle w:val="11"/>
        <w:jc w:val="center"/>
        <w:rPr>
          <w:color w:val="auto"/>
          <w:sz w:val="36"/>
          <w:szCs w:val="36"/>
        </w:rPr>
      </w:pPr>
      <w:r>
        <w:rPr>
          <w:rFonts w:hint="eastAsia"/>
          <w:color w:val="auto"/>
          <w:sz w:val="36"/>
          <w:szCs w:val="36"/>
        </w:rPr>
        <w:t>第四部分  名词解释</w:t>
      </w:r>
    </w:p>
    <w:p>
      <w:pPr>
        <w:widowControl/>
        <w:jc w:val="left"/>
        <w:rPr>
          <w:rFonts w:cs="黑体" w:asciiTheme="minorEastAsia" w:hAnsiTheme="minorEastAsia"/>
          <w:color w:val="auto"/>
          <w:kern w:val="0"/>
          <w:sz w:val="32"/>
          <w:szCs w:val="32"/>
        </w:rPr>
      </w:pP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公共财政拨款收入：指中央及省级财政当年拨付的资金。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上级补助收入：指事业单位从主管部门和上级单位取得的非财政补助收入。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其他收入：指除“财政拨款收入”以外的收入。主要是上级单位拨款、重点项目前期协调工作经费及存款利息收入等。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项目支出：指在基本支出之外为完成特定行政任务和事业发展目标所发生的支出。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年初结转和结余：指以前年度尚未完成、结转到本年仍按原规定用途继续使用的资金，或项目已完成等产生的结余资金。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结余分配：指事业单位按照事业单位会计制度的规定从事业收入或经营收入中按规定提取的事业基金和职工福利基金。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年末结转和结余：指单位按有关规定结转到下年或以后年度继续使用的资金。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住房保障支出(类)住房改革支出(款)：反映行政事业单位用财政拨款资金和其他资金等安排的住房改革支出。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住房公积金(项)：反映行政事业单位按人社厅和财政厅相关规定的以基本工资和津贴补贴等构成的工资总额为基数，按规定比例为职工缴纳的住房公积金。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 </w:t>
      </w:r>
    </w:p>
    <w:p>
      <w:pPr>
        <w:pStyle w:val="11"/>
        <w:jc w:val="center"/>
        <w:rPr>
          <w:rFonts w:asciiTheme="minorEastAsia" w:hAnsiTheme="minorEastAsia" w:eastAsiaTheme="minorEastAsia" w:cstheme="minorEastAsia"/>
          <w:color w:val="auto"/>
          <w:sz w:val="28"/>
          <w:szCs w:val="28"/>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rPr>
          <w:color w:val="auto"/>
          <w:sz w:val="36"/>
          <w:szCs w:val="36"/>
        </w:rPr>
      </w:pPr>
      <w:r>
        <w:rPr>
          <w:rFonts w:hint="eastAsia"/>
          <w:color w:val="auto"/>
          <w:sz w:val="36"/>
          <w:szCs w:val="36"/>
        </w:rPr>
        <w:br w:type="page"/>
      </w:r>
    </w:p>
    <w:p>
      <w:pPr>
        <w:pStyle w:val="11"/>
        <w:numPr>
          <w:ilvl w:val="0"/>
          <w:numId w:val="1"/>
        </w:numPr>
        <w:jc w:val="center"/>
        <w:rPr>
          <w:color w:val="auto"/>
          <w:sz w:val="36"/>
          <w:szCs w:val="36"/>
        </w:rPr>
      </w:pPr>
      <w:r>
        <w:rPr>
          <w:rFonts w:hint="eastAsia"/>
          <w:color w:val="auto"/>
          <w:sz w:val="36"/>
          <w:szCs w:val="36"/>
        </w:rPr>
        <w:t xml:space="preserve"> 附件</w:t>
      </w:r>
    </w:p>
    <w:p>
      <w:pPr>
        <w:pStyle w:val="11"/>
        <w:jc w:val="both"/>
        <w:rPr>
          <w:color w:val="auto"/>
          <w:sz w:val="36"/>
          <w:szCs w:val="36"/>
        </w:rPr>
      </w:pPr>
    </w:p>
    <w:p>
      <w:pPr>
        <w:widowControl/>
        <w:jc w:val="center"/>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2020年度部门整体支出绩效评价报告</w:t>
      </w:r>
    </w:p>
    <w:p>
      <w:pPr>
        <w:spacing w:line="596" w:lineRule="exact"/>
        <w:rPr>
          <w:rFonts w:eastAsia="黑体"/>
          <w:color w:val="auto"/>
          <w:sz w:val="28"/>
          <w:szCs w:val="28"/>
        </w:rPr>
      </w:pPr>
      <w:r>
        <w:rPr>
          <w:rFonts w:eastAsia="黑体"/>
          <w:color w:val="auto"/>
          <w:sz w:val="28"/>
          <w:szCs w:val="28"/>
        </w:rPr>
        <w:t>一、基本情况</w:t>
      </w:r>
    </w:p>
    <w:p>
      <w:pPr>
        <w:spacing w:line="596" w:lineRule="exact"/>
        <w:ind w:firstLine="562" w:firstLineChars="200"/>
        <w:rPr>
          <w:rFonts w:eastAsia="楷体_GB2312"/>
          <w:b/>
          <w:color w:val="auto"/>
          <w:sz w:val="28"/>
          <w:szCs w:val="28"/>
        </w:rPr>
      </w:pPr>
      <w:r>
        <w:rPr>
          <w:rFonts w:eastAsia="楷体_GB2312"/>
          <w:b/>
          <w:color w:val="auto"/>
          <w:sz w:val="28"/>
          <w:szCs w:val="28"/>
        </w:rPr>
        <w:t>（一）部门（单位）基本情况</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9名。主要职能为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价成本监审工作；承担重要商品和服务成本监测；负责组织、指导、协调全省成本工作；承办“湖南成本价格发布平台”运行等。主要包括成本调查、成本监审、成本监测等三大方面的工作：</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 xml:space="preserve">农本调查：国家和省里安排的重要农产品成本调查，包括7个直报品种、24个常规品种、3个专项和生猪月报应急成本调查等工作任务，涉及全省14个市州、54个县市区、约2000户农调户。 </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成本监审：承担政府制定或调整商品、服务价格和行政事业性收费前实施定价成本监审，并进行定期监审；对政府购买服务中单一来源采购和定向委托方式的项目开展成本监审工作。</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成本监测：动态掌握重要商品与服务的成本状况，加强价格成本数据的研究，促进成果转化。</w:t>
      </w:r>
    </w:p>
    <w:p>
      <w:pPr>
        <w:spacing w:line="596" w:lineRule="exact"/>
        <w:ind w:firstLine="562" w:firstLineChars="200"/>
        <w:rPr>
          <w:rFonts w:eastAsia="楷体_GB2312"/>
          <w:b/>
          <w:color w:val="auto"/>
          <w:sz w:val="28"/>
          <w:szCs w:val="28"/>
        </w:rPr>
      </w:pPr>
      <w:r>
        <w:rPr>
          <w:rFonts w:eastAsia="楷体_GB2312"/>
          <w:b/>
          <w:color w:val="auto"/>
          <w:sz w:val="28"/>
          <w:szCs w:val="28"/>
        </w:rPr>
        <w:t>（二）</w:t>
      </w:r>
      <w:r>
        <w:rPr>
          <w:rFonts w:hint="eastAsia" w:eastAsia="楷体_GB2312"/>
          <w:b/>
          <w:color w:val="auto"/>
          <w:sz w:val="28"/>
          <w:szCs w:val="28"/>
        </w:rPr>
        <w:t>部门整体收支情况</w:t>
      </w:r>
    </w:p>
    <w:p>
      <w:pPr>
        <w:spacing w:line="600" w:lineRule="exact"/>
        <w:ind w:firstLine="560" w:firstLineChars="200"/>
        <w:rPr>
          <w:rFonts w:eastAsia="仿宋_GB2312"/>
          <w:color w:val="auto"/>
          <w:sz w:val="28"/>
          <w:szCs w:val="28"/>
          <w:highlight w:val="yellow"/>
        </w:rPr>
      </w:pPr>
      <w:r>
        <w:rPr>
          <w:rFonts w:hint="eastAsia" w:eastAsia="仿宋_GB2312"/>
          <w:color w:val="auto"/>
          <w:sz w:val="28"/>
          <w:szCs w:val="28"/>
        </w:rPr>
        <w:t>2020年初，省财政厅批复我队年初预算收入为383.43万元，调整预算数为</w:t>
      </w:r>
      <w:r>
        <w:rPr>
          <w:rFonts w:eastAsia="仿宋_GB2312"/>
          <w:color w:val="auto"/>
          <w:sz w:val="28"/>
          <w:szCs w:val="28"/>
        </w:rPr>
        <w:t>389</w:t>
      </w:r>
      <w:r>
        <w:rPr>
          <w:rFonts w:hint="eastAsia" w:eastAsia="仿宋_GB2312"/>
          <w:color w:val="auto"/>
          <w:sz w:val="28"/>
          <w:szCs w:val="28"/>
        </w:rPr>
        <w:t>.</w:t>
      </w:r>
      <w:r>
        <w:rPr>
          <w:rFonts w:eastAsia="仿宋_GB2312"/>
          <w:color w:val="auto"/>
          <w:sz w:val="28"/>
          <w:szCs w:val="28"/>
        </w:rPr>
        <w:t>84</w:t>
      </w:r>
      <w:r>
        <w:rPr>
          <w:rFonts w:hint="eastAsia" w:eastAsia="仿宋_GB2312"/>
          <w:color w:val="auto"/>
          <w:sz w:val="28"/>
          <w:szCs w:val="28"/>
        </w:rPr>
        <w:t>万元，上年财政资金结余</w:t>
      </w:r>
      <w:r>
        <w:rPr>
          <w:rFonts w:eastAsia="仿宋_GB2312"/>
          <w:color w:val="auto"/>
          <w:sz w:val="28"/>
          <w:szCs w:val="28"/>
        </w:rPr>
        <w:t>65</w:t>
      </w:r>
      <w:r>
        <w:rPr>
          <w:rFonts w:hint="eastAsia" w:eastAsia="仿宋_GB2312"/>
          <w:color w:val="auto"/>
          <w:sz w:val="28"/>
          <w:szCs w:val="28"/>
        </w:rPr>
        <w:t>.</w:t>
      </w:r>
      <w:r>
        <w:rPr>
          <w:rFonts w:eastAsia="仿宋_GB2312"/>
          <w:color w:val="auto"/>
          <w:sz w:val="28"/>
          <w:szCs w:val="28"/>
        </w:rPr>
        <w:t>84</w:t>
      </w:r>
      <w:r>
        <w:rPr>
          <w:rFonts w:hint="eastAsia" w:eastAsia="仿宋_GB2312"/>
          <w:color w:val="auto"/>
          <w:sz w:val="28"/>
          <w:szCs w:val="28"/>
        </w:rPr>
        <w:t>万元，全年经费收入合计为</w:t>
      </w:r>
      <w:r>
        <w:rPr>
          <w:rFonts w:eastAsia="仿宋_GB2312"/>
          <w:color w:val="auto"/>
          <w:sz w:val="28"/>
          <w:szCs w:val="28"/>
        </w:rPr>
        <w:t>455</w:t>
      </w:r>
      <w:r>
        <w:rPr>
          <w:rFonts w:hint="eastAsia" w:eastAsia="仿宋_GB2312"/>
          <w:color w:val="auto"/>
          <w:sz w:val="28"/>
          <w:szCs w:val="28"/>
        </w:rPr>
        <w:t>.</w:t>
      </w:r>
      <w:r>
        <w:rPr>
          <w:rFonts w:eastAsia="仿宋_GB2312"/>
          <w:color w:val="auto"/>
          <w:sz w:val="28"/>
          <w:szCs w:val="28"/>
        </w:rPr>
        <w:t>68</w:t>
      </w:r>
      <w:r>
        <w:rPr>
          <w:rFonts w:hint="eastAsia" w:eastAsia="仿宋_GB2312"/>
          <w:color w:val="auto"/>
          <w:sz w:val="28"/>
          <w:szCs w:val="28"/>
        </w:rPr>
        <w:t>万元；2020年决算总支出392.72万元；年末结余62.96万元。</w:t>
      </w:r>
    </w:p>
    <w:p>
      <w:pPr>
        <w:spacing w:line="600" w:lineRule="exact"/>
        <w:ind w:firstLine="560" w:firstLineChars="200"/>
        <w:rPr>
          <w:color w:val="auto"/>
          <w:sz w:val="28"/>
          <w:szCs w:val="28"/>
        </w:rPr>
      </w:pPr>
      <w:r>
        <w:rPr>
          <w:rFonts w:hint="eastAsia" w:eastAsia="仿宋_GB2312"/>
          <w:color w:val="auto"/>
          <w:sz w:val="28"/>
          <w:szCs w:val="28"/>
        </w:rPr>
        <w:t>2020年决算总支出为392.72万元，其中工资福利支出253.59万元、商品和服务支出124.72万元，其他支出14.41万元。上述决算支出中基本支出346.68万元，项目支出46.04万元。</w:t>
      </w:r>
    </w:p>
    <w:p>
      <w:pPr>
        <w:numPr>
          <w:ilvl w:val="0"/>
          <w:numId w:val="2"/>
        </w:numPr>
        <w:spacing w:line="596" w:lineRule="exact"/>
        <w:ind w:firstLine="562" w:firstLineChars="200"/>
        <w:rPr>
          <w:rFonts w:eastAsia="楷体_GB2312"/>
          <w:b/>
          <w:color w:val="auto"/>
          <w:sz w:val="28"/>
          <w:szCs w:val="28"/>
        </w:rPr>
      </w:pPr>
      <w:r>
        <w:rPr>
          <w:rFonts w:eastAsia="楷体_GB2312"/>
          <w:b/>
          <w:color w:val="auto"/>
          <w:sz w:val="28"/>
          <w:szCs w:val="28"/>
        </w:rPr>
        <w:t>部门（单位）年度整体支出绩效目标，省级专项资金绩效目标、其他项目支出（除省级专项资金以外）绩效目标</w:t>
      </w:r>
    </w:p>
    <w:p>
      <w:pPr>
        <w:pStyle w:val="2"/>
        <w:rPr>
          <w:rFonts w:hint="default"/>
          <w:color w:val="auto"/>
        </w:rPr>
      </w:pPr>
    </w:p>
    <w:p>
      <w:pPr>
        <w:pStyle w:val="16"/>
        <w:spacing w:line="596" w:lineRule="exact"/>
        <w:ind w:firstLine="560"/>
        <w:rPr>
          <w:rFonts w:eastAsia="黑体"/>
          <w:color w:val="auto"/>
          <w:sz w:val="28"/>
          <w:szCs w:val="28"/>
        </w:rPr>
      </w:pPr>
      <w:r>
        <w:rPr>
          <w:rFonts w:eastAsia="黑体"/>
          <w:color w:val="auto"/>
          <w:sz w:val="28"/>
          <w:szCs w:val="28"/>
        </w:rPr>
        <w:t>二、一般公共预算支出情况</w:t>
      </w:r>
    </w:p>
    <w:p>
      <w:pPr>
        <w:pStyle w:val="16"/>
        <w:spacing w:line="596" w:lineRule="exact"/>
        <w:ind w:firstLine="562"/>
        <w:rPr>
          <w:rFonts w:eastAsia="楷体_GB2312"/>
          <w:b/>
          <w:color w:val="auto"/>
          <w:sz w:val="28"/>
          <w:szCs w:val="28"/>
        </w:rPr>
      </w:pPr>
      <w:r>
        <w:rPr>
          <w:rFonts w:eastAsia="楷体_GB2312"/>
          <w:b/>
          <w:color w:val="auto"/>
          <w:sz w:val="28"/>
          <w:szCs w:val="28"/>
        </w:rPr>
        <w:t>（一）基本支出情况</w:t>
      </w:r>
    </w:p>
    <w:p>
      <w:pPr>
        <w:pStyle w:val="16"/>
        <w:spacing w:line="596" w:lineRule="exact"/>
        <w:ind w:firstLine="560"/>
        <w:rPr>
          <w:rFonts w:eastAsia="仿宋_GB2312"/>
          <w:color w:val="auto"/>
          <w:sz w:val="28"/>
          <w:szCs w:val="28"/>
        </w:rPr>
      </w:pPr>
      <w:r>
        <w:rPr>
          <w:rFonts w:hint="eastAsia" w:eastAsia="仿宋_GB2312"/>
          <w:color w:val="auto"/>
          <w:sz w:val="28"/>
          <w:szCs w:val="28"/>
        </w:rPr>
        <w:t>2020年本单位基本支出决算数 346.68万元，主要是为保障单位机构正常运转、完成日常工作任务而发生的各项支出，包括工资福利支出253.59万元，商品和服务支出93.09万元。三公经费使用均未超标，严格按照预算执行，执行率100%。</w:t>
      </w:r>
    </w:p>
    <w:p>
      <w:pPr>
        <w:pStyle w:val="16"/>
        <w:spacing w:line="596" w:lineRule="exact"/>
        <w:ind w:firstLine="562"/>
        <w:rPr>
          <w:rFonts w:eastAsia="楷体_GB2312"/>
          <w:b/>
          <w:color w:val="auto"/>
          <w:sz w:val="28"/>
          <w:szCs w:val="28"/>
        </w:rPr>
      </w:pPr>
      <w:r>
        <w:rPr>
          <w:rFonts w:eastAsia="楷体_GB2312"/>
          <w:b/>
          <w:color w:val="auto"/>
          <w:sz w:val="28"/>
          <w:szCs w:val="28"/>
        </w:rPr>
        <w:t>（二）项目支出情况</w:t>
      </w:r>
    </w:p>
    <w:p>
      <w:pPr>
        <w:pStyle w:val="16"/>
        <w:spacing w:line="596" w:lineRule="exact"/>
        <w:ind w:firstLine="560"/>
        <w:rPr>
          <w:rFonts w:eastAsia="仿宋_GB2312"/>
          <w:color w:val="auto"/>
          <w:sz w:val="28"/>
          <w:szCs w:val="28"/>
          <w:highlight w:val="yellow"/>
        </w:rPr>
      </w:pPr>
      <w:r>
        <w:rPr>
          <w:rFonts w:hint="eastAsia" w:eastAsia="仿宋_GB2312"/>
          <w:color w:val="auto"/>
          <w:sz w:val="28"/>
          <w:szCs w:val="28"/>
        </w:rPr>
        <w:t>2020年本单位项目支出决算 46.04万元，主要是部门为完成成本调查、成本监审、成本监测及“湖南成本价格发布平台”等方面的工作而发生的业务工作经费支出，其中稻谷平台及服务经费项目支出5.33万元；重要商品成本监测专项支出支出4.88万元；政府购买服务经费成本监审专项支出0.17万元；政府购买服务成本监审专项支出支出1.78万元；稻谷服务平台及服务经费项目支出0.19万元；定价成本监审专项经费项目支出13.17万元；农产品成本调查经费项目支出1.54万元；农产品成本调查专项经费项目支出4.56万元；国家成本监审经费14.41万元。2020年项目执行率偏低，只要是由于以前年度沉积往来账户资金较多，从2020年进行逐年消化，无法一步到位，全部消化，导致整体项目支出比例较低。</w:t>
      </w:r>
    </w:p>
    <w:p>
      <w:pPr>
        <w:pStyle w:val="16"/>
        <w:spacing w:line="596" w:lineRule="exact"/>
        <w:ind w:firstLine="560"/>
        <w:rPr>
          <w:rFonts w:eastAsia="黑体"/>
          <w:color w:val="auto"/>
          <w:sz w:val="28"/>
          <w:szCs w:val="28"/>
        </w:rPr>
      </w:pPr>
      <w:r>
        <w:rPr>
          <w:rFonts w:eastAsia="黑体"/>
          <w:color w:val="auto"/>
          <w:sz w:val="28"/>
          <w:szCs w:val="28"/>
        </w:rPr>
        <w:t>三、政府性基金预算支出情况</w:t>
      </w:r>
    </w:p>
    <w:p>
      <w:pPr>
        <w:pStyle w:val="16"/>
        <w:spacing w:line="596" w:lineRule="exact"/>
        <w:ind w:firstLine="560"/>
        <w:rPr>
          <w:rFonts w:eastAsia="黑体"/>
          <w:color w:val="auto"/>
          <w:sz w:val="28"/>
          <w:szCs w:val="28"/>
        </w:rPr>
      </w:pPr>
      <w:r>
        <w:rPr>
          <w:rFonts w:hint="eastAsia" w:eastAsia="黑体"/>
          <w:color w:val="auto"/>
          <w:sz w:val="28"/>
          <w:szCs w:val="28"/>
        </w:rPr>
        <w:t>无。</w:t>
      </w:r>
    </w:p>
    <w:p>
      <w:pPr>
        <w:pStyle w:val="16"/>
        <w:spacing w:line="596" w:lineRule="exact"/>
        <w:ind w:firstLine="560"/>
        <w:rPr>
          <w:rFonts w:eastAsia="黑体"/>
          <w:color w:val="auto"/>
          <w:sz w:val="28"/>
          <w:szCs w:val="28"/>
        </w:rPr>
      </w:pPr>
      <w:r>
        <w:rPr>
          <w:rFonts w:eastAsia="黑体"/>
          <w:color w:val="auto"/>
          <w:sz w:val="28"/>
          <w:szCs w:val="28"/>
        </w:rPr>
        <w:t>四、国有资本经营预算支出情况</w:t>
      </w:r>
    </w:p>
    <w:p>
      <w:pPr>
        <w:pStyle w:val="16"/>
        <w:spacing w:line="596" w:lineRule="exact"/>
        <w:ind w:firstLine="560"/>
        <w:rPr>
          <w:rFonts w:eastAsia="黑体"/>
          <w:color w:val="auto"/>
          <w:sz w:val="28"/>
          <w:szCs w:val="28"/>
        </w:rPr>
      </w:pPr>
      <w:r>
        <w:rPr>
          <w:rFonts w:hint="eastAsia" w:eastAsia="黑体"/>
          <w:color w:val="auto"/>
          <w:sz w:val="28"/>
          <w:szCs w:val="28"/>
        </w:rPr>
        <w:t>无。</w:t>
      </w:r>
    </w:p>
    <w:p>
      <w:pPr>
        <w:pStyle w:val="16"/>
        <w:spacing w:line="596" w:lineRule="exact"/>
        <w:ind w:firstLine="560"/>
        <w:rPr>
          <w:rFonts w:eastAsia="黑体"/>
          <w:color w:val="auto"/>
          <w:sz w:val="28"/>
          <w:szCs w:val="28"/>
        </w:rPr>
      </w:pPr>
      <w:r>
        <w:rPr>
          <w:rFonts w:eastAsia="黑体"/>
          <w:color w:val="auto"/>
          <w:sz w:val="28"/>
          <w:szCs w:val="28"/>
        </w:rPr>
        <w:t>五、社会保险基金预算支出情况</w:t>
      </w:r>
    </w:p>
    <w:p>
      <w:pPr>
        <w:pStyle w:val="16"/>
        <w:spacing w:line="596" w:lineRule="exact"/>
        <w:ind w:firstLine="560"/>
        <w:rPr>
          <w:rFonts w:eastAsia="黑体"/>
          <w:color w:val="auto"/>
          <w:sz w:val="28"/>
          <w:szCs w:val="28"/>
        </w:rPr>
      </w:pPr>
      <w:r>
        <w:rPr>
          <w:rFonts w:hint="eastAsia" w:eastAsia="黑体"/>
          <w:color w:val="auto"/>
          <w:sz w:val="28"/>
          <w:szCs w:val="28"/>
        </w:rPr>
        <w:t>无。</w:t>
      </w:r>
    </w:p>
    <w:p>
      <w:pPr>
        <w:spacing w:line="596" w:lineRule="exact"/>
        <w:ind w:firstLine="560" w:firstLineChars="200"/>
        <w:rPr>
          <w:rFonts w:eastAsia="黑体"/>
          <w:color w:val="auto"/>
          <w:sz w:val="28"/>
          <w:szCs w:val="28"/>
        </w:rPr>
      </w:pPr>
      <w:r>
        <w:rPr>
          <w:rFonts w:eastAsia="黑体"/>
          <w:color w:val="auto"/>
          <w:sz w:val="28"/>
          <w:szCs w:val="28"/>
        </w:rPr>
        <w:t>六、部门整体支出绩效情况</w:t>
      </w:r>
    </w:p>
    <w:p>
      <w:pPr>
        <w:pStyle w:val="16"/>
        <w:spacing w:line="596" w:lineRule="exact"/>
        <w:ind w:firstLine="560"/>
        <w:rPr>
          <w:rFonts w:eastAsia="仿宋_GB2312"/>
          <w:color w:val="auto"/>
          <w:sz w:val="28"/>
          <w:szCs w:val="28"/>
        </w:rPr>
      </w:pPr>
      <w:r>
        <w:rPr>
          <w:rFonts w:hint="eastAsia" w:eastAsia="仿宋_GB2312"/>
          <w:color w:val="auto"/>
          <w:sz w:val="28"/>
          <w:szCs w:val="28"/>
        </w:rPr>
        <w:t>2020年，在委党组的坚强领导下，全队同志齐心协力、扎实工作，圆满完成了各项任务，取得了较好的工作成绩。主要绩效如下：</w:t>
      </w:r>
    </w:p>
    <w:p>
      <w:pPr>
        <w:pStyle w:val="16"/>
        <w:spacing w:line="596" w:lineRule="exact"/>
        <w:ind w:firstLine="560"/>
        <w:rPr>
          <w:rFonts w:eastAsia="仿宋_GB2312"/>
          <w:color w:val="auto"/>
          <w:sz w:val="28"/>
          <w:szCs w:val="28"/>
        </w:rPr>
      </w:pPr>
      <w:r>
        <w:rPr>
          <w:rFonts w:hint="eastAsia" w:eastAsia="仿宋_GB2312"/>
          <w:color w:val="auto"/>
          <w:sz w:val="28"/>
          <w:szCs w:val="28"/>
        </w:rPr>
        <w:t>（一）高质量开展农本调查</w:t>
      </w:r>
    </w:p>
    <w:p>
      <w:pPr>
        <w:pStyle w:val="16"/>
        <w:spacing w:line="596" w:lineRule="exact"/>
        <w:ind w:firstLine="560"/>
        <w:rPr>
          <w:rFonts w:eastAsia="仿宋_GB2312"/>
          <w:color w:val="auto"/>
          <w:sz w:val="28"/>
          <w:szCs w:val="28"/>
        </w:rPr>
      </w:pPr>
      <w:r>
        <w:rPr>
          <w:rFonts w:hint="eastAsia" w:eastAsia="仿宋_GB2312"/>
          <w:color w:val="auto"/>
          <w:sz w:val="28"/>
          <w:szCs w:val="28"/>
        </w:rPr>
        <w:t>根据国家发改委价格司工作安排，我省负责早中晚籼稻、生猪、油菜籽、烤烟、棉花等7个直报品种、24个常规品种数据汇总审核和农户种植意向、农户存售粮和农资购买3个专项的调查审核以及生猪月报应急调查任务，建立了由14个市州、54个县市区、1942户农调户构建的农本调查网络。结合我省实际，坚持“质量优先，服务三农”，牢固树立“质量是农本工作的生命”的意识，提高采集数据的准确性、针对性、科学性和适用性。以数据的时效性为标准，创新数据审核、修改、录入等手段，按时高效地完成农调任务，为即将开展的2018-2020年度全国农调工作考核评比打下了坚实基础。认真完成价格司委托我省组织的全国农户存售粮专项调查数据的汇总审核，协助价格司汇总审核全国常规调查数据，先后3次派人参加价格司委托各省组织的直报调查汇总审核。</w:t>
      </w:r>
    </w:p>
    <w:p>
      <w:pPr>
        <w:pStyle w:val="16"/>
        <w:spacing w:line="596" w:lineRule="exact"/>
        <w:ind w:firstLine="560"/>
        <w:rPr>
          <w:rFonts w:eastAsia="仿宋_GB2312"/>
          <w:color w:val="auto"/>
          <w:sz w:val="28"/>
          <w:szCs w:val="28"/>
        </w:rPr>
      </w:pPr>
      <w:r>
        <w:rPr>
          <w:rFonts w:hint="eastAsia" w:eastAsia="仿宋_GB2312"/>
          <w:color w:val="auto"/>
          <w:sz w:val="28"/>
          <w:szCs w:val="28"/>
        </w:rPr>
        <w:t>湖南紧贴全省实际，促进乡村振兴，创新农调工作，为当地的脱贫攻坚工作主动作为，组织开展了各市州特色农产品成本调查研究，积极为当地农业供给侧结构性改革、脱贫攻坚出谋献策，调查工作得到了当地党委政府的高度重视和充分肯定。今年开展的品种主要有：郴州市资兴市的柑桔、桂阳县的莲藕、宜章脐橙，张家界的猕猴桃，岳阳的君山茶业，永州的黄花菜等地方特色品种。</w:t>
      </w:r>
    </w:p>
    <w:p>
      <w:pPr>
        <w:pStyle w:val="16"/>
        <w:spacing w:line="596" w:lineRule="exact"/>
        <w:ind w:firstLine="560"/>
        <w:rPr>
          <w:rFonts w:eastAsia="仿宋_GB2312"/>
          <w:color w:val="auto"/>
          <w:sz w:val="28"/>
          <w:szCs w:val="28"/>
        </w:rPr>
      </w:pPr>
      <w:r>
        <w:rPr>
          <w:rFonts w:hint="eastAsia" w:eastAsia="仿宋_GB2312"/>
          <w:color w:val="auto"/>
          <w:sz w:val="28"/>
          <w:szCs w:val="28"/>
        </w:rPr>
        <w:t>按国家关于进一步加强农本调查信息化建设的相关要求，为提高审核农本调查数据的质量和效率，湖南提升了信息化技术水平，省成调队结合实际开发了简单易用的农调数据审核小程序，效果良好。</w:t>
      </w:r>
    </w:p>
    <w:p>
      <w:pPr>
        <w:pStyle w:val="16"/>
        <w:spacing w:line="596" w:lineRule="exact"/>
        <w:ind w:firstLine="560"/>
        <w:rPr>
          <w:rFonts w:eastAsia="仿宋_GB2312"/>
          <w:color w:val="auto"/>
          <w:sz w:val="28"/>
          <w:szCs w:val="28"/>
        </w:rPr>
      </w:pPr>
      <w:r>
        <w:rPr>
          <w:rFonts w:hint="eastAsia" w:eastAsia="仿宋_GB2312"/>
          <w:color w:val="auto"/>
          <w:sz w:val="28"/>
          <w:szCs w:val="28"/>
        </w:rPr>
        <w:t>（二）高效率开展成本监审</w:t>
      </w:r>
    </w:p>
    <w:p>
      <w:pPr>
        <w:pStyle w:val="16"/>
        <w:spacing w:line="596" w:lineRule="exact"/>
        <w:ind w:firstLine="560"/>
        <w:rPr>
          <w:rFonts w:eastAsia="仿宋_GB2312"/>
          <w:color w:val="auto"/>
          <w:sz w:val="28"/>
          <w:szCs w:val="28"/>
        </w:rPr>
      </w:pPr>
      <w:r>
        <w:rPr>
          <w:rFonts w:hint="eastAsia" w:eastAsia="仿宋_GB2312"/>
          <w:color w:val="auto"/>
          <w:sz w:val="28"/>
          <w:szCs w:val="28"/>
        </w:rPr>
        <w:t>今年以来，全队组织开展成本监审项目16个，完成11个，正在监审中5个；已完成项目包括口罩生产成本、各高校的中外合作办学成本测算、武陵源核心景区门票成本监审、郴州市管道燃气配气成本测算、国家委托的一个抽水蓄能电站和两个水电站的成本调查等。稳步推进了政府购买服务实施成本监审工作，加强对4个试点市的督促指导，总结工作经验，为该项工作今后在全省铺开做好准备。</w:t>
      </w:r>
    </w:p>
    <w:p>
      <w:pPr>
        <w:pStyle w:val="16"/>
        <w:spacing w:line="596" w:lineRule="exact"/>
        <w:ind w:firstLine="560"/>
        <w:rPr>
          <w:rFonts w:eastAsia="仿宋_GB2312"/>
          <w:color w:val="auto"/>
          <w:sz w:val="28"/>
          <w:szCs w:val="28"/>
        </w:rPr>
      </w:pPr>
      <w:r>
        <w:rPr>
          <w:rFonts w:hint="eastAsia" w:eastAsia="仿宋_GB2312"/>
          <w:color w:val="auto"/>
          <w:sz w:val="28"/>
          <w:szCs w:val="28"/>
        </w:rPr>
        <w:t>今年疫情期间，根据委里工作安排，为了尽快摸清口罩生产成本，调控口罩价格，我队同志多次前往高风险地区，蹲守生产线摸清成本，为我省疫情物资保障、价格调控发挥了积极作用。我队在疫情期间就通过网络、电话等方式与部分学校进行资料准备沟通，后期用较短的时间完成了7所院校的中外合作办学的成本测算，有效缓解了高校开学复课的问题，获得了好评。承担国家发改委委托的抽水蓄能和水电厂成本调查任务后，我队通过实地调研、严把数据审核关、谨慎监审，历时3个月完成审核测算工作，审核结论得到企业和价格司的确认，审核工作得到肯定。</w:t>
      </w:r>
    </w:p>
    <w:p>
      <w:pPr>
        <w:pStyle w:val="16"/>
        <w:spacing w:line="596" w:lineRule="exact"/>
        <w:ind w:firstLine="560"/>
        <w:rPr>
          <w:rFonts w:eastAsia="仿宋_GB2312"/>
          <w:color w:val="auto"/>
          <w:sz w:val="28"/>
          <w:szCs w:val="28"/>
        </w:rPr>
      </w:pPr>
      <w:r>
        <w:rPr>
          <w:rFonts w:hint="eastAsia" w:eastAsia="仿宋_GB2312"/>
          <w:color w:val="auto"/>
          <w:sz w:val="28"/>
          <w:szCs w:val="28"/>
        </w:rPr>
        <w:t>（三）高水平开展成本调研</w:t>
      </w:r>
    </w:p>
    <w:p>
      <w:pPr>
        <w:pStyle w:val="16"/>
        <w:spacing w:line="596" w:lineRule="exact"/>
        <w:ind w:firstLine="560"/>
        <w:rPr>
          <w:rFonts w:eastAsia="仿宋_GB2312"/>
          <w:color w:val="auto"/>
          <w:sz w:val="28"/>
          <w:szCs w:val="28"/>
        </w:rPr>
      </w:pPr>
      <w:r>
        <w:rPr>
          <w:rFonts w:hint="eastAsia" w:eastAsia="仿宋_GB2312"/>
          <w:color w:val="auto"/>
          <w:sz w:val="28"/>
          <w:szCs w:val="28"/>
        </w:rPr>
        <w:t xml:space="preserve">今年，成调队加强了宏观与微观工作的结合，进一步融入到全省发展改革工作大局。结合价格成本调查工作的特性，深入开展调查研究，提出意见建议，作为制定政策和领导决策的依据。坚持只争朝夕的工作态度，进一步优化工作和发扬工匠精神，把每一项工作都做成精品。明确成果转化的关键是掌握实际情况，挖掘分析真实数据，把工作融入到整个社会经济发展的大局方面，融入到“三农”工作的全局当中。  </w:t>
      </w:r>
    </w:p>
    <w:p>
      <w:pPr>
        <w:pStyle w:val="16"/>
        <w:spacing w:line="596" w:lineRule="exact"/>
        <w:ind w:firstLine="560"/>
        <w:rPr>
          <w:rFonts w:eastAsia="仿宋_GB2312"/>
          <w:color w:val="auto"/>
          <w:sz w:val="28"/>
          <w:szCs w:val="28"/>
        </w:rPr>
      </w:pPr>
      <w:r>
        <w:rPr>
          <w:rFonts w:hint="eastAsia" w:eastAsia="仿宋_GB2312"/>
          <w:color w:val="auto"/>
          <w:sz w:val="28"/>
          <w:szCs w:val="28"/>
        </w:rPr>
        <w:t>3月份，为落实家毫书记今年在省委财经委第三次会议上的指示:本次疫情过后，农民工就业取向可能出现新的变化。按委领导安排，经与委综合处商议，结合我省农本调查点多、面广，农调网络布点科学性和代表性强的特点，向全省 709 户农调户就疫情对农民工外出就业的影响，对家庭外出务工情况等18 个方面的问题，进行了全面、细致的问卷调查，在此基础上完成了《关于新冠肺炎疫情对农民工外出就业影响的问卷调查报告》，家毫书记于 3月14日对《关于新冠肺炎疫情对农民工外出就业影响的问卷调查报告》作出了重要批示：要关注疫情后就业结构新变化，就业结构与产业结构、社会结构之间也会有变化。9月份，为做好《关于湖南省“十四五”人口净流出形势的初步分析》的课题研究，与委改革处一起，对全省农调户中外出务工人员的情况进行了抽样调查，主要调查了疫情对就业形势的变化、目前的生活状态等14个问题。另外，积极为委相关处室提供农本调查资料及分析材料，多篇调研报告被湖南省《政务要情》刊登；印制《成本与价格</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资讯》，及时宣传报道价格成本工作情况。</w:t>
      </w:r>
      <w:r>
        <w:rPr>
          <w:rFonts w:hint="eastAsia" w:eastAsia="仿宋_GB2312"/>
          <w:color w:val="auto"/>
          <w:sz w:val="28"/>
          <w:szCs w:val="28"/>
        </w:rPr>
        <w:t xml:space="preserve"> </w:t>
      </w:r>
    </w:p>
    <w:p>
      <w:pPr>
        <w:pStyle w:val="16"/>
        <w:spacing w:line="596" w:lineRule="exact"/>
        <w:ind w:firstLine="560"/>
        <w:rPr>
          <w:rFonts w:eastAsia="仿宋_GB2312"/>
          <w:color w:val="auto"/>
          <w:sz w:val="28"/>
          <w:szCs w:val="28"/>
        </w:rPr>
      </w:pPr>
      <w:r>
        <w:rPr>
          <w:rFonts w:hint="eastAsia" w:eastAsia="仿宋_GB2312"/>
          <w:color w:val="auto"/>
          <w:sz w:val="28"/>
          <w:szCs w:val="28"/>
        </w:rPr>
        <w:t>（四）高标准提升业务能力</w:t>
      </w:r>
    </w:p>
    <w:p>
      <w:pPr>
        <w:pStyle w:val="16"/>
        <w:spacing w:line="596" w:lineRule="exact"/>
        <w:ind w:firstLine="560"/>
        <w:rPr>
          <w:rFonts w:eastAsia="仿宋_GB2312"/>
          <w:color w:val="auto"/>
          <w:sz w:val="28"/>
          <w:szCs w:val="28"/>
        </w:rPr>
      </w:pPr>
      <w:r>
        <w:rPr>
          <w:rFonts w:hint="eastAsia" w:eastAsia="仿宋_GB2312"/>
          <w:color w:val="auto"/>
          <w:sz w:val="28"/>
          <w:szCs w:val="28"/>
        </w:rPr>
        <w:t>为提高全省各级价格成本调查人员的综合素质，保证业务水平稳步提升，通过“以会代训、以审代训”和专题培训等方式，加强业务知识培训，提高专业素养，全面提升了省、市、县三级成本调查人员的业务能力和工作水准。积极参加国家发改委价格司组织的农本调查数据审核汇总和成本监审业务培训班，认真组织全省直报、常规调查数据集中审核汇总等工作。重点突出农本调查、成本监审相关的专业知识学习，加强全省成调工作队伍的能力建设。</w:t>
      </w:r>
    </w:p>
    <w:p>
      <w:pPr>
        <w:pStyle w:val="16"/>
        <w:spacing w:line="596" w:lineRule="exact"/>
        <w:ind w:firstLine="560"/>
        <w:rPr>
          <w:rFonts w:eastAsia="仿宋_GB2312"/>
          <w:color w:val="auto"/>
          <w:sz w:val="28"/>
          <w:szCs w:val="28"/>
        </w:rPr>
      </w:pPr>
      <w:r>
        <w:rPr>
          <w:rFonts w:hint="eastAsia" w:eastAsia="仿宋_GB2312"/>
          <w:color w:val="auto"/>
          <w:sz w:val="28"/>
          <w:szCs w:val="28"/>
        </w:rPr>
        <w:t>今年9月份，省成调队召开了湖南省城镇污水处理成本审核业务培训班，组织全省成本监审业务骨干学习了成本审核技术方法，交流了市州同志的工作经验和体会。12月份，举办了全省农调工作业务培训班，崇斌主任作了重要讲话，充分肯定了全省农调工作，并提出了新的工作要求。省市县农本调查工作业务骨干进行了专业讲座，既学习了农调业务知识，也交流了工作体会。各市州也加强了对所属县市区的农本调查业务培训，市县两级结合下乡调查、召开座谈会、工作总结等形式，加强调查户的业务培训，县级农本调查人员每年每品种到户指导三次以上，进一步规范了基础数据登记填报。</w:t>
      </w:r>
    </w:p>
    <w:p>
      <w:pPr>
        <w:pStyle w:val="16"/>
        <w:spacing w:line="596" w:lineRule="exact"/>
        <w:ind w:firstLine="560"/>
        <w:rPr>
          <w:rFonts w:eastAsia="仿宋_GB2312"/>
          <w:color w:val="auto"/>
          <w:sz w:val="28"/>
          <w:szCs w:val="28"/>
        </w:rPr>
      </w:pPr>
      <w:r>
        <w:rPr>
          <w:rFonts w:hint="eastAsia" w:eastAsia="仿宋_GB2312"/>
          <w:color w:val="auto"/>
          <w:sz w:val="28"/>
          <w:szCs w:val="28"/>
        </w:rPr>
        <w:t>（五）高要求加强支部建设</w:t>
      </w:r>
    </w:p>
    <w:p>
      <w:pPr>
        <w:pStyle w:val="16"/>
        <w:spacing w:line="596" w:lineRule="exact"/>
        <w:ind w:firstLine="560"/>
        <w:rPr>
          <w:rFonts w:eastAsia="仿宋_GB2312"/>
          <w:color w:val="auto"/>
          <w:sz w:val="28"/>
          <w:szCs w:val="28"/>
        </w:rPr>
      </w:pPr>
      <w:r>
        <w:rPr>
          <w:rFonts w:hint="eastAsia" w:eastAsia="仿宋_GB2312"/>
          <w:color w:val="auto"/>
          <w:sz w:val="28"/>
          <w:szCs w:val="28"/>
        </w:rPr>
        <w:t>1、抓实政治理论学习。深入学习</w:t>
      </w:r>
      <w:r>
        <w:rPr>
          <w:rFonts w:hint="eastAsia" w:eastAsia="仿宋_GB2312"/>
          <w:color w:val="auto"/>
          <w:sz w:val="28"/>
          <w:szCs w:val="28"/>
          <w:lang w:eastAsia="zh-CN"/>
        </w:rPr>
        <w:t>党的</w:t>
      </w:r>
      <w:r>
        <w:rPr>
          <w:rFonts w:hint="eastAsia" w:eastAsia="仿宋_GB2312"/>
          <w:color w:val="auto"/>
          <w:sz w:val="28"/>
          <w:szCs w:val="28"/>
        </w:rPr>
        <w:t>十九届五中全会精神、</w:t>
      </w:r>
      <w:r>
        <w:rPr>
          <w:rFonts w:hint="default" w:eastAsia="仿宋_GB2312"/>
          <w:color w:val="auto"/>
          <w:sz w:val="28"/>
          <w:szCs w:val="28"/>
          <w:lang w:val="en"/>
        </w:rPr>
        <w:t>习近平总书记系列重要讲话</w:t>
      </w:r>
      <w:r>
        <w:rPr>
          <w:rFonts w:hint="eastAsia" w:eastAsia="仿宋_GB2312"/>
          <w:color w:val="auto"/>
          <w:sz w:val="28"/>
          <w:szCs w:val="28"/>
        </w:rPr>
        <w:t>精神和到湖南视察调研的重要指示精神。积极参加省直工委、省发改委组织的专题学习和教育培训，不断增强“四个意识”、坚定“四个自信”、做到“两个维护”，努力提高把握方向、把握大势、把握全局的能力，辨别政治是非、保持政治定力、防范政治风险的能力。</w:t>
      </w:r>
    </w:p>
    <w:p>
      <w:pPr>
        <w:pStyle w:val="16"/>
        <w:spacing w:line="596" w:lineRule="exact"/>
        <w:ind w:firstLine="560"/>
        <w:rPr>
          <w:rFonts w:eastAsia="仿宋_GB2312"/>
          <w:color w:val="auto"/>
          <w:spacing w:val="-20"/>
          <w:sz w:val="28"/>
          <w:szCs w:val="28"/>
        </w:rPr>
      </w:pPr>
      <w:r>
        <w:rPr>
          <w:rFonts w:hint="eastAsia" w:eastAsia="仿宋_GB2312"/>
          <w:color w:val="auto"/>
          <w:sz w:val="28"/>
          <w:szCs w:val="28"/>
        </w:rPr>
        <w:t>2、抓好党支部“五化”建设。按照“支部设置标准化、组织生活正常化、管理服务精细化、工作制度体系化、阵地建设规范化”的要求，严格落实“三会一课”等制度，不断加强党支部建设，提升凝聚力，发挥党员先锋模范作用。按规定的时间开展主题党日活动，全年组织开展了12次；经常进行谈心谈话，支委之间、支部书记与队里同志间进行集体和个别谈话22次；落实会议制度，全年召开支部委员会15次、支部党员大会16次、支部组织生活会2次；开展党课教育，陈永实主任讲了</w:t>
      </w:r>
      <w:r>
        <w:rPr>
          <w:rFonts w:hint="eastAsia" w:eastAsia="仿宋_GB2312"/>
          <w:color w:val="auto"/>
          <w:spacing w:val="-20"/>
          <w:sz w:val="28"/>
          <w:szCs w:val="28"/>
        </w:rPr>
        <w:t>《坚持“四个带头”推动机关党的建设》的专题党课，支部书记讲党课2次。</w:t>
      </w:r>
    </w:p>
    <w:p>
      <w:pPr>
        <w:pStyle w:val="16"/>
        <w:spacing w:line="596" w:lineRule="exact"/>
        <w:ind w:firstLine="560"/>
        <w:rPr>
          <w:rFonts w:eastAsia="仿宋_GB2312"/>
          <w:color w:val="auto"/>
          <w:sz w:val="28"/>
          <w:szCs w:val="28"/>
        </w:rPr>
      </w:pPr>
      <w:r>
        <w:rPr>
          <w:rFonts w:hint="eastAsia" w:eastAsia="仿宋_GB2312"/>
          <w:color w:val="auto"/>
          <w:sz w:val="28"/>
          <w:szCs w:val="28"/>
        </w:rPr>
        <w:t>3、抓好党风廉政建设。一是加强党规党纪学习，强化党员干部纪律规矩意识和法律意识。二是按要求签定了《党风廉政建设责任书》，及时传达学习上级有关党风廉政建设的精神要求。三是落实驻委纪检组和委机关党委开展廉政风险排查与防控工作的相关要求，明确廉政风险职责分工，拟制廉政风险权力运行流程图、风险点排查表，深入查摆问题，突出财务管理、成本监审等方面的廉政风险排查，落实廉政责任。四是严格作风纪律，落实财经管理规定，严格控制经费开支，严格公车管理，杜绝违规使用公车现象，严格工作考勤，落实请销假制度。</w:t>
      </w:r>
    </w:p>
    <w:p>
      <w:pPr>
        <w:pStyle w:val="16"/>
        <w:spacing w:line="596" w:lineRule="exact"/>
        <w:ind w:firstLine="560"/>
        <w:rPr>
          <w:rFonts w:eastAsia="仿宋_GB2312"/>
          <w:color w:val="auto"/>
          <w:sz w:val="28"/>
          <w:szCs w:val="28"/>
        </w:rPr>
      </w:pPr>
      <w:r>
        <w:rPr>
          <w:rFonts w:hint="eastAsia" w:eastAsia="仿宋_GB2312"/>
          <w:color w:val="auto"/>
          <w:sz w:val="28"/>
          <w:szCs w:val="28"/>
        </w:rPr>
        <w:t>（六）高水平做好绩效工作</w:t>
      </w:r>
    </w:p>
    <w:p>
      <w:pPr>
        <w:pStyle w:val="16"/>
        <w:spacing w:line="596" w:lineRule="exact"/>
        <w:ind w:firstLine="560"/>
        <w:rPr>
          <w:rFonts w:eastAsia="仿宋_GB2312"/>
          <w:color w:val="auto"/>
          <w:sz w:val="28"/>
          <w:szCs w:val="28"/>
        </w:rPr>
      </w:pPr>
      <w:r>
        <w:rPr>
          <w:rFonts w:hint="eastAsia" w:eastAsia="仿宋_GB2312"/>
          <w:color w:val="auto"/>
          <w:sz w:val="28"/>
          <w:szCs w:val="28"/>
        </w:rPr>
        <w:t>按照委人事处《关于做好2020年度绩效年终评估工作的通知》的相关要求，认真对照落实评估内容和评估方法，我队全面完成了2020年度绩效工作任务。</w:t>
      </w:r>
    </w:p>
    <w:p>
      <w:pPr>
        <w:pStyle w:val="16"/>
        <w:spacing w:line="596" w:lineRule="exact"/>
        <w:ind w:firstLine="560"/>
        <w:rPr>
          <w:rFonts w:eastAsia="仿宋_GB2312"/>
          <w:color w:val="auto"/>
          <w:sz w:val="28"/>
          <w:szCs w:val="28"/>
        </w:rPr>
      </w:pPr>
      <w:r>
        <w:rPr>
          <w:rFonts w:hint="eastAsia" w:eastAsia="仿宋_GB2312"/>
          <w:color w:val="auto"/>
          <w:sz w:val="28"/>
          <w:szCs w:val="28"/>
        </w:rPr>
        <w:t>1、完成情况</w:t>
      </w:r>
    </w:p>
    <w:p>
      <w:pPr>
        <w:pStyle w:val="16"/>
        <w:spacing w:line="596" w:lineRule="exact"/>
        <w:ind w:firstLine="560"/>
        <w:rPr>
          <w:rFonts w:eastAsia="仿宋_GB2312"/>
          <w:color w:val="auto"/>
          <w:sz w:val="28"/>
          <w:szCs w:val="28"/>
        </w:rPr>
      </w:pPr>
      <w:r>
        <w:rPr>
          <w:rFonts w:hint="eastAsia" w:eastAsia="仿宋_GB2312"/>
          <w:color w:val="auto"/>
          <w:sz w:val="28"/>
          <w:szCs w:val="28"/>
        </w:rPr>
        <w:t>根据年初设定的绩效评估内容和相关文件要求，结合成调队的工作实际，现完成了早籼稻、烤烟、油菜籽、上半年生猪的成本及收益审核汇总工作，下半年生猪的成本数据正在进行省级审核之中，将于2021年1月7日上报国家。按照国家发改委关于农本调查的相关规定，按时完成了各品种的成本审核汇总和收益计算，并根据我省的实际情况写出了综合分析材料上报了国家发改委，获得好评（相关材料附后）。</w:t>
      </w:r>
    </w:p>
    <w:p>
      <w:pPr>
        <w:pStyle w:val="16"/>
        <w:spacing w:line="596" w:lineRule="exact"/>
        <w:ind w:firstLine="560"/>
        <w:rPr>
          <w:rFonts w:eastAsia="仿宋_GB2312"/>
          <w:color w:val="auto"/>
          <w:sz w:val="28"/>
          <w:szCs w:val="28"/>
        </w:rPr>
      </w:pPr>
      <w:r>
        <w:rPr>
          <w:rFonts w:hint="eastAsia" w:eastAsia="仿宋_GB2312"/>
          <w:color w:val="auto"/>
          <w:sz w:val="28"/>
          <w:szCs w:val="28"/>
        </w:rPr>
        <w:t>2、主要做法</w:t>
      </w:r>
    </w:p>
    <w:p>
      <w:pPr>
        <w:pStyle w:val="16"/>
        <w:spacing w:line="596" w:lineRule="exact"/>
        <w:ind w:firstLine="560"/>
        <w:rPr>
          <w:rFonts w:eastAsia="仿宋_GB2312"/>
          <w:color w:val="auto"/>
          <w:sz w:val="28"/>
          <w:szCs w:val="28"/>
        </w:rPr>
      </w:pPr>
      <w:r>
        <w:rPr>
          <w:rFonts w:hint="eastAsia" w:eastAsia="仿宋_GB2312"/>
          <w:color w:val="auto"/>
          <w:sz w:val="28"/>
          <w:szCs w:val="28"/>
        </w:rPr>
        <w:t>（1）强化质量意识。一是调查工作做到及时、全面和准确。按每项工作任务规定的时间节点完成，对每个品种提出具体要求，调查的要素一个都不能少，认真填报、仔细审核，保证提供的数据和情况要准确无误。二是调研报告有时效性、针对性、建设性。特别是加强针对性和建设性，根据调查的资料，结合实际情况进行加工，深度思考，提出建议，高质量完成调研工作。我省农本调查工作，多年来得到国家发改委表彰，处于全国领先位置。</w:t>
      </w:r>
    </w:p>
    <w:p>
      <w:pPr>
        <w:pStyle w:val="16"/>
        <w:spacing w:line="596" w:lineRule="exact"/>
        <w:ind w:firstLine="560"/>
        <w:rPr>
          <w:rFonts w:eastAsia="仿宋_GB2312"/>
          <w:color w:val="auto"/>
          <w:sz w:val="28"/>
          <w:szCs w:val="28"/>
        </w:rPr>
      </w:pPr>
      <w:r>
        <w:rPr>
          <w:rFonts w:hint="eastAsia" w:eastAsia="仿宋_GB2312"/>
          <w:color w:val="auto"/>
          <w:sz w:val="28"/>
          <w:szCs w:val="28"/>
        </w:rPr>
        <w:t>（2）严格考核制度。按照国家发改委的相关要求，发挥考核评比的激励约束作用，进一步增强全省成本工作人员的责任心，提高农本调查的工作质量。严格落实湘发改成调〔2015〕826号文件，对照评分标准、评优资格标准等内容，对我省农产品成本调查工作情况进行通报。</w:t>
      </w:r>
    </w:p>
    <w:p>
      <w:pPr>
        <w:pStyle w:val="16"/>
        <w:spacing w:line="596" w:lineRule="exact"/>
        <w:ind w:firstLine="560"/>
        <w:rPr>
          <w:rFonts w:eastAsia="黑体"/>
          <w:color w:val="auto"/>
          <w:sz w:val="28"/>
          <w:szCs w:val="28"/>
        </w:rPr>
      </w:pPr>
      <w:r>
        <w:rPr>
          <w:rFonts w:eastAsia="黑体"/>
          <w:color w:val="auto"/>
          <w:sz w:val="28"/>
          <w:szCs w:val="28"/>
        </w:rPr>
        <w:t>七、存在的问题及原因分析</w:t>
      </w:r>
    </w:p>
    <w:p>
      <w:pPr>
        <w:spacing w:line="596" w:lineRule="exact"/>
        <w:ind w:firstLine="560" w:firstLineChars="200"/>
        <w:rPr>
          <w:rFonts w:eastAsia="仿宋_GB2312"/>
          <w:color w:val="auto"/>
          <w:sz w:val="28"/>
          <w:szCs w:val="28"/>
        </w:rPr>
      </w:pPr>
      <w:r>
        <w:rPr>
          <w:rFonts w:hint="eastAsia" w:eastAsia="仿宋_GB2312"/>
          <w:color w:val="auto"/>
          <w:sz w:val="28"/>
          <w:szCs w:val="28"/>
        </w:rPr>
        <w:t>无。</w:t>
      </w:r>
    </w:p>
    <w:p>
      <w:pPr>
        <w:spacing w:line="596" w:lineRule="exact"/>
        <w:ind w:firstLine="560" w:firstLineChars="200"/>
        <w:rPr>
          <w:rFonts w:eastAsia="黑体"/>
          <w:color w:val="auto"/>
          <w:sz w:val="28"/>
          <w:szCs w:val="28"/>
        </w:rPr>
      </w:pPr>
      <w:r>
        <w:rPr>
          <w:rFonts w:eastAsia="黑体"/>
          <w:color w:val="auto"/>
          <w:sz w:val="28"/>
          <w:szCs w:val="28"/>
        </w:rPr>
        <w:t>八、下一步改进措施</w:t>
      </w:r>
    </w:p>
    <w:p>
      <w:pPr>
        <w:spacing w:line="596" w:lineRule="exact"/>
        <w:ind w:firstLine="560" w:firstLineChars="200"/>
        <w:rPr>
          <w:rFonts w:eastAsia="仿宋_GB2312"/>
          <w:color w:val="auto"/>
          <w:sz w:val="28"/>
          <w:szCs w:val="28"/>
        </w:rPr>
      </w:pPr>
      <w:r>
        <w:rPr>
          <w:rFonts w:hint="eastAsia" w:eastAsia="仿宋_GB2312"/>
          <w:color w:val="auto"/>
          <w:sz w:val="28"/>
          <w:szCs w:val="28"/>
        </w:rPr>
        <w:t>无。</w:t>
      </w:r>
    </w:p>
    <w:p>
      <w:pPr>
        <w:spacing w:line="596" w:lineRule="exact"/>
        <w:ind w:firstLine="560" w:firstLineChars="200"/>
        <w:rPr>
          <w:rFonts w:eastAsia="黑体"/>
          <w:color w:val="auto"/>
          <w:sz w:val="28"/>
          <w:szCs w:val="28"/>
        </w:rPr>
      </w:pPr>
      <w:r>
        <w:rPr>
          <w:rFonts w:eastAsia="黑体"/>
          <w:color w:val="auto"/>
          <w:sz w:val="28"/>
          <w:szCs w:val="28"/>
        </w:rPr>
        <w:t>九、</w:t>
      </w:r>
      <w:r>
        <w:rPr>
          <w:rFonts w:hint="eastAsia" w:eastAsia="黑体"/>
          <w:color w:val="auto"/>
          <w:sz w:val="28"/>
          <w:szCs w:val="28"/>
        </w:rPr>
        <w:t>部门整体支出</w:t>
      </w:r>
      <w:r>
        <w:rPr>
          <w:rFonts w:eastAsia="黑体"/>
          <w:color w:val="auto"/>
          <w:sz w:val="28"/>
          <w:szCs w:val="28"/>
        </w:rPr>
        <w:t>绩效自评结果拟应用和公开情况</w:t>
      </w:r>
    </w:p>
    <w:p>
      <w:pPr>
        <w:spacing w:line="596" w:lineRule="exact"/>
        <w:ind w:firstLine="560" w:firstLineChars="200"/>
        <w:rPr>
          <w:rFonts w:eastAsia="仿宋_GB2312"/>
          <w:color w:val="auto"/>
          <w:sz w:val="28"/>
          <w:szCs w:val="28"/>
        </w:rPr>
      </w:pPr>
      <w:r>
        <w:rPr>
          <w:rFonts w:hint="eastAsia" w:eastAsia="仿宋_GB2312"/>
          <w:color w:val="auto"/>
          <w:sz w:val="28"/>
          <w:szCs w:val="28"/>
        </w:rPr>
        <w:t>历年单位整体支出绩效评价结果由主管单位统一在官网进行公开，并根据绩效自评结果进行整改。</w:t>
      </w:r>
    </w:p>
    <w:p>
      <w:pPr>
        <w:spacing w:line="596" w:lineRule="exact"/>
        <w:ind w:firstLine="560" w:firstLineChars="200"/>
        <w:rPr>
          <w:rFonts w:eastAsia="黑体"/>
          <w:color w:val="auto"/>
          <w:sz w:val="28"/>
          <w:szCs w:val="28"/>
        </w:rPr>
      </w:pPr>
      <w:r>
        <w:rPr>
          <w:rFonts w:hint="eastAsia" w:eastAsia="黑体"/>
          <w:color w:val="auto"/>
          <w:sz w:val="28"/>
          <w:szCs w:val="28"/>
        </w:rPr>
        <w:t>十、</w:t>
      </w:r>
      <w:r>
        <w:rPr>
          <w:rFonts w:eastAsia="黑体"/>
          <w:color w:val="auto"/>
          <w:sz w:val="28"/>
          <w:szCs w:val="28"/>
        </w:rPr>
        <w:t>其他需要说明的情况</w:t>
      </w:r>
    </w:p>
    <w:p>
      <w:pPr>
        <w:spacing w:line="596" w:lineRule="exact"/>
        <w:ind w:firstLine="560" w:firstLineChars="200"/>
        <w:rPr>
          <w:rFonts w:eastAsia="仿宋_GB2312"/>
          <w:color w:val="auto"/>
          <w:sz w:val="28"/>
          <w:szCs w:val="28"/>
        </w:rPr>
      </w:pPr>
      <w:r>
        <w:rPr>
          <w:rFonts w:eastAsia="仿宋_GB2312"/>
          <w:color w:val="auto"/>
          <w:sz w:val="28"/>
          <w:szCs w:val="28"/>
        </w:rPr>
        <w:t>无</w:t>
      </w:r>
      <w:r>
        <w:rPr>
          <w:rFonts w:hint="eastAsia" w:eastAsia="仿宋_GB2312"/>
          <w:color w:val="auto"/>
          <w:sz w:val="28"/>
          <w:szCs w:val="28"/>
        </w:rPr>
        <w:t>。</w:t>
      </w:r>
    </w:p>
    <w:p>
      <w:pPr>
        <w:spacing w:line="596" w:lineRule="exact"/>
        <w:ind w:firstLine="560" w:firstLineChars="200"/>
        <w:rPr>
          <w:rFonts w:eastAsia="仿宋_GB2312"/>
          <w:color w:val="auto"/>
          <w:sz w:val="28"/>
          <w:szCs w:val="28"/>
        </w:rPr>
      </w:pPr>
      <w:r>
        <w:rPr>
          <w:rFonts w:eastAsia="仿宋_GB2312"/>
          <w:color w:val="auto"/>
          <w:sz w:val="28"/>
          <w:szCs w:val="28"/>
        </w:rPr>
        <w:t>附件如下：</w:t>
      </w:r>
    </w:p>
    <w:p>
      <w:pPr>
        <w:spacing w:line="596" w:lineRule="exact"/>
        <w:ind w:firstLine="560" w:firstLineChars="200"/>
        <w:rPr>
          <w:rFonts w:eastAsia="仿宋_GB2312"/>
          <w:color w:val="auto"/>
          <w:sz w:val="28"/>
          <w:szCs w:val="28"/>
        </w:rPr>
      </w:pPr>
      <w:r>
        <w:rPr>
          <w:rFonts w:eastAsia="仿宋_GB2312"/>
          <w:color w:val="auto"/>
          <w:sz w:val="28"/>
          <w:szCs w:val="28"/>
        </w:rPr>
        <w:t>1、部门整体支出绩效评价基础数据表</w:t>
      </w:r>
    </w:p>
    <w:p>
      <w:pPr>
        <w:spacing w:line="596" w:lineRule="exact"/>
        <w:ind w:firstLine="560" w:firstLineChars="200"/>
        <w:rPr>
          <w:rFonts w:eastAsia="仿宋_GB2312"/>
          <w:color w:val="auto"/>
          <w:sz w:val="28"/>
          <w:szCs w:val="28"/>
        </w:rPr>
      </w:pPr>
      <w:r>
        <w:rPr>
          <w:rFonts w:eastAsia="仿宋_GB2312"/>
          <w:color w:val="auto"/>
          <w:sz w:val="28"/>
          <w:szCs w:val="28"/>
        </w:rPr>
        <w:t>2、部门整体支出绩效自评表</w:t>
      </w:r>
    </w:p>
    <w:p>
      <w:pPr>
        <w:pStyle w:val="2"/>
        <w:ind w:firstLine="560" w:firstLineChars="200"/>
        <w:rPr>
          <w:rFonts w:hint="default" w:eastAsia="仿宋_GB2312"/>
          <w:color w:val="auto"/>
        </w:rPr>
      </w:pPr>
      <w:r>
        <w:rPr>
          <w:rFonts w:eastAsia="仿宋_GB2312"/>
          <w:color w:val="auto"/>
          <w:sz w:val="28"/>
          <w:szCs w:val="28"/>
        </w:rPr>
        <w:t>3、项目支出绩效自评表</w:t>
      </w:r>
    </w:p>
    <w:p>
      <w:pPr>
        <w:spacing w:line="596" w:lineRule="exact"/>
        <w:rPr>
          <w:rFonts w:ascii="仿宋_GB2312" w:hAnsi="仿宋_GB2312" w:eastAsia="仿宋_GB2312" w:cs="仿宋_GB2312"/>
          <w:color w:val="auto"/>
          <w:w w:val="98"/>
          <w:sz w:val="28"/>
          <w:szCs w:val="28"/>
        </w:rPr>
      </w:pPr>
      <w:r>
        <w:rPr>
          <w:rFonts w:ascii="仿宋_GB2312" w:hAnsi="仿宋_GB2312" w:eastAsia="仿宋_GB2312" w:cs="仿宋_GB2312"/>
          <w:color w:val="auto"/>
          <w:w w:val="98"/>
          <w:sz w:val="28"/>
          <w:szCs w:val="28"/>
        </w:rPr>
        <w:t>附件</w:t>
      </w:r>
      <w:r>
        <w:rPr>
          <w:rFonts w:hint="eastAsia" w:ascii="仿宋_GB2312" w:hAnsi="仿宋_GB2312" w:eastAsia="仿宋_GB2312" w:cs="仿宋_GB2312"/>
          <w:color w:val="auto"/>
          <w:w w:val="98"/>
          <w:sz w:val="28"/>
          <w:szCs w:val="28"/>
        </w:rPr>
        <w:t>1</w:t>
      </w:r>
    </w:p>
    <w:p>
      <w:pPr>
        <w:spacing w:line="596" w:lineRule="exact"/>
        <w:jc w:val="center"/>
        <w:rPr>
          <w:rFonts w:eastAsia="方正小标宋_GBK"/>
          <w:color w:val="auto"/>
          <w:kern w:val="0"/>
          <w:sz w:val="28"/>
          <w:szCs w:val="28"/>
        </w:rPr>
      </w:pPr>
      <w:r>
        <w:rPr>
          <w:rFonts w:eastAsia="方正小标宋_GBK"/>
          <w:color w:val="auto"/>
          <w:kern w:val="0"/>
          <w:sz w:val="28"/>
          <w:szCs w:val="28"/>
        </w:rPr>
        <w:t>部门整体支出绩效评价基础数据表</w:t>
      </w:r>
    </w:p>
    <w:p>
      <w:pPr>
        <w:widowControl/>
        <w:spacing w:line="360" w:lineRule="exact"/>
        <w:jc w:val="center"/>
        <w:rPr>
          <w:rFonts w:eastAsia="仿宋_GB2312"/>
          <w:color w:val="auto"/>
          <w:kern w:val="0"/>
          <w:sz w:val="24"/>
        </w:rPr>
      </w:pP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年度）</w:t>
      </w:r>
      <w:r>
        <w:rPr>
          <w:rFonts w:eastAsia="仿宋_GB2312"/>
          <w:color w:val="auto"/>
          <w:kern w:val="0"/>
          <w:sz w:val="24"/>
        </w:rPr>
        <w:tab/>
      </w:r>
    </w:p>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839"/>
        <w:gridCol w:w="965"/>
        <w:gridCol w:w="1063"/>
        <w:gridCol w:w="1102"/>
        <w:gridCol w:w="83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vMerge w:val="restart"/>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财政供养人员情况</w:t>
            </w:r>
            <w:r>
              <w:rPr>
                <w:rFonts w:hint="eastAsia" w:eastAsia="仿宋_GB2312"/>
                <w:color w:val="auto"/>
                <w:kern w:val="0"/>
                <w:szCs w:val="21"/>
              </w:rPr>
              <w:t>（人）</w:t>
            </w:r>
          </w:p>
        </w:tc>
        <w:tc>
          <w:tcPr>
            <w:tcW w:w="1804"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ascii="黑体" w:hAnsi="黑体" w:eastAsia="黑体"/>
                <w:bCs/>
                <w:color w:val="auto"/>
                <w:kern w:val="0"/>
                <w:szCs w:val="21"/>
              </w:rPr>
              <w:t>编制数</w:t>
            </w:r>
          </w:p>
        </w:tc>
        <w:tc>
          <w:tcPr>
            <w:tcW w:w="2165"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hint="eastAsia" w:ascii="黑体" w:hAnsi="黑体" w:eastAsia="黑体"/>
                <w:bCs/>
                <w:color w:val="auto"/>
                <w:kern w:val="0"/>
                <w:szCs w:val="21"/>
              </w:rPr>
              <w:t>2020</w:t>
            </w:r>
            <w:r>
              <w:rPr>
                <w:rFonts w:ascii="黑体" w:hAnsi="黑体" w:eastAsia="黑体"/>
                <w:bCs/>
                <w:color w:val="auto"/>
                <w:kern w:val="0"/>
                <w:szCs w:val="21"/>
              </w:rPr>
              <w:t>年实际在职人数</w:t>
            </w:r>
          </w:p>
        </w:tc>
        <w:tc>
          <w:tcPr>
            <w:tcW w:w="1690"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ascii="黑体" w:hAnsi="黑体" w:eastAsia="黑体"/>
                <w:bCs/>
                <w:color w:val="auto"/>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vMerge w:val="continue"/>
            <w:shd w:val="clear" w:color="auto" w:fill="auto"/>
            <w:vAlign w:val="center"/>
          </w:tcPr>
          <w:p>
            <w:pPr>
              <w:widowControl/>
              <w:spacing w:line="260" w:lineRule="exact"/>
              <w:jc w:val="left"/>
              <w:rPr>
                <w:rFonts w:eastAsia="仿宋_GB2312"/>
                <w:color w:val="auto"/>
                <w:kern w:val="0"/>
                <w:szCs w:val="21"/>
              </w:rPr>
            </w:pPr>
          </w:p>
        </w:tc>
        <w:tc>
          <w:tcPr>
            <w:tcW w:w="1804"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11</w:t>
            </w:r>
          </w:p>
        </w:tc>
        <w:tc>
          <w:tcPr>
            <w:tcW w:w="2165"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11</w:t>
            </w:r>
          </w:p>
        </w:tc>
        <w:tc>
          <w:tcPr>
            <w:tcW w:w="1690" w:type="dxa"/>
            <w:gridSpan w:val="2"/>
            <w:shd w:val="clear" w:color="auto" w:fill="auto"/>
            <w:vAlign w:val="center"/>
          </w:tcPr>
          <w:p>
            <w:pPr>
              <w:widowControl/>
              <w:spacing w:line="260" w:lineRule="exact"/>
              <w:jc w:val="center"/>
              <w:rPr>
                <w:rFonts w:eastAsia="仿宋_GB2312"/>
                <w:color w:val="auto"/>
                <w:kern w:val="0"/>
                <w:szCs w:val="21"/>
              </w:rPr>
            </w:pPr>
            <w:r>
              <w:rPr>
                <w:rFonts w:hint="eastAsia" w:eastAsia="仿宋_GB2312"/>
                <w:color w:val="auto"/>
                <w:kern w:val="0"/>
                <w:szCs w:val="21"/>
              </w:rPr>
              <w:t>100%</w:t>
            </w: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经费控制情况</w:t>
            </w:r>
            <w:r>
              <w:rPr>
                <w:rFonts w:hint="eastAsia" w:eastAsia="仿宋_GB2312"/>
                <w:color w:val="auto"/>
                <w:kern w:val="0"/>
                <w:szCs w:val="21"/>
              </w:rPr>
              <w:t>（万元）</w:t>
            </w:r>
          </w:p>
        </w:tc>
        <w:tc>
          <w:tcPr>
            <w:tcW w:w="1804"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ascii="黑体" w:hAnsi="黑体" w:eastAsia="黑体"/>
                <w:bCs/>
                <w:color w:val="auto"/>
                <w:kern w:val="0"/>
                <w:szCs w:val="21"/>
              </w:rPr>
              <w:t>20</w:t>
            </w:r>
            <w:r>
              <w:rPr>
                <w:rFonts w:hint="eastAsia" w:ascii="黑体" w:hAnsi="黑体" w:eastAsia="黑体"/>
                <w:bCs/>
                <w:color w:val="auto"/>
                <w:kern w:val="0"/>
                <w:szCs w:val="21"/>
              </w:rPr>
              <w:t>19</w:t>
            </w:r>
            <w:r>
              <w:rPr>
                <w:rFonts w:ascii="黑体" w:hAnsi="黑体" w:eastAsia="黑体"/>
                <w:bCs/>
                <w:color w:val="auto"/>
                <w:kern w:val="0"/>
                <w:szCs w:val="21"/>
              </w:rPr>
              <w:t>年决算数</w:t>
            </w:r>
          </w:p>
        </w:tc>
        <w:tc>
          <w:tcPr>
            <w:tcW w:w="2165"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hint="eastAsia" w:ascii="黑体" w:hAnsi="黑体" w:eastAsia="黑体"/>
                <w:bCs/>
                <w:color w:val="auto"/>
                <w:kern w:val="0"/>
                <w:szCs w:val="21"/>
              </w:rPr>
              <w:t>2020</w:t>
            </w:r>
            <w:r>
              <w:rPr>
                <w:rFonts w:ascii="黑体" w:hAnsi="黑体" w:eastAsia="黑体"/>
                <w:bCs/>
                <w:color w:val="auto"/>
                <w:kern w:val="0"/>
                <w:szCs w:val="21"/>
              </w:rPr>
              <w:t>年预算数</w:t>
            </w:r>
          </w:p>
        </w:tc>
        <w:tc>
          <w:tcPr>
            <w:tcW w:w="1690"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hint="eastAsia" w:ascii="黑体" w:hAnsi="黑体" w:eastAsia="黑体"/>
                <w:bCs/>
                <w:color w:val="auto"/>
                <w:kern w:val="0"/>
                <w:szCs w:val="21"/>
              </w:rPr>
              <w:t>2020</w:t>
            </w:r>
            <w:r>
              <w:rPr>
                <w:rFonts w:ascii="黑体" w:hAnsi="黑体" w:eastAsia="黑体"/>
                <w:bCs/>
                <w:color w:val="auto"/>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三公经费</w:t>
            </w:r>
          </w:p>
        </w:tc>
        <w:tc>
          <w:tcPr>
            <w:tcW w:w="1804" w:type="dxa"/>
            <w:gridSpan w:val="2"/>
            <w:shd w:val="clear" w:color="auto" w:fill="auto"/>
            <w:vAlign w:val="center"/>
          </w:tcPr>
          <w:p>
            <w:pPr>
              <w:jc w:val="center"/>
              <w:rPr>
                <w:color w:val="auto"/>
              </w:rPr>
            </w:pPr>
            <w:r>
              <w:rPr>
                <w:rFonts w:hint="eastAsia"/>
                <w:color w:val="auto"/>
              </w:rPr>
              <w:t>5.08</w:t>
            </w:r>
          </w:p>
        </w:tc>
        <w:tc>
          <w:tcPr>
            <w:tcW w:w="2165" w:type="dxa"/>
            <w:gridSpan w:val="2"/>
            <w:shd w:val="clear" w:color="auto" w:fill="auto"/>
            <w:vAlign w:val="center"/>
          </w:tcPr>
          <w:p>
            <w:pPr>
              <w:jc w:val="center"/>
              <w:rPr>
                <w:color w:val="auto"/>
              </w:rPr>
            </w:pPr>
            <w:r>
              <w:rPr>
                <w:rFonts w:hint="eastAsia"/>
                <w:color w:val="auto"/>
              </w:rPr>
              <w:t>5.08</w:t>
            </w:r>
          </w:p>
        </w:tc>
        <w:tc>
          <w:tcPr>
            <w:tcW w:w="1690" w:type="dxa"/>
            <w:gridSpan w:val="2"/>
            <w:shd w:val="clear" w:color="auto" w:fill="auto"/>
            <w:vAlign w:val="center"/>
          </w:tcPr>
          <w:p>
            <w:pPr>
              <w:jc w:val="center"/>
              <w:rPr>
                <w:color w:val="auto"/>
              </w:rPr>
            </w:pPr>
            <w:r>
              <w:rPr>
                <w:rFonts w:hint="eastAsia"/>
                <w:color w:val="auto"/>
              </w:rPr>
              <w:t>5.</w:t>
            </w:r>
            <w:r>
              <w:rPr>
                <w:color w:va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1、公务用车购置和维护经费</w:t>
            </w:r>
          </w:p>
        </w:tc>
        <w:tc>
          <w:tcPr>
            <w:tcW w:w="1804" w:type="dxa"/>
            <w:gridSpan w:val="2"/>
            <w:shd w:val="clear" w:color="auto" w:fill="auto"/>
            <w:vAlign w:val="center"/>
          </w:tcPr>
          <w:p>
            <w:pPr>
              <w:jc w:val="center"/>
              <w:rPr>
                <w:color w:val="auto"/>
              </w:rPr>
            </w:pPr>
            <w:r>
              <w:rPr>
                <w:rFonts w:hint="eastAsia"/>
                <w:color w:val="auto"/>
              </w:rPr>
              <w:t>4.55</w:t>
            </w:r>
          </w:p>
        </w:tc>
        <w:tc>
          <w:tcPr>
            <w:tcW w:w="2165" w:type="dxa"/>
            <w:gridSpan w:val="2"/>
            <w:shd w:val="clear" w:color="auto" w:fill="auto"/>
            <w:vAlign w:val="center"/>
          </w:tcPr>
          <w:p>
            <w:pPr>
              <w:jc w:val="center"/>
              <w:rPr>
                <w:color w:val="auto"/>
              </w:rPr>
            </w:pPr>
            <w:r>
              <w:rPr>
                <w:rFonts w:hint="eastAsia"/>
                <w:color w:val="auto"/>
              </w:rPr>
              <w:t>4.55</w:t>
            </w:r>
          </w:p>
        </w:tc>
        <w:tc>
          <w:tcPr>
            <w:tcW w:w="1690" w:type="dxa"/>
            <w:gridSpan w:val="2"/>
            <w:shd w:val="clear" w:color="auto" w:fill="auto"/>
            <w:vAlign w:val="center"/>
          </w:tcPr>
          <w:p>
            <w:pPr>
              <w:jc w:val="center"/>
              <w:rPr>
                <w:color w:val="auto"/>
              </w:rPr>
            </w:pPr>
            <w:r>
              <w:rPr>
                <w:rFonts w:hint="eastAsia"/>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其中：公车购置</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公车运行维护</w:t>
            </w:r>
          </w:p>
        </w:tc>
        <w:tc>
          <w:tcPr>
            <w:tcW w:w="1804" w:type="dxa"/>
            <w:gridSpan w:val="2"/>
            <w:shd w:val="clear" w:color="auto" w:fill="auto"/>
            <w:vAlign w:val="center"/>
          </w:tcPr>
          <w:p>
            <w:pPr>
              <w:jc w:val="center"/>
              <w:rPr>
                <w:color w:val="auto"/>
              </w:rPr>
            </w:pPr>
            <w:r>
              <w:rPr>
                <w:rFonts w:hint="eastAsia"/>
                <w:color w:val="auto"/>
              </w:rPr>
              <w:t>4.55</w:t>
            </w:r>
          </w:p>
        </w:tc>
        <w:tc>
          <w:tcPr>
            <w:tcW w:w="2165" w:type="dxa"/>
            <w:gridSpan w:val="2"/>
            <w:shd w:val="clear" w:color="auto" w:fill="auto"/>
            <w:vAlign w:val="center"/>
          </w:tcPr>
          <w:p>
            <w:pPr>
              <w:jc w:val="center"/>
              <w:rPr>
                <w:color w:val="auto"/>
              </w:rPr>
            </w:pPr>
            <w:r>
              <w:rPr>
                <w:rFonts w:hint="eastAsia"/>
                <w:color w:val="auto"/>
              </w:rPr>
              <w:t>4.55</w:t>
            </w:r>
          </w:p>
        </w:tc>
        <w:tc>
          <w:tcPr>
            <w:tcW w:w="1690" w:type="dxa"/>
            <w:gridSpan w:val="2"/>
            <w:shd w:val="clear" w:color="auto" w:fill="auto"/>
            <w:vAlign w:val="center"/>
          </w:tcPr>
          <w:p>
            <w:pPr>
              <w:jc w:val="center"/>
              <w:rPr>
                <w:color w:val="auto"/>
              </w:rPr>
            </w:pPr>
            <w:r>
              <w:rPr>
                <w:rFonts w:hint="eastAsia"/>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2、出国经费</w:t>
            </w:r>
          </w:p>
        </w:tc>
        <w:tc>
          <w:tcPr>
            <w:tcW w:w="1804" w:type="dxa"/>
            <w:gridSpan w:val="2"/>
            <w:shd w:val="clear" w:color="auto" w:fill="auto"/>
            <w:vAlign w:val="center"/>
          </w:tcPr>
          <w:p>
            <w:pPr>
              <w:jc w:val="center"/>
              <w:rPr>
                <w:color w:val="auto"/>
              </w:rPr>
            </w:pPr>
            <w:r>
              <w:rPr>
                <w:rFonts w:hint="eastAsia"/>
                <w:color w:val="auto"/>
              </w:rPr>
              <w:t>0</w:t>
            </w:r>
          </w:p>
        </w:tc>
        <w:tc>
          <w:tcPr>
            <w:tcW w:w="2165" w:type="dxa"/>
            <w:gridSpan w:val="2"/>
            <w:shd w:val="clear" w:color="auto" w:fill="auto"/>
            <w:vAlign w:val="center"/>
          </w:tcPr>
          <w:p>
            <w:pPr>
              <w:jc w:val="center"/>
              <w:rPr>
                <w:color w:val="auto"/>
              </w:rPr>
            </w:pPr>
            <w:r>
              <w:rPr>
                <w:rFonts w:hint="eastAsia"/>
                <w:color w:val="auto"/>
              </w:rPr>
              <w:t>0</w:t>
            </w:r>
          </w:p>
        </w:tc>
        <w:tc>
          <w:tcPr>
            <w:tcW w:w="1690" w:type="dxa"/>
            <w:gridSpan w:val="2"/>
            <w:shd w:val="clear" w:color="auto" w:fill="auto"/>
            <w:vAlign w:val="center"/>
          </w:tcPr>
          <w:p>
            <w:pPr>
              <w:jc w:val="center"/>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3、公务接待</w:t>
            </w:r>
          </w:p>
        </w:tc>
        <w:tc>
          <w:tcPr>
            <w:tcW w:w="1804" w:type="dxa"/>
            <w:gridSpan w:val="2"/>
            <w:shd w:val="clear" w:color="auto" w:fill="auto"/>
            <w:vAlign w:val="center"/>
          </w:tcPr>
          <w:p>
            <w:pPr>
              <w:jc w:val="center"/>
              <w:rPr>
                <w:color w:val="auto"/>
              </w:rPr>
            </w:pPr>
            <w:r>
              <w:rPr>
                <w:rFonts w:hint="eastAsia"/>
                <w:color w:val="auto"/>
              </w:rPr>
              <w:t>0.53</w:t>
            </w:r>
          </w:p>
        </w:tc>
        <w:tc>
          <w:tcPr>
            <w:tcW w:w="2165" w:type="dxa"/>
            <w:gridSpan w:val="2"/>
            <w:shd w:val="clear" w:color="auto" w:fill="auto"/>
            <w:vAlign w:val="center"/>
          </w:tcPr>
          <w:p>
            <w:pPr>
              <w:jc w:val="center"/>
              <w:rPr>
                <w:color w:val="auto"/>
              </w:rPr>
            </w:pPr>
            <w:r>
              <w:rPr>
                <w:rFonts w:hint="eastAsia"/>
                <w:color w:val="auto"/>
              </w:rPr>
              <w:t>0.53</w:t>
            </w:r>
          </w:p>
        </w:tc>
        <w:tc>
          <w:tcPr>
            <w:tcW w:w="1690" w:type="dxa"/>
            <w:gridSpan w:val="2"/>
            <w:shd w:val="clear" w:color="auto" w:fill="auto"/>
            <w:vAlign w:val="center"/>
          </w:tcPr>
          <w:p>
            <w:pPr>
              <w:jc w:val="center"/>
              <w:rPr>
                <w:color w:val="auto"/>
              </w:rPr>
            </w:pPr>
            <w:r>
              <w:rPr>
                <w:rFonts w:hint="eastAsia"/>
                <w:color w:val="auto"/>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项目支出：</w:t>
            </w:r>
          </w:p>
        </w:tc>
        <w:tc>
          <w:tcPr>
            <w:tcW w:w="1804" w:type="dxa"/>
            <w:gridSpan w:val="2"/>
            <w:shd w:val="clear" w:color="auto" w:fill="auto"/>
            <w:vAlign w:val="center"/>
          </w:tcPr>
          <w:p>
            <w:pPr>
              <w:jc w:val="center"/>
              <w:rPr>
                <w:color w:val="auto"/>
              </w:rPr>
            </w:pPr>
            <w:r>
              <w:rPr>
                <w:rFonts w:hint="eastAsia"/>
                <w:color w:val="auto"/>
              </w:rPr>
              <w:t>38.69</w:t>
            </w:r>
          </w:p>
        </w:tc>
        <w:tc>
          <w:tcPr>
            <w:tcW w:w="2165" w:type="dxa"/>
            <w:gridSpan w:val="2"/>
            <w:shd w:val="clear" w:color="auto" w:fill="auto"/>
            <w:vAlign w:val="center"/>
          </w:tcPr>
          <w:p>
            <w:pPr>
              <w:jc w:val="center"/>
              <w:rPr>
                <w:color w:val="auto"/>
              </w:rPr>
            </w:pPr>
            <w:r>
              <w:rPr>
                <w:rFonts w:hint="eastAsia"/>
                <w:color w:val="auto"/>
              </w:rPr>
              <w:t>80</w:t>
            </w:r>
          </w:p>
        </w:tc>
        <w:tc>
          <w:tcPr>
            <w:tcW w:w="1690" w:type="dxa"/>
            <w:gridSpan w:val="2"/>
            <w:shd w:val="clear" w:color="auto" w:fill="auto"/>
            <w:vAlign w:val="center"/>
          </w:tcPr>
          <w:p>
            <w:pPr>
              <w:jc w:val="center"/>
              <w:rPr>
                <w:color w:val="auto"/>
              </w:rPr>
            </w:pPr>
            <w:r>
              <w:rPr>
                <w:rFonts w:hint="eastAsia"/>
                <w:color w:val="auto"/>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1、业务工作经费</w:t>
            </w:r>
          </w:p>
        </w:tc>
        <w:tc>
          <w:tcPr>
            <w:tcW w:w="1804" w:type="dxa"/>
            <w:gridSpan w:val="2"/>
            <w:shd w:val="clear" w:color="auto" w:fill="auto"/>
            <w:vAlign w:val="center"/>
          </w:tcPr>
          <w:p>
            <w:pPr>
              <w:jc w:val="center"/>
              <w:rPr>
                <w:color w:val="auto"/>
              </w:rPr>
            </w:pPr>
            <w:r>
              <w:rPr>
                <w:rFonts w:hint="eastAsia"/>
                <w:color w:val="auto"/>
              </w:rPr>
              <w:t>38.69</w:t>
            </w:r>
          </w:p>
        </w:tc>
        <w:tc>
          <w:tcPr>
            <w:tcW w:w="2165" w:type="dxa"/>
            <w:gridSpan w:val="2"/>
            <w:shd w:val="clear" w:color="auto" w:fill="auto"/>
            <w:vAlign w:val="center"/>
          </w:tcPr>
          <w:p>
            <w:pPr>
              <w:jc w:val="center"/>
              <w:rPr>
                <w:color w:val="auto"/>
              </w:rPr>
            </w:pPr>
            <w:r>
              <w:rPr>
                <w:rFonts w:hint="eastAsia"/>
                <w:color w:val="auto"/>
              </w:rPr>
              <w:t>80</w:t>
            </w:r>
          </w:p>
        </w:tc>
        <w:tc>
          <w:tcPr>
            <w:tcW w:w="1690" w:type="dxa"/>
            <w:gridSpan w:val="2"/>
            <w:shd w:val="clear" w:color="auto" w:fill="auto"/>
            <w:vAlign w:val="center"/>
          </w:tcPr>
          <w:p>
            <w:pPr>
              <w:jc w:val="center"/>
              <w:rPr>
                <w:color w:val="auto"/>
              </w:rPr>
            </w:pPr>
            <w:r>
              <w:rPr>
                <w:rFonts w:hint="eastAsia"/>
                <w:color w:val="auto"/>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2、运行维护经费</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ind w:firstLine="420" w:firstLineChars="200"/>
              <w:jc w:val="left"/>
              <w:rPr>
                <w:rFonts w:eastAsia="仿宋_GB2312"/>
                <w:color w:val="auto"/>
                <w:kern w:val="0"/>
                <w:szCs w:val="21"/>
              </w:rPr>
            </w:pPr>
            <w:r>
              <w:rPr>
                <w:rFonts w:eastAsia="仿宋_GB2312"/>
                <w:color w:val="auto"/>
                <w:kern w:val="0"/>
                <w:szCs w:val="21"/>
              </w:rPr>
              <w:t>3、省级专项资金</w:t>
            </w:r>
          </w:p>
          <w:p>
            <w:pPr>
              <w:widowControl/>
              <w:spacing w:line="260" w:lineRule="exact"/>
              <w:ind w:firstLine="420" w:firstLineChars="200"/>
              <w:jc w:val="left"/>
              <w:rPr>
                <w:rFonts w:eastAsia="仿宋_GB2312"/>
                <w:color w:val="auto"/>
                <w:kern w:val="0"/>
                <w:szCs w:val="21"/>
              </w:rPr>
            </w:pPr>
            <w:r>
              <w:rPr>
                <w:rFonts w:eastAsia="仿宋_GB2312"/>
                <w:color w:val="auto"/>
                <w:kern w:val="0"/>
                <w:szCs w:val="21"/>
              </w:rPr>
              <w:t>（一个专项一行）</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公用经费</w:t>
            </w:r>
          </w:p>
        </w:tc>
        <w:tc>
          <w:tcPr>
            <w:tcW w:w="1804" w:type="dxa"/>
            <w:gridSpan w:val="2"/>
            <w:shd w:val="clear" w:color="auto" w:fill="auto"/>
            <w:vAlign w:val="center"/>
          </w:tcPr>
          <w:p>
            <w:pPr>
              <w:jc w:val="center"/>
              <w:rPr>
                <w:color w:val="auto"/>
              </w:rPr>
            </w:pPr>
            <w:r>
              <w:rPr>
                <w:rFonts w:hint="eastAsia"/>
                <w:color w:val="auto"/>
              </w:rPr>
              <w:t>59.09</w:t>
            </w:r>
          </w:p>
        </w:tc>
        <w:tc>
          <w:tcPr>
            <w:tcW w:w="2165" w:type="dxa"/>
            <w:gridSpan w:val="2"/>
            <w:shd w:val="clear" w:color="auto" w:fill="auto"/>
            <w:vAlign w:val="center"/>
          </w:tcPr>
          <w:p>
            <w:pPr>
              <w:jc w:val="center"/>
              <w:rPr>
                <w:color w:val="auto"/>
              </w:rPr>
            </w:pPr>
            <w:r>
              <w:rPr>
                <w:rFonts w:hint="eastAsia"/>
                <w:color w:val="auto"/>
              </w:rPr>
              <w:t>97.02</w:t>
            </w:r>
          </w:p>
        </w:tc>
        <w:tc>
          <w:tcPr>
            <w:tcW w:w="1690" w:type="dxa"/>
            <w:gridSpan w:val="2"/>
            <w:shd w:val="clear" w:color="auto" w:fill="auto"/>
            <w:vAlign w:val="center"/>
          </w:tcPr>
          <w:p>
            <w:pPr>
              <w:jc w:val="center"/>
              <w:rPr>
                <w:color w:val="auto"/>
              </w:rPr>
            </w:pPr>
            <w:r>
              <w:rPr>
                <w:rFonts w:hint="eastAsia"/>
                <w:color w:val="auto"/>
              </w:rPr>
              <w:t>93.09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其中：办公</w:t>
            </w:r>
            <w:r>
              <w:rPr>
                <w:rFonts w:hint="eastAsia" w:eastAsia="仿宋_GB2312"/>
                <w:color w:val="auto"/>
                <w:kern w:val="0"/>
                <w:szCs w:val="21"/>
              </w:rPr>
              <w:t>经</w:t>
            </w:r>
            <w:r>
              <w:rPr>
                <w:rFonts w:eastAsia="仿宋_GB2312"/>
                <w:color w:val="auto"/>
                <w:kern w:val="0"/>
                <w:szCs w:val="21"/>
              </w:rPr>
              <w:t>费</w:t>
            </w:r>
          </w:p>
        </w:tc>
        <w:tc>
          <w:tcPr>
            <w:tcW w:w="1804" w:type="dxa"/>
            <w:gridSpan w:val="2"/>
            <w:shd w:val="clear" w:color="auto" w:fill="auto"/>
            <w:vAlign w:val="center"/>
          </w:tcPr>
          <w:p>
            <w:pPr>
              <w:jc w:val="center"/>
              <w:rPr>
                <w:color w:val="auto"/>
              </w:rPr>
            </w:pPr>
            <w:r>
              <w:rPr>
                <w:rFonts w:hint="eastAsia"/>
                <w:color w:val="auto"/>
              </w:rPr>
              <w:t>3.16</w:t>
            </w:r>
          </w:p>
        </w:tc>
        <w:tc>
          <w:tcPr>
            <w:tcW w:w="2165" w:type="dxa"/>
            <w:gridSpan w:val="2"/>
            <w:shd w:val="clear" w:color="auto" w:fill="auto"/>
            <w:vAlign w:val="center"/>
          </w:tcPr>
          <w:p>
            <w:pPr>
              <w:jc w:val="center"/>
              <w:rPr>
                <w:color w:val="auto"/>
              </w:rPr>
            </w:pPr>
            <w:r>
              <w:rPr>
                <w:rFonts w:hint="eastAsia"/>
                <w:color w:val="auto"/>
              </w:rPr>
              <w:t>8.30</w:t>
            </w:r>
          </w:p>
        </w:tc>
        <w:tc>
          <w:tcPr>
            <w:tcW w:w="1690" w:type="dxa"/>
            <w:gridSpan w:val="2"/>
            <w:shd w:val="clear" w:color="auto" w:fill="auto"/>
            <w:vAlign w:val="center"/>
          </w:tcPr>
          <w:p>
            <w:pPr>
              <w:jc w:val="center"/>
              <w:rPr>
                <w:color w:val="auto"/>
              </w:rPr>
            </w:pPr>
            <w:r>
              <w:rPr>
                <w:rFonts w:hint="eastAsia"/>
                <w:color w:val="auto"/>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水费、电费、差旅费</w:t>
            </w:r>
          </w:p>
        </w:tc>
        <w:tc>
          <w:tcPr>
            <w:tcW w:w="1804" w:type="dxa"/>
            <w:gridSpan w:val="2"/>
            <w:shd w:val="clear" w:color="auto" w:fill="auto"/>
            <w:vAlign w:val="center"/>
          </w:tcPr>
          <w:p>
            <w:pPr>
              <w:jc w:val="center"/>
              <w:rPr>
                <w:color w:val="auto"/>
              </w:rPr>
            </w:pPr>
            <w:r>
              <w:rPr>
                <w:rFonts w:hint="eastAsia"/>
                <w:color w:val="auto"/>
              </w:rPr>
              <w:t>13.00</w:t>
            </w:r>
          </w:p>
        </w:tc>
        <w:tc>
          <w:tcPr>
            <w:tcW w:w="2165" w:type="dxa"/>
            <w:gridSpan w:val="2"/>
            <w:shd w:val="clear" w:color="auto" w:fill="auto"/>
            <w:vAlign w:val="center"/>
          </w:tcPr>
          <w:p>
            <w:pPr>
              <w:jc w:val="center"/>
              <w:rPr>
                <w:color w:val="auto"/>
              </w:rPr>
            </w:pPr>
            <w:r>
              <w:rPr>
                <w:rFonts w:hint="eastAsia"/>
                <w:color w:val="auto"/>
              </w:rPr>
              <w:t>14.98</w:t>
            </w:r>
          </w:p>
        </w:tc>
        <w:tc>
          <w:tcPr>
            <w:tcW w:w="1690" w:type="dxa"/>
            <w:gridSpan w:val="2"/>
            <w:shd w:val="clear" w:color="auto" w:fill="auto"/>
            <w:vAlign w:val="center"/>
          </w:tcPr>
          <w:p>
            <w:pPr>
              <w:jc w:val="center"/>
              <w:rPr>
                <w:color w:val="auto"/>
              </w:rPr>
            </w:pPr>
            <w:r>
              <w:rPr>
                <w:rFonts w:hint="eastAsia"/>
                <w:color w:val="auto"/>
              </w:rP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会议费、培训费</w:t>
            </w:r>
          </w:p>
        </w:tc>
        <w:tc>
          <w:tcPr>
            <w:tcW w:w="1804" w:type="dxa"/>
            <w:gridSpan w:val="2"/>
            <w:shd w:val="clear" w:color="auto" w:fill="auto"/>
            <w:vAlign w:val="center"/>
          </w:tcPr>
          <w:p>
            <w:pPr>
              <w:jc w:val="center"/>
              <w:rPr>
                <w:color w:val="auto"/>
              </w:rPr>
            </w:pPr>
            <w:r>
              <w:rPr>
                <w:rFonts w:hint="eastAsia"/>
                <w:color w:val="auto"/>
              </w:rPr>
              <w:t>7.14</w:t>
            </w:r>
          </w:p>
        </w:tc>
        <w:tc>
          <w:tcPr>
            <w:tcW w:w="2165" w:type="dxa"/>
            <w:gridSpan w:val="2"/>
            <w:shd w:val="clear" w:color="auto" w:fill="auto"/>
            <w:vAlign w:val="center"/>
          </w:tcPr>
          <w:p>
            <w:pPr>
              <w:jc w:val="center"/>
              <w:rPr>
                <w:color w:val="auto"/>
              </w:rPr>
            </w:pPr>
            <w:r>
              <w:rPr>
                <w:rFonts w:hint="eastAsia"/>
                <w:color w:val="auto"/>
              </w:rPr>
              <w:t>17.16</w:t>
            </w:r>
          </w:p>
        </w:tc>
        <w:tc>
          <w:tcPr>
            <w:tcW w:w="1690" w:type="dxa"/>
            <w:gridSpan w:val="2"/>
            <w:shd w:val="clear" w:color="auto" w:fill="auto"/>
            <w:vAlign w:val="center"/>
          </w:tcPr>
          <w:p>
            <w:pPr>
              <w:jc w:val="center"/>
              <w:rPr>
                <w:color w:val="auto"/>
              </w:rPr>
            </w:pPr>
            <w:r>
              <w:rPr>
                <w:rFonts w:hint="eastAsia"/>
                <w:color w:val="auto"/>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政府采购金额</w:t>
            </w:r>
          </w:p>
        </w:tc>
        <w:tc>
          <w:tcPr>
            <w:tcW w:w="1804"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2165"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c>
          <w:tcPr>
            <w:tcW w:w="1690"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部门基本支出预算调整 </w:t>
            </w:r>
          </w:p>
        </w:tc>
        <w:tc>
          <w:tcPr>
            <w:tcW w:w="1804"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2165"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43</w:t>
            </w:r>
            <w:r>
              <w:rPr>
                <w:rFonts w:hint="eastAsia" w:eastAsia="仿宋_GB2312"/>
                <w:color w:val="auto"/>
                <w:kern w:val="0"/>
                <w:szCs w:val="21"/>
              </w:rPr>
              <w:t>.</w:t>
            </w:r>
            <w:r>
              <w:rPr>
                <w:rFonts w:eastAsia="仿宋_GB2312"/>
                <w:color w:val="auto"/>
                <w:kern w:val="0"/>
                <w:szCs w:val="21"/>
              </w:rPr>
              <w:t>25</w:t>
            </w:r>
          </w:p>
        </w:tc>
        <w:tc>
          <w:tcPr>
            <w:tcW w:w="1690"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43</w:t>
            </w:r>
            <w:r>
              <w:rPr>
                <w:rFonts w:hint="eastAsia" w:eastAsia="仿宋_GB2312"/>
                <w:color w:val="auto"/>
                <w:kern w:val="0"/>
                <w:szCs w:val="21"/>
              </w:rPr>
              <w:t>.</w:t>
            </w:r>
            <w:r>
              <w:rPr>
                <w:rFonts w:eastAsia="仿宋_GB2312"/>
                <w:color w:val="auto"/>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161" w:type="dxa"/>
            <w:vMerge w:val="restart"/>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楼堂馆所控制情况</w:t>
            </w:r>
            <w:r>
              <w:rPr>
                <w:rFonts w:eastAsia="仿宋_GB2312"/>
                <w:color w:val="auto"/>
                <w:kern w:val="0"/>
                <w:szCs w:val="21"/>
              </w:rPr>
              <w:br w:type="textWrapping"/>
            </w: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年完工项目）</w:t>
            </w:r>
          </w:p>
        </w:tc>
        <w:tc>
          <w:tcPr>
            <w:tcW w:w="839"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批复</w:t>
            </w:r>
          </w:p>
          <w:p>
            <w:pPr>
              <w:widowControl/>
              <w:spacing w:line="260" w:lineRule="exact"/>
              <w:jc w:val="center"/>
              <w:rPr>
                <w:rFonts w:eastAsia="仿宋_GB2312"/>
                <w:bCs/>
                <w:color w:val="auto"/>
                <w:kern w:val="0"/>
                <w:szCs w:val="21"/>
              </w:rPr>
            </w:pPr>
            <w:r>
              <w:rPr>
                <w:rFonts w:eastAsia="仿宋_GB2312"/>
                <w:bCs/>
                <w:color w:val="auto"/>
                <w:kern w:val="0"/>
                <w:szCs w:val="21"/>
              </w:rPr>
              <w:t>规模</w:t>
            </w:r>
          </w:p>
          <w:p>
            <w:pPr>
              <w:widowControl/>
              <w:spacing w:line="260" w:lineRule="exact"/>
              <w:jc w:val="center"/>
              <w:rPr>
                <w:rFonts w:eastAsia="仿宋_GB2312"/>
                <w:bCs/>
                <w:color w:val="auto"/>
                <w:kern w:val="0"/>
                <w:szCs w:val="21"/>
              </w:rPr>
            </w:pPr>
            <w:r>
              <w:rPr>
                <w:rFonts w:eastAsia="仿宋_GB2312"/>
                <w:bCs/>
                <w:color w:val="auto"/>
                <w:kern w:val="0"/>
                <w:szCs w:val="21"/>
              </w:rPr>
              <w:t>（</w:t>
            </w:r>
            <w:r>
              <w:rPr>
                <w:rFonts w:eastAsia="Batang"/>
                <w:bCs/>
                <w:color w:val="auto"/>
                <w:kern w:val="0"/>
                <w:szCs w:val="21"/>
              </w:rPr>
              <w:t>㎡</w:t>
            </w:r>
            <w:r>
              <w:rPr>
                <w:rFonts w:eastAsia="仿宋_GB2312"/>
                <w:bCs/>
                <w:color w:val="auto"/>
                <w:kern w:val="0"/>
                <w:szCs w:val="21"/>
              </w:rPr>
              <w:t>）</w:t>
            </w:r>
          </w:p>
        </w:tc>
        <w:tc>
          <w:tcPr>
            <w:tcW w:w="965"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实际</w:t>
            </w:r>
          </w:p>
          <w:p>
            <w:pPr>
              <w:widowControl/>
              <w:spacing w:line="260" w:lineRule="exact"/>
              <w:jc w:val="center"/>
              <w:rPr>
                <w:rFonts w:eastAsia="仿宋_GB2312"/>
                <w:bCs/>
                <w:color w:val="auto"/>
                <w:kern w:val="0"/>
                <w:szCs w:val="21"/>
              </w:rPr>
            </w:pPr>
            <w:r>
              <w:rPr>
                <w:rFonts w:eastAsia="仿宋_GB2312"/>
                <w:bCs/>
                <w:color w:val="auto"/>
                <w:kern w:val="0"/>
                <w:szCs w:val="21"/>
              </w:rPr>
              <w:t>规模（</w:t>
            </w:r>
            <w:r>
              <w:rPr>
                <w:rFonts w:eastAsia="Batang"/>
                <w:bCs/>
                <w:color w:val="auto"/>
                <w:kern w:val="0"/>
                <w:szCs w:val="21"/>
              </w:rPr>
              <w:t>㎡</w:t>
            </w:r>
            <w:r>
              <w:rPr>
                <w:rFonts w:eastAsia="仿宋_GB2312"/>
                <w:bCs/>
                <w:color w:val="auto"/>
                <w:kern w:val="0"/>
                <w:szCs w:val="21"/>
              </w:rPr>
              <w:t>）</w:t>
            </w:r>
          </w:p>
        </w:tc>
        <w:tc>
          <w:tcPr>
            <w:tcW w:w="1063"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规</w:t>
            </w:r>
            <w:r>
              <w:rPr>
                <w:rFonts w:hint="eastAsia" w:eastAsia="仿宋_GB2312"/>
                <w:bCs/>
                <w:color w:val="auto"/>
                <w:kern w:val="0"/>
                <w:szCs w:val="21"/>
              </w:rPr>
              <w:t xml:space="preserve">  </w:t>
            </w:r>
            <w:r>
              <w:rPr>
                <w:rFonts w:eastAsia="仿宋_GB2312"/>
                <w:bCs/>
                <w:color w:val="auto"/>
                <w:kern w:val="0"/>
                <w:szCs w:val="21"/>
              </w:rPr>
              <w:t>模</w:t>
            </w:r>
          </w:p>
          <w:p>
            <w:pPr>
              <w:widowControl/>
              <w:spacing w:line="260" w:lineRule="exact"/>
              <w:jc w:val="center"/>
              <w:rPr>
                <w:rFonts w:eastAsia="仿宋_GB2312"/>
                <w:bCs/>
                <w:color w:val="auto"/>
                <w:kern w:val="0"/>
                <w:szCs w:val="21"/>
              </w:rPr>
            </w:pPr>
            <w:r>
              <w:rPr>
                <w:rFonts w:eastAsia="仿宋_GB2312"/>
                <w:bCs/>
                <w:color w:val="auto"/>
                <w:kern w:val="0"/>
                <w:szCs w:val="21"/>
              </w:rPr>
              <w:t>控制率</w:t>
            </w:r>
          </w:p>
        </w:tc>
        <w:tc>
          <w:tcPr>
            <w:tcW w:w="1102"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预算</w:t>
            </w:r>
          </w:p>
          <w:p>
            <w:pPr>
              <w:widowControl/>
              <w:spacing w:line="260" w:lineRule="exact"/>
              <w:jc w:val="center"/>
              <w:rPr>
                <w:rFonts w:eastAsia="仿宋_GB2312"/>
                <w:bCs/>
                <w:color w:val="auto"/>
                <w:kern w:val="0"/>
                <w:szCs w:val="21"/>
              </w:rPr>
            </w:pPr>
            <w:r>
              <w:rPr>
                <w:rFonts w:eastAsia="仿宋_GB2312"/>
                <w:bCs/>
                <w:color w:val="auto"/>
                <w:kern w:val="0"/>
                <w:szCs w:val="21"/>
              </w:rPr>
              <w:t>投资</w:t>
            </w:r>
          </w:p>
          <w:p>
            <w:pPr>
              <w:widowControl/>
              <w:spacing w:line="260" w:lineRule="exact"/>
              <w:jc w:val="center"/>
              <w:rPr>
                <w:rFonts w:eastAsia="仿宋_GB2312"/>
                <w:bCs/>
                <w:color w:val="auto"/>
                <w:kern w:val="0"/>
                <w:szCs w:val="21"/>
              </w:rPr>
            </w:pPr>
            <w:r>
              <w:rPr>
                <w:rFonts w:eastAsia="仿宋_GB2312"/>
                <w:bCs/>
                <w:color w:val="auto"/>
                <w:kern w:val="0"/>
                <w:szCs w:val="21"/>
              </w:rPr>
              <w:t>（万元）</w:t>
            </w:r>
          </w:p>
        </w:tc>
        <w:tc>
          <w:tcPr>
            <w:tcW w:w="839"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实际投资</w:t>
            </w:r>
            <w:r>
              <w:rPr>
                <w:rFonts w:hint="eastAsia" w:eastAsia="仿宋_GB2312"/>
                <w:bCs/>
                <w:color w:val="auto"/>
                <w:kern w:val="0"/>
                <w:szCs w:val="21"/>
              </w:rPr>
              <w:t>(</w:t>
            </w:r>
            <w:r>
              <w:rPr>
                <w:rFonts w:eastAsia="仿宋_GB2312"/>
                <w:bCs/>
                <w:color w:val="auto"/>
                <w:kern w:val="0"/>
                <w:szCs w:val="21"/>
              </w:rPr>
              <w:t>万元</w:t>
            </w:r>
            <w:r>
              <w:rPr>
                <w:rFonts w:hint="eastAsia" w:eastAsia="仿宋_GB2312"/>
                <w:bCs/>
                <w:color w:val="auto"/>
                <w:kern w:val="0"/>
                <w:szCs w:val="21"/>
              </w:rPr>
              <w:t>)</w:t>
            </w:r>
          </w:p>
        </w:tc>
        <w:tc>
          <w:tcPr>
            <w:tcW w:w="851"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1" w:type="dxa"/>
            <w:vMerge w:val="continue"/>
            <w:shd w:val="clear" w:color="auto" w:fill="auto"/>
            <w:vAlign w:val="center"/>
          </w:tcPr>
          <w:p>
            <w:pPr>
              <w:widowControl/>
              <w:spacing w:line="260" w:lineRule="exact"/>
              <w:jc w:val="left"/>
              <w:rPr>
                <w:rFonts w:eastAsia="仿宋_GB2312"/>
                <w:color w:val="auto"/>
                <w:kern w:val="0"/>
                <w:szCs w:val="21"/>
              </w:rPr>
            </w:pPr>
          </w:p>
        </w:tc>
        <w:tc>
          <w:tcPr>
            <w:tcW w:w="839"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c>
          <w:tcPr>
            <w:tcW w:w="965"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1063"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1102"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839"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85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厉行节约保障措施</w:t>
            </w:r>
          </w:p>
        </w:tc>
        <w:tc>
          <w:tcPr>
            <w:tcW w:w="5659" w:type="dxa"/>
            <w:gridSpan w:val="6"/>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r>
    </w:tbl>
    <w:p>
      <w:pPr>
        <w:widowControl/>
        <w:spacing w:before="156" w:beforeLines="50"/>
        <w:ind w:left="708" w:hanging="708" w:hangingChars="322"/>
        <w:jc w:val="left"/>
        <w:rPr>
          <w:rFonts w:ascii="仿宋_GB2312" w:hAnsi="仿宋_GB2312" w:eastAsia="仿宋_GB2312" w:cs="仿宋_GB2312"/>
          <w:color w:val="auto"/>
          <w:w w:val="98"/>
          <w:sz w:val="32"/>
          <w:szCs w:val="32"/>
        </w:rPr>
        <w:sectPr>
          <w:footerReference r:id="rId3" w:type="default"/>
          <w:footerReference r:id="rId4" w:type="even"/>
          <w:pgSz w:w="11906" w:h="16838"/>
          <w:pgMar w:top="1871" w:right="1531" w:bottom="1531" w:left="1588" w:header="851" w:footer="1134" w:gutter="0"/>
          <w:cols w:space="425" w:num="1"/>
          <w:docGrid w:type="lines" w:linePitch="312" w:charSpace="0"/>
        </w:sectPr>
      </w:pPr>
      <w:r>
        <w:rPr>
          <w:rFonts w:ascii="黑体" w:hAnsi="黑体" w:eastAsia="黑体"/>
          <w:color w:val="auto"/>
          <w:kern w:val="0"/>
          <w:sz w:val="22"/>
        </w:rPr>
        <w:t>说明</w:t>
      </w:r>
      <w:r>
        <w:rPr>
          <w:rFonts w:eastAsia="仿宋_GB2312"/>
          <w:color w:val="auto"/>
          <w:kern w:val="0"/>
          <w:sz w:val="22"/>
        </w:rPr>
        <w:t>：“项目支出”需要填报基本支出以外的所有项目支出情况，“公用经费”填报基本支出中的一般商品和服务支出。</w:t>
      </w:r>
      <w:r>
        <w:rPr>
          <w:rFonts w:eastAsia="仿宋_GB2312"/>
          <w:color w:val="auto"/>
          <w:kern w:val="0"/>
          <w:sz w:val="22"/>
        </w:rPr>
        <w:br w:type="page"/>
      </w:r>
    </w:p>
    <w:p>
      <w:pPr>
        <w:pStyle w:val="2"/>
        <w:rPr>
          <w:rFonts w:hint="default" w:ascii="仿宋_GB2312" w:eastAsia="仿宋_GB2312"/>
          <w:color w:val="auto"/>
          <w:w w:val="98"/>
          <w:sz w:val="32"/>
          <w:szCs w:val="32"/>
        </w:rPr>
      </w:pPr>
      <w:r>
        <w:rPr>
          <w:rFonts w:ascii="仿宋_GB2312" w:eastAsia="仿宋_GB2312"/>
          <w:color w:val="auto"/>
          <w:w w:val="98"/>
          <w:sz w:val="32"/>
          <w:szCs w:val="32"/>
        </w:rPr>
        <w:t>附件</w:t>
      </w:r>
      <w:r>
        <w:rPr>
          <w:rFonts w:ascii="仿宋_GB2312" w:hAnsi="Times New Roman" w:eastAsia="仿宋_GB2312"/>
          <w:color w:val="auto"/>
          <w:w w:val="98"/>
          <w:sz w:val="32"/>
          <w:szCs w:val="32"/>
        </w:rPr>
        <w:t>2</w:t>
      </w:r>
    </w:p>
    <w:p>
      <w:pPr>
        <w:widowControl/>
        <w:spacing w:line="596" w:lineRule="exact"/>
        <w:jc w:val="center"/>
        <w:rPr>
          <w:rFonts w:eastAsia="方正小标宋_GBK"/>
          <w:color w:val="auto"/>
          <w:kern w:val="0"/>
          <w:sz w:val="36"/>
          <w:szCs w:val="36"/>
        </w:rPr>
      </w:pPr>
      <w:r>
        <w:rPr>
          <w:rFonts w:eastAsia="方正小标宋_GBK"/>
          <w:color w:val="auto"/>
          <w:kern w:val="0"/>
          <w:sz w:val="36"/>
          <w:szCs w:val="36"/>
        </w:rPr>
        <w:t>部门整体支出绩效自评表</w:t>
      </w:r>
    </w:p>
    <w:p>
      <w:pPr>
        <w:widowControl/>
        <w:spacing w:line="360" w:lineRule="exact"/>
        <w:jc w:val="center"/>
        <w:rPr>
          <w:rFonts w:eastAsia="仿宋_GB2312"/>
          <w:color w:val="auto"/>
          <w:kern w:val="0"/>
          <w:szCs w:val="21"/>
        </w:rPr>
      </w:pP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年度）</w:t>
      </w:r>
    </w:p>
    <w:tbl>
      <w:tblPr>
        <w:tblStyle w:val="7"/>
        <w:tblW w:w="15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499"/>
        <w:gridCol w:w="2739"/>
        <w:gridCol w:w="79"/>
        <w:gridCol w:w="2850"/>
        <w:gridCol w:w="1969"/>
        <w:gridCol w:w="709"/>
        <w:gridCol w:w="89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省级预算部门名称</w:t>
            </w:r>
          </w:p>
        </w:tc>
        <w:tc>
          <w:tcPr>
            <w:tcW w:w="14317" w:type="dxa"/>
            <w:gridSpan w:val="9"/>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湖南省价格成本调查队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年度预</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算申请</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（万元）</w:t>
            </w:r>
          </w:p>
        </w:tc>
        <w:tc>
          <w:tcPr>
            <w:tcW w:w="2894" w:type="dxa"/>
            <w:gridSpan w:val="2"/>
            <w:vAlign w:val="center"/>
          </w:tcPr>
          <w:p>
            <w:pPr>
              <w:spacing w:line="280" w:lineRule="exact"/>
              <w:jc w:val="center"/>
              <w:rPr>
                <w:rFonts w:ascii="宋体" w:hAnsi="宋体"/>
                <w:color w:val="auto"/>
                <w:sz w:val="20"/>
                <w:szCs w:val="20"/>
              </w:rPr>
            </w:pPr>
          </w:p>
        </w:tc>
        <w:tc>
          <w:tcPr>
            <w:tcW w:w="2818" w:type="dxa"/>
            <w:gridSpan w:val="2"/>
            <w:vAlign w:val="center"/>
          </w:tcPr>
          <w:p>
            <w:pPr>
              <w:spacing w:line="280" w:lineRule="exact"/>
              <w:jc w:val="center"/>
              <w:rPr>
                <w:rFonts w:ascii="宋体" w:hAnsi="宋体"/>
                <w:color w:val="auto"/>
                <w:sz w:val="20"/>
                <w:szCs w:val="20"/>
              </w:rPr>
            </w:pPr>
            <w:r>
              <w:rPr>
                <w:rFonts w:ascii="宋体" w:hAnsi="宋体"/>
                <w:color w:val="auto"/>
                <w:sz w:val="20"/>
                <w:szCs w:val="20"/>
              </w:rPr>
              <w:t>年  初</w:t>
            </w:r>
          </w:p>
          <w:p>
            <w:pPr>
              <w:spacing w:line="280" w:lineRule="exact"/>
              <w:jc w:val="center"/>
              <w:rPr>
                <w:rFonts w:ascii="宋体" w:hAnsi="宋体"/>
                <w:color w:val="auto"/>
                <w:sz w:val="20"/>
                <w:szCs w:val="20"/>
              </w:rPr>
            </w:pPr>
            <w:r>
              <w:rPr>
                <w:rFonts w:ascii="宋体" w:hAnsi="宋体"/>
                <w:color w:val="auto"/>
                <w:sz w:val="20"/>
                <w:szCs w:val="20"/>
              </w:rPr>
              <w:t>预算数</w:t>
            </w:r>
          </w:p>
        </w:tc>
        <w:tc>
          <w:tcPr>
            <w:tcW w:w="2850" w:type="dxa"/>
            <w:vAlign w:val="center"/>
          </w:tcPr>
          <w:p>
            <w:pPr>
              <w:spacing w:line="280" w:lineRule="exact"/>
              <w:jc w:val="center"/>
              <w:rPr>
                <w:rFonts w:ascii="宋体" w:hAnsi="宋体"/>
                <w:color w:val="auto"/>
                <w:sz w:val="20"/>
                <w:szCs w:val="20"/>
              </w:rPr>
            </w:pPr>
            <w:r>
              <w:rPr>
                <w:rFonts w:ascii="宋体" w:hAnsi="宋体"/>
                <w:color w:val="auto"/>
                <w:sz w:val="20"/>
                <w:szCs w:val="20"/>
              </w:rPr>
              <w:t>全  年</w:t>
            </w:r>
          </w:p>
          <w:p>
            <w:pPr>
              <w:spacing w:line="280" w:lineRule="exact"/>
              <w:jc w:val="center"/>
              <w:rPr>
                <w:rFonts w:ascii="宋体" w:hAnsi="宋体"/>
                <w:color w:val="auto"/>
                <w:sz w:val="20"/>
                <w:szCs w:val="20"/>
              </w:rPr>
            </w:pPr>
            <w:r>
              <w:rPr>
                <w:rFonts w:ascii="宋体" w:hAnsi="宋体"/>
                <w:color w:val="auto"/>
                <w:sz w:val="20"/>
                <w:szCs w:val="20"/>
              </w:rPr>
              <w:t>预算数</w:t>
            </w:r>
          </w:p>
        </w:tc>
        <w:tc>
          <w:tcPr>
            <w:tcW w:w="1969" w:type="dxa"/>
            <w:vAlign w:val="center"/>
          </w:tcPr>
          <w:p>
            <w:pPr>
              <w:spacing w:line="280" w:lineRule="exact"/>
              <w:jc w:val="center"/>
              <w:rPr>
                <w:rFonts w:ascii="宋体" w:hAnsi="宋体"/>
                <w:color w:val="auto"/>
                <w:sz w:val="20"/>
                <w:szCs w:val="20"/>
              </w:rPr>
            </w:pPr>
            <w:r>
              <w:rPr>
                <w:rFonts w:ascii="宋体" w:hAnsi="宋体"/>
                <w:color w:val="auto"/>
                <w:sz w:val="20"/>
                <w:szCs w:val="20"/>
              </w:rPr>
              <w:t>全  年</w:t>
            </w:r>
          </w:p>
          <w:p>
            <w:pPr>
              <w:spacing w:line="280" w:lineRule="exact"/>
              <w:jc w:val="center"/>
              <w:rPr>
                <w:rFonts w:ascii="宋体" w:hAnsi="宋体"/>
                <w:color w:val="auto"/>
                <w:sz w:val="20"/>
                <w:szCs w:val="20"/>
              </w:rPr>
            </w:pPr>
            <w:r>
              <w:rPr>
                <w:rFonts w:ascii="宋体" w:hAnsi="宋体"/>
                <w:color w:val="auto"/>
                <w:sz w:val="20"/>
                <w:szCs w:val="20"/>
              </w:rPr>
              <w:t>执行数</w:t>
            </w:r>
          </w:p>
        </w:tc>
        <w:tc>
          <w:tcPr>
            <w:tcW w:w="709" w:type="dxa"/>
            <w:vAlign w:val="center"/>
          </w:tcPr>
          <w:p>
            <w:pPr>
              <w:spacing w:line="280" w:lineRule="exact"/>
              <w:jc w:val="center"/>
              <w:rPr>
                <w:rFonts w:ascii="宋体" w:hAnsi="宋体"/>
                <w:color w:val="auto"/>
                <w:sz w:val="20"/>
                <w:szCs w:val="20"/>
              </w:rPr>
            </w:pPr>
            <w:r>
              <w:rPr>
                <w:rFonts w:ascii="宋体" w:hAnsi="宋体"/>
                <w:color w:val="auto"/>
                <w:sz w:val="20"/>
                <w:szCs w:val="20"/>
              </w:rPr>
              <w:t>分值</w:t>
            </w:r>
          </w:p>
        </w:tc>
        <w:tc>
          <w:tcPr>
            <w:tcW w:w="898" w:type="dxa"/>
            <w:vAlign w:val="center"/>
          </w:tcPr>
          <w:p>
            <w:pPr>
              <w:spacing w:line="280" w:lineRule="exact"/>
              <w:jc w:val="center"/>
              <w:rPr>
                <w:rFonts w:ascii="宋体" w:hAnsi="宋体"/>
                <w:color w:val="auto"/>
                <w:sz w:val="20"/>
                <w:szCs w:val="20"/>
              </w:rPr>
            </w:pPr>
            <w:r>
              <w:rPr>
                <w:rFonts w:ascii="宋体" w:hAnsi="宋体"/>
                <w:color w:val="auto"/>
                <w:sz w:val="20"/>
                <w:szCs w:val="20"/>
              </w:rPr>
              <w:t>执行率</w:t>
            </w:r>
          </w:p>
        </w:tc>
        <w:tc>
          <w:tcPr>
            <w:tcW w:w="2179" w:type="dxa"/>
            <w:vAlign w:val="center"/>
          </w:tcPr>
          <w:p>
            <w:pPr>
              <w:spacing w:line="280" w:lineRule="exact"/>
              <w:jc w:val="center"/>
              <w:rPr>
                <w:rFonts w:ascii="宋体" w:hAnsi="宋体"/>
                <w:color w:val="auto"/>
                <w:sz w:val="20"/>
                <w:szCs w:val="20"/>
              </w:rPr>
            </w:pPr>
            <w:r>
              <w:rPr>
                <w:rFonts w:ascii="宋体" w:hAnsi="宋体"/>
                <w:color w:val="auto"/>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center"/>
              <w:rPr>
                <w:rFonts w:ascii="宋体" w:hAnsi="宋体"/>
                <w:color w:val="auto"/>
                <w:kern w:val="0"/>
                <w:sz w:val="20"/>
                <w:szCs w:val="20"/>
              </w:rPr>
            </w:pPr>
          </w:p>
        </w:tc>
        <w:tc>
          <w:tcPr>
            <w:tcW w:w="2894" w:type="dxa"/>
            <w:gridSpan w:val="2"/>
            <w:vAlign w:val="center"/>
          </w:tcPr>
          <w:p>
            <w:pPr>
              <w:spacing w:line="280" w:lineRule="exact"/>
              <w:jc w:val="center"/>
              <w:rPr>
                <w:rFonts w:ascii="宋体" w:hAnsi="宋体"/>
                <w:color w:val="auto"/>
                <w:sz w:val="20"/>
                <w:szCs w:val="20"/>
              </w:rPr>
            </w:pPr>
            <w:r>
              <w:rPr>
                <w:rFonts w:ascii="宋体" w:hAnsi="宋体"/>
                <w:color w:val="auto"/>
                <w:kern w:val="0"/>
                <w:sz w:val="20"/>
                <w:szCs w:val="20"/>
              </w:rPr>
              <w:t>年度资金总额</w:t>
            </w:r>
          </w:p>
        </w:tc>
        <w:tc>
          <w:tcPr>
            <w:tcW w:w="2818" w:type="dxa"/>
            <w:gridSpan w:val="2"/>
          </w:tcPr>
          <w:p>
            <w:pPr>
              <w:jc w:val="center"/>
              <w:rPr>
                <w:color w:val="auto"/>
              </w:rPr>
            </w:pPr>
            <w:r>
              <w:rPr>
                <w:color w:val="auto"/>
              </w:rPr>
              <w:t>383.43</w:t>
            </w:r>
          </w:p>
        </w:tc>
        <w:tc>
          <w:tcPr>
            <w:tcW w:w="2850" w:type="dxa"/>
          </w:tcPr>
          <w:p>
            <w:pPr>
              <w:jc w:val="center"/>
              <w:rPr>
                <w:color w:val="auto"/>
              </w:rPr>
            </w:pPr>
            <w:r>
              <w:rPr>
                <w:rFonts w:hint="eastAsia"/>
                <w:color w:val="auto"/>
              </w:rPr>
              <w:t>455.68</w:t>
            </w:r>
          </w:p>
        </w:tc>
        <w:tc>
          <w:tcPr>
            <w:tcW w:w="1969" w:type="dxa"/>
          </w:tcPr>
          <w:p>
            <w:pPr>
              <w:jc w:val="center"/>
              <w:rPr>
                <w:color w:val="auto"/>
              </w:rPr>
            </w:pPr>
            <w:r>
              <w:rPr>
                <w:color w:val="auto"/>
              </w:rPr>
              <w:t>392.72</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10</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86%</w:t>
            </w:r>
          </w:p>
        </w:tc>
        <w:tc>
          <w:tcPr>
            <w:tcW w:w="217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8</w:t>
            </w:r>
            <w:r>
              <w:rPr>
                <w:rFonts w:hint="eastAsia" w:ascii="宋体" w:hAnsi="宋体"/>
                <w:color w:val="auto"/>
                <w:kern w:val="0"/>
                <w:sz w:val="20"/>
                <w:szCs w:val="20"/>
              </w:rPr>
              <w:t>.</w:t>
            </w:r>
            <w:r>
              <w:rPr>
                <w:rFonts w:ascii="宋体" w:hAnsi="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按收入性质分：</w:t>
            </w:r>
          </w:p>
        </w:tc>
        <w:tc>
          <w:tcPr>
            <w:tcW w:w="5755" w:type="dxa"/>
            <w:gridSpan w:val="4"/>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eastAsia="仿宋_GB2312"/>
                <w:color w:val="auto"/>
                <w:kern w:val="0"/>
                <w:sz w:val="20"/>
                <w:szCs w:val="20"/>
              </w:rPr>
            </w:pPr>
            <w:r>
              <w:rPr>
                <w:rFonts w:ascii="宋体" w:hAnsi="宋体"/>
                <w:color w:val="auto"/>
                <w:kern w:val="0"/>
                <w:sz w:val="20"/>
                <w:szCs w:val="20"/>
              </w:rPr>
              <w:t xml:space="preserve">  其中：  一般公共预算：</w:t>
            </w:r>
            <w:r>
              <w:rPr>
                <w:rFonts w:hint="eastAsia" w:eastAsia="仿宋_GB2312"/>
                <w:color w:val="auto"/>
                <w:szCs w:val="21"/>
              </w:rPr>
              <w:t>3</w:t>
            </w:r>
            <w:r>
              <w:rPr>
                <w:rFonts w:eastAsia="仿宋_GB2312"/>
                <w:color w:val="auto"/>
                <w:szCs w:val="21"/>
              </w:rPr>
              <w:t>94.44</w:t>
            </w:r>
          </w:p>
        </w:tc>
        <w:tc>
          <w:tcPr>
            <w:tcW w:w="5755" w:type="dxa"/>
            <w:gridSpan w:val="4"/>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其中：基本支出：</w:t>
            </w:r>
            <w:r>
              <w:rPr>
                <w:rFonts w:hint="eastAsia" w:eastAsia="仿宋_GB2312"/>
                <w:color w:val="auto"/>
                <w:kern w:val="0"/>
                <w:szCs w:val="21"/>
              </w:rPr>
              <w:t>346.68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ind w:firstLine="800" w:firstLineChars="400"/>
              <w:jc w:val="left"/>
              <w:rPr>
                <w:rFonts w:ascii="宋体" w:hAnsi="宋体"/>
                <w:color w:val="auto"/>
                <w:kern w:val="0"/>
                <w:sz w:val="20"/>
                <w:szCs w:val="20"/>
              </w:rPr>
            </w:pPr>
            <w:r>
              <w:rPr>
                <w:rFonts w:ascii="宋体" w:hAnsi="宋体"/>
                <w:color w:val="auto"/>
                <w:kern w:val="0"/>
                <w:sz w:val="20"/>
                <w:szCs w:val="20"/>
              </w:rPr>
              <w:t>政府性基金拨款：</w:t>
            </w:r>
          </w:p>
        </w:tc>
        <w:tc>
          <w:tcPr>
            <w:tcW w:w="5755" w:type="dxa"/>
            <w:gridSpan w:val="4"/>
            <w:vAlign w:val="center"/>
          </w:tcPr>
          <w:p>
            <w:pPr>
              <w:widowControl/>
              <w:spacing w:line="280" w:lineRule="exact"/>
              <w:ind w:firstLine="600" w:firstLineChars="300"/>
              <w:jc w:val="left"/>
              <w:rPr>
                <w:rFonts w:ascii="宋体" w:hAnsi="宋体"/>
                <w:color w:val="auto"/>
                <w:kern w:val="0"/>
                <w:sz w:val="20"/>
                <w:szCs w:val="20"/>
              </w:rPr>
            </w:pPr>
            <w:r>
              <w:rPr>
                <w:rFonts w:ascii="宋体" w:hAnsi="宋体"/>
                <w:color w:val="auto"/>
                <w:kern w:val="0"/>
                <w:sz w:val="20"/>
                <w:szCs w:val="20"/>
              </w:rPr>
              <w:t>项目支出：</w:t>
            </w:r>
            <w:r>
              <w:rPr>
                <w:rFonts w:hint="eastAsia" w:eastAsia="仿宋_GB2312"/>
                <w:color w:val="auto"/>
                <w:kern w:val="0"/>
                <w:szCs w:val="21"/>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纳入专户管理的非税收入拨款：</w:t>
            </w:r>
          </w:p>
        </w:tc>
        <w:tc>
          <w:tcPr>
            <w:tcW w:w="5755" w:type="dxa"/>
            <w:gridSpan w:val="4"/>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 xml:space="preserve">      省级专项资金支出：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ind w:firstLine="1400" w:firstLineChars="700"/>
              <w:jc w:val="left"/>
              <w:rPr>
                <w:rFonts w:ascii="宋体" w:hAnsi="宋体"/>
                <w:color w:val="auto"/>
                <w:kern w:val="0"/>
                <w:sz w:val="20"/>
                <w:szCs w:val="20"/>
              </w:rPr>
            </w:pPr>
            <w:r>
              <w:rPr>
                <w:rFonts w:ascii="宋体" w:hAnsi="宋体"/>
                <w:color w:val="auto"/>
                <w:kern w:val="0"/>
                <w:sz w:val="20"/>
                <w:szCs w:val="20"/>
              </w:rPr>
              <w:t>其他资金：61.24</w:t>
            </w:r>
          </w:p>
        </w:tc>
        <w:tc>
          <w:tcPr>
            <w:tcW w:w="5755" w:type="dxa"/>
            <w:gridSpan w:val="4"/>
            <w:vAlign w:val="center"/>
          </w:tcPr>
          <w:p>
            <w:pPr>
              <w:widowControl/>
              <w:spacing w:line="280" w:lineRule="exact"/>
              <w:ind w:firstLine="600" w:firstLineChars="300"/>
              <w:jc w:val="left"/>
              <w:rPr>
                <w:rFonts w:ascii="宋体" w:hAnsi="宋体"/>
                <w:color w:val="auto"/>
                <w:kern w:val="0"/>
                <w:sz w:val="20"/>
                <w:szCs w:val="20"/>
              </w:rPr>
            </w:pPr>
            <w:r>
              <w:rPr>
                <w:rFonts w:ascii="宋体" w:hAnsi="宋体"/>
                <w:color w:val="auto"/>
                <w:kern w:val="0"/>
                <w:sz w:val="20"/>
                <w:szCs w:val="20"/>
              </w:rPr>
              <w:t>经营支出：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年度总体目   标</w:t>
            </w:r>
          </w:p>
        </w:tc>
        <w:tc>
          <w:tcPr>
            <w:tcW w:w="8562" w:type="dxa"/>
            <w:gridSpan w:val="5"/>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预期目标</w:t>
            </w:r>
          </w:p>
        </w:tc>
        <w:tc>
          <w:tcPr>
            <w:tcW w:w="5755" w:type="dxa"/>
            <w:gridSpan w:val="4"/>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color w:val="auto"/>
                <w:kern w:val="0"/>
                <w:sz w:val="20"/>
                <w:szCs w:val="20"/>
              </w:rPr>
            </w:pPr>
            <w:r>
              <w:rPr>
                <w:rFonts w:hint="eastAsia" w:eastAsia="仿宋_GB2312"/>
                <w:color w:val="auto"/>
                <w:kern w:val="0"/>
                <w:szCs w:val="21"/>
              </w:rPr>
              <w:t>按照国家及省成本监审工作要求，按质完成成本监审工作。</w:t>
            </w:r>
          </w:p>
        </w:tc>
        <w:tc>
          <w:tcPr>
            <w:tcW w:w="5755" w:type="dxa"/>
            <w:gridSpan w:val="4"/>
            <w:vAlign w:val="center"/>
          </w:tcPr>
          <w:p>
            <w:pPr>
              <w:widowControl/>
              <w:spacing w:line="280" w:lineRule="exact"/>
              <w:rPr>
                <w:rFonts w:ascii="宋体" w:hAnsi="宋体"/>
                <w:color w:val="auto"/>
                <w:kern w:val="0"/>
                <w:sz w:val="20"/>
                <w:szCs w:val="20"/>
              </w:rPr>
            </w:pPr>
            <w:r>
              <w:rPr>
                <w:rFonts w:hint="eastAsia" w:eastAsia="仿宋_GB2312"/>
                <w:color w:val="auto"/>
                <w:kern w:val="0"/>
                <w:szCs w:val="21"/>
              </w:rPr>
              <w:t>按照国家及省成本监审工作要求，按质完成成本监审工作。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绩</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效</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指</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标</w:t>
            </w:r>
          </w:p>
        </w:tc>
        <w:tc>
          <w:tcPr>
            <w:tcW w:w="1395"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一级指标</w:t>
            </w:r>
          </w:p>
        </w:tc>
        <w:tc>
          <w:tcPr>
            <w:tcW w:w="149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二级指标</w:t>
            </w:r>
          </w:p>
        </w:tc>
        <w:tc>
          <w:tcPr>
            <w:tcW w:w="273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三级</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指标</w:t>
            </w:r>
          </w:p>
        </w:tc>
        <w:tc>
          <w:tcPr>
            <w:tcW w:w="2929" w:type="dxa"/>
            <w:gridSpan w:val="2"/>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年度</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指标值</w:t>
            </w:r>
          </w:p>
        </w:tc>
        <w:tc>
          <w:tcPr>
            <w:tcW w:w="196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实际</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完成值</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分值</w:t>
            </w:r>
          </w:p>
        </w:tc>
        <w:tc>
          <w:tcPr>
            <w:tcW w:w="898"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得分</w:t>
            </w:r>
          </w:p>
        </w:tc>
        <w:tc>
          <w:tcPr>
            <w:tcW w:w="2179" w:type="dxa"/>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偏差原因</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分析及</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产出指标</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(50分)</w:t>
            </w: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数量</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在职人员控制数</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在职人员不超过编制人数</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在职人员</w:t>
            </w:r>
            <w:r>
              <w:rPr>
                <w:rFonts w:hint="eastAsia" w:ascii="宋体" w:hAnsi="宋体"/>
                <w:color w:val="auto"/>
                <w:kern w:val="0"/>
                <w:sz w:val="20"/>
                <w:szCs w:val="20"/>
              </w:rPr>
              <w:t>未</w:t>
            </w:r>
            <w:r>
              <w:rPr>
                <w:rFonts w:ascii="宋体" w:hAnsi="宋体"/>
                <w:color w:val="auto"/>
                <w:kern w:val="0"/>
                <w:sz w:val="20"/>
                <w:szCs w:val="20"/>
              </w:rPr>
              <w:t>超过编制人数</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预算调整及执行情况</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预算调整率不超10%，执行不超全年预算</w:t>
            </w:r>
          </w:p>
        </w:tc>
        <w:tc>
          <w:tcPr>
            <w:tcW w:w="196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预算调整率</w:t>
            </w:r>
            <w:r>
              <w:rPr>
                <w:rFonts w:hint="eastAsia" w:ascii="宋体" w:hAnsi="宋体"/>
                <w:color w:val="auto"/>
                <w:kern w:val="0"/>
                <w:sz w:val="20"/>
                <w:szCs w:val="20"/>
              </w:rPr>
              <w:t>未</w:t>
            </w:r>
            <w:r>
              <w:rPr>
                <w:rFonts w:ascii="宋体" w:hAnsi="宋体"/>
                <w:color w:val="auto"/>
                <w:kern w:val="0"/>
                <w:sz w:val="20"/>
                <w:szCs w:val="20"/>
              </w:rPr>
              <w:t>超10%，执行</w:t>
            </w:r>
            <w:r>
              <w:rPr>
                <w:rFonts w:hint="eastAsia" w:ascii="宋体" w:hAnsi="宋体"/>
                <w:color w:val="auto"/>
                <w:kern w:val="0"/>
                <w:sz w:val="20"/>
                <w:szCs w:val="20"/>
              </w:rPr>
              <w:t>未</w:t>
            </w:r>
            <w:r>
              <w:rPr>
                <w:rFonts w:ascii="宋体" w:hAnsi="宋体"/>
                <w:color w:val="auto"/>
                <w:kern w:val="0"/>
                <w:sz w:val="20"/>
                <w:szCs w:val="20"/>
              </w:rPr>
              <w:t>超全年预算</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工作任务执行情况</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完成职责内工作及相关工作</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完成职责内工作及相关工作</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质量</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财政资金使用合规性</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规范预算开支，</w:t>
            </w:r>
            <w:r>
              <w:rPr>
                <w:rFonts w:ascii="宋体" w:hAnsi="宋体"/>
                <w:color w:val="auto"/>
                <w:sz w:val="20"/>
                <w:szCs w:val="20"/>
              </w:rPr>
              <w:t>符合国家财经法规和单位财务管理制度规定</w:t>
            </w:r>
          </w:p>
        </w:tc>
        <w:tc>
          <w:tcPr>
            <w:tcW w:w="1969" w:type="dxa"/>
            <w:vAlign w:val="center"/>
          </w:tcPr>
          <w:p>
            <w:pPr>
              <w:widowControl/>
              <w:spacing w:line="240" w:lineRule="exact"/>
              <w:rPr>
                <w:rFonts w:ascii="宋体" w:hAnsi="宋体"/>
                <w:color w:val="auto"/>
                <w:kern w:val="0"/>
                <w:sz w:val="20"/>
                <w:szCs w:val="20"/>
              </w:rPr>
            </w:pPr>
            <w:r>
              <w:rPr>
                <w:rFonts w:hint="eastAsia" w:ascii="宋体" w:hAnsi="宋体"/>
                <w:color w:val="auto"/>
                <w:kern w:val="0"/>
                <w:sz w:val="20"/>
                <w:szCs w:val="20"/>
              </w:rPr>
              <w:t>部分</w:t>
            </w:r>
            <w:r>
              <w:rPr>
                <w:rFonts w:ascii="宋体" w:hAnsi="宋体"/>
                <w:color w:val="auto"/>
                <w:kern w:val="0"/>
                <w:sz w:val="20"/>
                <w:szCs w:val="20"/>
              </w:rPr>
              <w:t>预算开支</w:t>
            </w:r>
            <w:r>
              <w:rPr>
                <w:rFonts w:hint="eastAsia" w:ascii="宋体" w:hAnsi="宋体"/>
                <w:color w:val="auto"/>
                <w:kern w:val="0"/>
                <w:sz w:val="20"/>
                <w:szCs w:val="20"/>
              </w:rPr>
              <w:t>欠规范</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4</w:t>
            </w:r>
          </w:p>
        </w:tc>
        <w:tc>
          <w:tcPr>
            <w:tcW w:w="898"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3</w:t>
            </w:r>
          </w:p>
        </w:tc>
        <w:tc>
          <w:tcPr>
            <w:tcW w:w="2179" w:type="dxa"/>
            <w:vAlign w:val="center"/>
          </w:tcPr>
          <w:p>
            <w:pPr>
              <w:widowControl/>
              <w:spacing w:line="280" w:lineRule="exac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工作有效性及安全性</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不得出现重大事故及投诉</w:t>
            </w:r>
          </w:p>
        </w:tc>
        <w:tc>
          <w:tcPr>
            <w:tcW w:w="1969" w:type="dxa"/>
            <w:vAlign w:val="center"/>
          </w:tcPr>
          <w:p>
            <w:pPr>
              <w:widowControl/>
              <w:spacing w:line="240" w:lineRule="exact"/>
              <w:rPr>
                <w:rFonts w:ascii="宋体" w:hAnsi="宋体"/>
                <w:color w:val="auto"/>
                <w:kern w:val="0"/>
                <w:sz w:val="20"/>
                <w:szCs w:val="20"/>
              </w:rPr>
            </w:pPr>
            <w:r>
              <w:rPr>
                <w:rFonts w:hint="eastAsia" w:ascii="宋体" w:hAnsi="宋体"/>
                <w:color w:val="auto"/>
                <w:kern w:val="0"/>
                <w:sz w:val="20"/>
                <w:szCs w:val="20"/>
              </w:rPr>
              <w:t>未</w:t>
            </w:r>
            <w:r>
              <w:rPr>
                <w:rFonts w:ascii="宋体" w:hAnsi="宋体"/>
                <w:color w:val="auto"/>
                <w:kern w:val="0"/>
                <w:sz w:val="20"/>
                <w:szCs w:val="20"/>
              </w:rPr>
              <w:t>出现重大事故及投诉</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4</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4</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管理制度及安全性</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sz w:val="20"/>
                <w:szCs w:val="20"/>
              </w:rPr>
              <w:t>管理制度得到有效执行</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sz w:val="20"/>
                <w:szCs w:val="20"/>
              </w:rPr>
              <w:t>管理制度得到有效执行</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4</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4</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验收合格率</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各项目实施及设备验收合格</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各项目实施及设备验收合格</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3</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3</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时效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工作效率</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完成全年任务考核</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完成全年任务考核</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10</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10</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成本</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公用经费节约</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不超全年预算</w:t>
            </w:r>
          </w:p>
        </w:tc>
        <w:tc>
          <w:tcPr>
            <w:tcW w:w="1969" w:type="dxa"/>
            <w:vAlign w:val="center"/>
          </w:tcPr>
          <w:p>
            <w:pPr>
              <w:widowControl/>
              <w:spacing w:line="240" w:lineRule="exact"/>
              <w:jc w:val="center"/>
              <w:rPr>
                <w:rFonts w:ascii="宋体" w:hAnsi="宋体"/>
                <w:color w:val="auto"/>
                <w:kern w:val="0"/>
                <w:sz w:val="20"/>
                <w:szCs w:val="20"/>
              </w:rPr>
            </w:pPr>
            <w:r>
              <w:rPr>
                <w:rFonts w:hint="eastAsia" w:ascii="宋体" w:hAnsi="宋体"/>
                <w:color w:val="auto"/>
                <w:kern w:val="0"/>
                <w:sz w:val="20"/>
                <w:szCs w:val="20"/>
              </w:rPr>
              <w:t>未</w:t>
            </w:r>
            <w:r>
              <w:rPr>
                <w:rFonts w:ascii="宋体" w:hAnsi="宋体"/>
                <w:color w:val="auto"/>
                <w:kern w:val="0"/>
                <w:sz w:val="20"/>
                <w:szCs w:val="20"/>
              </w:rPr>
              <w:t>超</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widowControl/>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left"/>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三公经费节约</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不超全年预算</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不超</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效益指标</w:t>
            </w:r>
          </w:p>
          <w:p>
            <w:pPr>
              <w:widowControl/>
              <w:spacing w:line="280" w:lineRule="exact"/>
              <w:ind w:firstLine="200" w:firstLineChars="100"/>
              <w:jc w:val="left"/>
              <w:rPr>
                <w:rFonts w:ascii="宋体" w:hAnsi="宋体"/>
                <w:color w:val="auto"/>
                <w:kern w:val="0"/>
                <w:sz w:val="20"/>
                <w:szCs w:val="20"/>
              </w:rPr>
            </w:pPr>
            <w:r>
              <w:rPr>
                <w:rFonts w:ascii="宋体" w:hAnsi="宋体"/>
                <w:color w:val="auto"/>
                <w:kern w:val="0"/>
                <w:sz w:val="20"/>
                <w:szCs w:val="20"/>
              </w:rPr>
              <w:t>（30分）　</w:t>
            </w: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经济效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益指标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保持投资额度增长</w:t>
            </w:r>
          </w:p>
        </w:tc>
        <w:tc>
          <w:tcPr>
            <w:tcW w:w="2929" w:type="dxa"/>
            <w:gridSpan w:val="2"/>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稳步上升</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稳步上升</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促进全省经济发展</w:t>
            </w:r>
          </w:p>
        </w:tc>
        <w:tc>
          <w:tcPr>
            <w:tcW w:w="2929" w:type="dxa"/>
            <w:gridSpan w:val="2"/>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社会效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益指标</w:t>
            </w:r>
          </w:p>
        </w:tc>
        <w:tc>
          <w:tcPr>
            <w:tcW w:w="2739" w:type="dxa"/>
            <w:vAlign w:val="center"/>
          </w:tcPr>
          <w:p>
            <w:pPr>
              <w:widowControl/>
              <w:spacing w:line="240" w:lineRule="exact"/>
              <w:jc w:val="left"/>
              <w:rPr>
                <w:rFonts w:ascii="宋体" w:hAnsi="宋体"/>
                <w:color w:val="auto"/>
                <w:kern w:val="0"/>
                <w:sz w:val="20"/>
                <w:szCs w:val="20"/>
                <w:highlight w:val="yellow"/>
              </w:rPr>
            </w:pPr>
            <w:r>
              <w:rPr>
                <w:rFonts w:ascii="宋体" w:hAnsi="宋体"/>
                <w:color w:val="auto"/>
                <w:kern w:val="0"/>
                <w:sz w:val="20"/>
                <w:szCs w:val="20"/>
              </w:rPr>
              <w:t>直接或间接带动相关产业发展</w:t>
            </w:r>
          </w:p>
        </w:tc>
        <w:tc>
          <w:tcPr>
            <w:tcW w:w="2929" w:type="dxa"/>
            <w:gridSpan w:val="2"/>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highlight w:val="yellow"/>
              </w:rPr>
            </w:pPr>
            <w:r>
              <w:rPr>
                <w:rFonts w:ascii="宋体" w:hAnsi="宋体"/>
                <w:color w:val="auto"/>
                <w:kern w:val="0"/>
                <w:sz w:val="20"/>
                <w:szCs w:val="20"/>
              </w:rPr>
              <w:t>推动网上办事，提高行政效率</w:t>
            </w:r>
          </w:p>
        </w:tc>
        <w:tc>
          <w:tcPr>
            <w:tcW w:w="2929" w:type="dxa"/>
            <w:gridSpan w:val="2"/>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生态效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益指标</w:t>
            </w:r>
          </w:p>
        </w:tc>
        <w:tc>
          <w:tcPr>
            <w:tcW w:w="2739" w:type="dxa"/>
            <w:vAlign w:val="center"/>
          </w:tcPr>
          <w:p>
            <w:pPr>
              <w:widowControl/>
              <w:spacing w:line="240" w:lineRule="exact"/>
              <w:jc w:val="left"/>
              <w:rPr>
                <w:rFonts w:ascii="宋体" w:hAnsi="宋体"/>
                <w:color w:val="auto"/>
                <w:kern w:val="0"/>
                <w:sz w:val="20"/>
                <w:szCs w:val="20"/>
                <w:highlight w:val="yellow"/>
              </w:rPr>
            </w:pPr>
            <w:r>
              <w:rPr>
                <w:rFonts w:ascii="宋体" w:hAnsi="宋体"/>
                <w:color w:val="auto"/>
                <w:kern w:val="0"/>
                <w:sz w:val="20"/>
                <w:szCs w:val="20"/>
              </w:rPr>
              <w:t>加快推进生态文明建设</w:t>
            </w:r>
          </w:p>
        </w:tc>
        <w:tc>
          <w:tcPr>
            <w:tcW w:w="2929" w:type="dxa"/>
            <w:gridSpan w:val="2"/>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center"/>
              <w:rPr>
                <w:rFonts w:ascii="宋体" w:hAnsi="宋体"/>
                <w:color w:val="auto"/>
                <w:kern w:val="0"/>
                <w:sz w:val="20"/>
                <w:szCs w:val="20"/>
              </w:rPr>
            </w:pPr>
          </w:p>
        </w:tc>
        <w:tc>
          <w:tcPr>
            <w:tcW w:w="1395" w:type="dxa"/>
            <w:vMerge w:val="continue"/>
            <w:vAlign w:val="center"/>
          </w:tcPr>
          <w:p>
            <w:pPr>
              <w:widowControl/>
              <w:spacing w:line="280" w:lineRule="exact"/>
              <w:jc w:val="left"/>
              <w:rPr>
                <w:rFonts w:ascii="宋体" w:hAnsi="宋体"/>
                <w:color w:val="auto"/>
                <w:kern w:val="0"/>
                <w:sz w:val="20"/>
                <w:szCs w:val="20"/>
              </w:rPr>
            </w:pPr>
          </w:p>
        </w:tc>
        <w:tc>
          <w:tcPr>
            <w:tcW w:w="149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可持续影响</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对国家及社会群众带来的后续影响</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为国家及社会群众带来深远的影响</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为国家及社会群众带来深远的影响</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left"/>
              <w:rPr>
                <w:rFonts w:ascii="宋体" w:hAnsi="宋体"/>
                <w:color w:val="auto"/>
                <w:kern w:val="0"/>
                <w:sz w:val="20"/>
                <w:szCs w:val="20"/>
              </w:rPr>
            </w:pPr>
          </w:p>
        </w:tc>
        <w:tc>
          <w:tcPr>
            <w:tcW w:w="1395"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满意度指标</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（10分）</w:t>
            </w: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服务对象满意度指标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为党和国家服务满意情况</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国家或政府认可情况</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国家或政府认可情况</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1395" w:type="dxa"/>
            <w:vMerge w:val="continue"/>
            <w:vAlign w:val="center"/>
          </w:tcPr>
          <w:p>
            <w:pPr>
              <w:widowControl/>
              <w:spacing w:line="280" w:lineRule="exact"/>
              <w:jc w:val="left"/>
              <w:rPr>
                <w:rFonts w:ascii="宋体" w:hAnsi="宋体"/>
                <w:color w:val="auto"/>
                <w:kern w:val="0"/>
                <w:sz w:val="20"/>
                <w:szCs w:val="20"/>
              </w:rPr>
            </w:pPr>
          </w:p>
        </w:tc>
        <w:tc>
          <w:tcPr>
            <w:tcW w:w="1499" w:type="dxa"/>
            <w:vMerge w:val="continue"/>
            <w:vAlign w:val="center"/>
          </w:tcPr>
          <w:p>
            <w:pPr>
              <w:widowControl/>
              <w:spacing w:line="280" w:lineRule="exact"/>
              <w:jc w:val="left"/>
              <w:rPr>
                <w:rFonts w:ascii="宋体" w:hAnsi="宋体"/>
                <w:color w:val="auto"/>
                <w:kern w:val="0"/>
                <w:sz w:val="20"/>
                <w:szCs w:val="20"/>
              </w:rPr>
            </w:pPr>
          </w:p>
        </w:tc>
        <w:tc>
          <w:tcPr>
            <w:tcW w:w="2739" w:type="dxa"/>
            <w:vAlign w:val="center"/>
          </w:tcPr>
          <w:p>
            <w:pPr>
              <w:widowControl/>
              <w:jc w:val="left"/>
              <w:rPr>
                <w:rFonts w:ascii="宋体" w:hAnsi="宋体"/>
                <w:color w:val="auto"/>
                <w:kern w:val="0"/>
                <w:sz w:val="20"/>
                <w:szCs w:val="20"/>
              </w:rPr>
            </w:pPr>
            <w:r>
              <w:rPr>
                <w:rFonts w:ascii="宋体" w:hAnsi="宋体"/>
                <w:color w:val="auto"/>
                <w:kern w:val="0"/>
                <w:sz w:val="20"/>
                <w:szCs w:val="20"/>
              </w:rPr>
              <w:t>社会群众满意情况</w:t>
            </w:r>
          </w:p>
        </w:tc>
        <w:tc>
          <w:tcPr>
            <w:tcW w:w="2929" w:type="dxa"/>
            <w:gridSpan w:val="2"/>
            <w:vAlign w:val="center"/>
          </w:tcPr>
          <w:p>
            <w:pPr>
              <w:widowControl/>
              <w:rPr>
                <w:rFonts w:ascii="宋体" w:hAnsi="宋体"/>
                <w:color w:val="auto"/>
                <w:kern w:val="0"/>
                <w:sz w:val="20"/>
                <w:szCs w:val="20"/>
              </w:rPr>
            </w:pPr>
            <w:r>
              <w:rPr>
                <w:rFonts w:ascii="宋体" w:hAnsi="宋体"/>
                <w:color w:val="auto"/>
                <w:kern w:val="0"/>
                <w:sz w:val="20"/>
                <w:szCs w:val="20"/>
              </w:rPr>
              <w:t>95%以上</w:t>
            </w:r>
          </w:p>
        </w:tc>
        <w:tc>
          <w:tcPr>
            <w:tcW w:w="1969" w:type="dxa"/>
            <w:vAlign w:val="center"/>
          </w:tcPr>
          <w:p>
            <w:pPr>
              <w:widowControl/>
              <w:jc w:val="center"/>
              <w:rPr>
                <w:rFonts w:ascii="宋体" w:hAnsi="宋体"/>
                <w:color w:val="auto"/>
                <w:kern w:val="0"/>
                <w:sz w:val="20"/>
                <w:szCs w:val="20"/>
              </w:rPr>
            </w:pPr>
            <w:r>
              <w:rPr>
                <w:rFonts w:ascii="宋体" w:hAnsi="宋体"/>
                <w:color w:val="auto"/>
                <w:kern w:val="0"/>
                <w:sz w:val="20"/>
                <w:szCs w:val="20"/>
              </w:rPr>
              <w:t>95%以上</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11" w:type="dxa"/>
            <w:gridSpan w:val="7"/>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总分</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100</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9</w:t>
            </w:r>
            <w:r>
              <w:rPr>
                <w:rFonts w:ascii="宋体" w:hAnsi="宋体"/>
                <w:color w:val="auto"/>
                <w:kern w:val="0"/>
                <w:sz w:val="20"/>
                <w:szCs w:val="20"/>
              </w:rPr>
              <w:t>7</w:t>
            </w:r>
            <w:r>
              <w:rPr>
                <w:rFonts w:hint="eastAsia" w:ascii="宋体" w:hAnsi="宋体"/>
                <w:color w:val="auto"/>
                <w:kern w:val="0"/>
                <w:sz w:val="20"/>
                <w:szCs w:val="20"/>
              </w:rPr>
              <w:t>.</w:t>
            </w:r>
            <w:r>
              <w:rPr>
                <w:rFonts w:ascii="宋体" w:hAnsi="宋体"/>
                <w:color w:val="auto"/>
                <w:kern w:val="0"/>
                <w:sz w:val="20"/>
                <w:szCs w:val="20"/>
              </w:rPr>
              <w:t>6</w:t>
            </w:r>
          </w:p>
        </w:tc>
        <w:tc>
          <w:tcPr>
            <w:tcW w:w="2179" w:type="dxa"/>
            <w:vAlign w:val="center"/>
          </w:tcPr>
          <w:p>
            <w:pPr>
              <w:widowControl/>
              <w:spacing w:line="280" w:lineRule="exact"/>
              <w:jc w:val="left"/>
              <w:rPr>
                <w:rFonts w:ascii="宋体" w:hAnsi="宋体"/>
                <w:color w:val="auto"/>
                <w:kern w:val="0"/>
                <w:sz w:val="20"/>
                <w:szCs w:val="20"/>
              </w:rPr>
            </w:pPr>
          </w:p>
        </w:tc>
      </w:tr>
    </w:tbl>
    <w:p>
      <w:pPr>
        <w:spacing w:line="596" w:lineRule="exact"/>
        <w:rPr>
          <w:rFonts w:ascii="仿宋_GB2312" w:hAnsi="仿宋_GB2312" w:eastAsia="仿宋_GB2312" w:cs="仿宋_GB2312"/>
          <w:color w:val="auto"/>
          <w:w w:val="98"/>
          <w:sz w:val="32"/>
          <w:szCs w:val="32"/>
        </w:rPr>
        <w:sectPr>
          <w:pgSz w:w="16838" w:h="11906" w:orient="landscape"/>
          <w:pgMar w:top="1588" w:right="1871" w:bottom="1531" w:left="1531" w:header="851" w:footer="1134" w:gutter="0"/>
          <w:cols w:space="425" w:num="1"/>
          <w:docGrid w:type="lines" w:linePitch="312" w:charSpace="0"/>
        </w:sectPr>
      </w:pPr>
    </w:p>
    <w:p>
      <w:pPr>
        <w:spacing w:line="596" w:lineRule="exact"/>
        <w:rPr>
          <w:rFonts w:ascii="仿宋_GB2312" w:hAnsi="仿宋_GB2312" w:eastAsia="仿宋_GB2312" w:cs="仿宋_GB2312"/>
          <w:color w:val="auto"/>
          <w:w w:val="98"/>
          <w:sz w:val="32"/>
          <w:szCs w:val="32"/>
        </w:rPr>
      </w:pPr>
      <w:r>
        <w:rPr>
          <w:rFonts w:ascii="仿宋_GB2312" w:hAnsi="仿宋_GB2312" w:eastAsia="仿宋_GB2312" w:cs="仿宋_GB2312"/>
          <w:color w:val="auto"/>
          <w:w w:val="98"/>
          <w:sz w:val="32"/>
          <w:szCs w:val="32"/>
        </w:rPr>
        <w:t>附件</w:t>
      </w:r>
      <w:r>
        <w:rPr>
          <w:rFonts w:hint="eastAsia" w:ascii="仿宋_GB2312" w:hAnsi="仿宋_GB2312" w:eastAsia="仿宋_GB2312" w:cs="仿宋_GB2312"/>
          <w:color w:val="auto"/>
          <w:w w:val="98"/>
          <w:sz w:val="32"/>
          <w:szCs w:val="32"/>
        </w:rPr>
        <w:t>3</w:t>
      </w:r>
    </w:p>
    <w:p>
      <w:pPr>
        <w:widowControl/>
        <w:spacing w:line="596" w:lineRule="exact"/>
        <w:jc w:val="center"/>
        <w:rPr>
          <w:rFonts w:eastAsia="方正小标宋_GBK"/>
          <w:color w:val="auto"/>
          <w:kern w:val="0"/>
          <w:sz w:val="36"/>
          <w:szCs w:val="36"/>
        </w:rPr>
      </w:pPr>
      <w:r>
        <w:rPr>
          <w:rFonts w:eastAsia="方正小标宋_GBK"/>
          <w:color w:val="auto"/>
          <w:kern w:val="0"/>
          <w:sz w:val="36"/>
          <w:szCs w:val="36"/>
        </w:rPr>
        <w:t>项目支出绩效自评表</w:t>
      </w:r>
    </w:p>
    <w:p>
      <w:pPr>
        <w:widowControl/>
        <w:spacing w:line="360" w:lineRule="exact"/>
        <w:jc w:val="center"/>
        <w:rPr>
          <w:rFonts w:eastAsia="仿宋_GB2312"/>
          <w:color w:val="auto"/>
          <w:kern w:val="0"/>
          <w:szCs w:val="21"/>
        </w:rPr>
      </w:pP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年度）</w:t>
      </w:r>
    </w:p>
    <w:tbl>
      <w:tblPr>
        <w:tblStyle w:val="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097"/>
        <w:gridCol w:w="1259"/>
        <w:gridCol w:w="225"/>
        <w:gridCol w:w="900"/>
        <w:gridCol w:w="1134"/>
        <w:gridCol w:w="709"/>
        <w:gridCol w:w="89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项目支</w:t>
            </w:r>
          </w:p>
          <w:p>
            <w:pPr>
              <w:widowControl/>
              <w:spacing w:line="280" w:lineRule="exact"/>
              <w:jc w:val="center"/>
              <w:rPr>
                <w:rFonts w:eastAsia="仿宋_GB2312"/>
                <w:color w:val="auto"/>
                <w:kern w:val="0"/>
                <w:szCs w:val="21"/>
              </w:rPr>
            </w:pPr>
            <w:r>
              <w:rPr>
                <w:rFonts w:hint="eastAsia" w:eastAsia="仿宋_GB2312"/>
                <w:color w:val="auto"/>
                <w:kern w:val="0"/>
                <w:szCs w:val="21"/>
              </w:rPr>
              <w:t>出</w:t>
            </w:r>
            <w:r>
              <w:rPr>
                <w:rFonts w:eastAsia="仿宋_GB2312"/>
                <w:color w:val="auto"/>
                <w:kern w:val="0"/>
                <w:szCs w:val="21"/>
              </w:rPr>
              <w:t>名称</w:t>
            </w:r>
          </w:p>
        </w:tc>
        <w:tc>
          <w:tcPr>
            <w:tcW w:w="8798" w:type="dxa"/>
            <w:gridSpan w:val="9"/>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成本监审项目业务工作经费</w:t>
            </w: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主管部门</w:t>
            </w:r>
          </w:p>
        </w:tc>
        <w:tc>
          <w:tcPr>
            <w:tcW w:w="4876" w:type="dxa"/>
            <w:gridSpan w:val="5"/>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湖南省发展和改革委员会</w:t>
            </w:r>
          </w:p>
        </w:tc>
        <w:tc>
          <w:tcPr>
            <w:tcW w:w="1134"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实施单位</w:t>
            </w:r>
          </w:p>
        </w:tc>
        <w:tc>
          <w:tcPr>
            <w:tcW w:w="2788" w:type="dxa"/>
            <w:gridSpan w:val="3"/>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湖南省价格成本调查队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项目资金</w:t>
            </w:r>
            <w:r>
              <w:rPr>
                <w:rFonts w:eastAsia="仿宋_GB2312"/>
                <w:color w:val="auto"/>
                <w:kern w:val="0"/>
                <w:szCs w:val="21"/>
              </w:rPr>
              <w:t>（万元）</w:t>
            </w:r>
          </w:p>
        </w:tc>
        <w:tc>
          <w:tcPr>
            <w:tcW w:w="2492" w:type="dxa"/>
            <w:gridSpan w:val="2"/>
            <w:shd w:val="clear" w:color="auto" w:fill="auto"/>
            <w:vAlign w:val="center"/>
          </w:tcPr>
          <w:p>
            <w:pPr>
              <w:spacing w:line="280" w:lineRule="exact"/>
              <w:jc w:val="center"/>
              <w:rPr>
                <w:rFonts w:eastAsia="仿宋_GB2312"/>
                <w:color w:val="auto"/>
                <w:szCs w:val="21"/>
              </w:rPr>
            </w:pPr>
          </w:p>
        </w:tc>
        <w:tc>
          <w:tcPr>
            <w:tcW w:w="1259" w:type="dxa"/>
            <w:shd w:val="clear" w:color="auto" w:fill="auto"/>
            <w:vAlign w:val="center"/>
          </w:tcPr>
          <w:p>
            <w:pPr>
              <w:spacing w:line="280" w:lineRule="exact"/>
              <w:jc w:val="center"/>
              <w:rPr>
                <w:rFonts w:eastAsia="仿宋_GB2312"/>
                <w:color w:val="auto"/>
                <w:szCs w:val="21"/>
              </w:rPr>
            </w:pPr>
            <w:r>
              <w:rPr>
                <w:rFonts w:eastAsia="仿宋_GB2312"/>
                <w:color w:val="auto"/>
                <w:szCs w:val="21"/>
              </w:rPr>
              <w:t>年</w:t>
            </w:r>
            <w:r>
              <w:rPr>
                <w:rFonts w:hint="eastAsia" w:eastAsia="仿宋_GB2312"/>
                <w:color w:val="auto"/>
                <w:szCs w:val="21"/>
              </w:rPr>
              <w:t xml:space="preserve">  </w:t>
            </w:r>
            <w:r>
              <w:rPr>
                <w:rFonts w:eastAsia="仿宋_GB2312"/>
                <w:color w:val="auto"/>
                <w:szCs w:val="21"/>
              </w:rPr>
              <w:t>初</w:t>
            </w:r>
          </w:p>
          <w:p>
            <w:pPr>
              <w:spacing w:line="280" w:lineRule="exact"/>
              <w:jc w:val="center"/>
              <w:rPr>
                <w:rFonts w:eastAsia="仿宋_GB2312"/>
                <w:color w:val="auto"/>
                <w:szCs w:val="21"/>
              </w:rPr>
            </w:pPr>
            <w:r>
              <w:rPr>
                <w:rFonts w:eastAsia="仿宋_GB2312"/>
                <w:color w:val="auto"/>
                <w:szCs w:val="21"/>
              </w:rPr>
              <w:t>预算数</w:t>
            </w:r>
          </w:p>
        </w:tc>
        <w:tc>
          <w:tcPr>
            <w:tcW w:w="1125" w:type="dxa"/>
            <w:gridSpan w:val="2"/>
            <w:shd w:val="clear" w:color="auto" w:fill="auto"/>
            <w:vAlign w:val="center"/>
          </w:tcPr>
          <w:p>
            <w:pPr>
              <w:spacing w:line="280" w:lineRule="exact"/>
              <w:jc w:val="center"/>
              <w:rPr>
                <w:rFonts w:eastAsia="仿宋_GB2312"/>
                <w:color w:val="auto"/>
                <w:szCs w:val="21"/>
              </w:rPr>
            </w:pPr>
            <w:r>
              <w:rPr>
                <w:rFonts w:eastAsia="仿宋_GB2312"/>
                <w:color w:val="auto"/>
                <w:szCs w:val="21"/>
              </w:rPr>
              <w:t>全</w:t>
            </w:r>
            <w:r>
              <w:rPr>
                <w:rFonts w:hint="eastAsia" w:eastAsia="仿宋_GB2312"/>
                <w:color w:val="auto"/>
                <w:szCs w:val="21"/>
              </w:rPr>
              <w:t xml:space="preserve">  </w:t>
            </w:r>
            <w:r>
              <w:rPr>
                <w:rFonts w:eastAsia="仿宋_GB2312"/>
                <w:color w:val="auto"/>
                <w:szCs w:val="21"/>
              </w:rPr>
              <w:t>年</w:t>
            </w:r>
          </w:p>
          <w:p>
            <w:pPr>
              <w:spacing w:line="280" w:lineRule="exact"/>
              <w:jc w:val="center"/>
              <w:rPr>
                <w:rFonts w:eastAsia="仿宋_GB2312"/>
                <w:color w:val="auto"/>
                <w:szCs w:val="21"/>
              </w:rPr>
            </w:pPr>
            <w:r>
              <w:rPr>
                <w:rFonts w:eastAsia="仿宋_GB2312"/>
                <w:color w:val="auto"/>
                <w:szCs w:val="21"/>
              </w:rPr>
              <w:t>预算数</w:t>
            </w:r>
          </w:p>
        </w:tc>
        <w:tc>
          <w:tcPr>
            <w:tcW w:w="1134" w:type="dxa"/>
            <w:shd w:val="clear" w:color="auto" w:fill="auto"/>
            <w:vAlign w:val="center"/>
          </w:tcPr>
          <w:p>
            <w:pPr>
              <w:spacing w:line="280" w:lineRule="exact"/>
              <w:jc w:val="center"/>
              <w:rPr>
                <w:rFonts w:eastAsia="仿宋_GB2312"/>
                <w:color w:val="auto"/>
                <w:szCs w:val="21"/>
              </w:rPr>
            </w:pPr>
            <w:r>
              <w:rPr>
                <w:rFonts w:eastAsia="仿宋_GB2312"/>
                <w:color w:val="auto"/>
                <w:szCs w:val="21"/>
              </w:rPr>
              <w:t>全</w:t>
            </w:r>
            <w:r>
              <w:rPr>
                <w:rFonts w:hint="eastAsia" w:eastAsia="仿宋_GB2312"/>
                <w:color w:val="auto"/>
                <w:szCs w:val="21"/>
              </w:rPr>
              <w:t xml:space="preserve">  </w:t>
            </w:r>
            <w:r>
              <w:rPr>
                <w:rFonts w:eastAsia="仿宋_GB2312"/>
                <w:color w:val="auto"/>
                <w:szCs w:val="21"/>
              </w:rPr>
              <w:t>年</w:t>
            </w:r>
          </w:p>
          <w:p>
            <w:pPr>
              <w:spacing w:line="280" w:lineRule="exact"/>
              <w:jc w:val="center"/>
              <w:rPr>
                <w:rFonts w:eastAsia="仿宋_GB2312"/>
                <w:color w:val="auto"/>
                <w:szCs w:val="21"/>
              </w:rPr>
            </w:pPr>
            <w:r>
              <w:rPr>
                <w:rFonts w:eastAsia="仿宋_GB2312"/>
                <w:color w:val="auto"/>
                <w:szCs w:val="21"/>
              </w:rPr>
              <w:t>执行数</w:t>
            </w:r>
          </w:p>
        </w:tc>
        <w:tc>
          <w:tcPr>
            <w:tcW w:w="709" w:type="dxa"/>
            <w:shd w:val="clear" w:color="auto" w:fill="auto"/>
            <w:vAlign w:val="center"/>
          </w:tcPr>
          <w:p>
            <w:pPr>
              <w:spacing w:line="280" w:lineRule="exact"/>
              <w:jc w:val="center"/>
              <w:rPr>
                <w:rFonts w:eastAsia="仿宋_GB2312"/>
                <w:color w:val="auto"/>
                <w:szCs w:val="21"/>
              </w:rPr>
            </w:pPr>
            <w:r>
              <w:rPr>
                <w:rFonts w:eastAsia="仿宋_GB2312"/>
                <w:color w:val="auto"/>
                <w:szCs w:val="21"/>
              </w:rPr>
              <w:t>分值</w:t>
            </w:r>
          </w:p>
        </w:tc>
        <w:tc>
          <w:tcPr>
            <w:tcW w:w="898" w:type="dxa"/>
            <w:shd w:val="clear" w:color="auto" w:fill="auto"/>
            <w:vAlign w:val="center"/>
          </w:tcPr>
          <w:p>
            <w:pPr>
              <w:spacing w:line="280" w:lineRule="exact"/>
              <w:jc w:val="center"/>
              <w:rPr>
                <w:rFonts w:eastAsia="仿宋_GB2312"/>
                <w:color w:val="auto"/>
                <w:szCs w:val="21"/>
              </w:rPr>
            </w:pPr>
            <w:r>
              <w:rPr>
                <w:rFonts w:eastAsia="仿宋_GB2312"/>
                <w:color w:val="auto"/>
                <w:szCs w:val="21"/>
              </w:rPr>
              <w:t>执行率</w:t>
            </w:r>
          </w:p>
        </w:tc>
        <w:tc>
          <w:tcPr>
            <w:tcW w:w="1181" w:type="dxa"/>
            <w:shd w:val="clear" w:color="auto" w:fill="auto"/>
            <w:vAlign w:val="center"/>
          </w:tcPr>
          <w:p>
            <w:pPr>
              <w:spacing w:line="280" w:lineRule="exact"/>
              <w:jc w:val="center"/>
              <w:rPr>
                <w:rFonts w:eastAsia="仿宋_GB2312"/>
                <w:color w:val="auto"/>
                <w:szCs w:val="21"/>
              </w:rPr>
            </w:pPr>
            <w:r>
              <w:rPr>
                <w:rFonts w:eastAsia="仿宋_GB2312"/>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widowControl/>
              <w:spacing w:line="280" w:lineRule="exact"/>
              <w:jc w:val="center"/>
              <w:rPr>
                <w:rFonts w:eastAsia="仿宋_GB2312"/>
                <w:color w:val="auto"/>
                <w:kern w:val="0"/>
                <w:szCs w:val="21"/>
              </w:rPr>
            </w:pPr>
          </w:p>
        </w:tc>
        <w:tc>
          <w:tcPr>
            <w:tcW w:w="2492" w:type="dxa"/>
            <w:gridSpan w:val="2"/>
            <w:shd w:val="clear" w:color="auto" w:fill="auto"/>
            <w:vAlign w:val="center"/>
          </w:tcPr>
          <w:p>
            <w:pPr>
              <w:spacing w:line="280" w:lineRule="exact"/>
              <w:rPr>
                <w:rFonts w:eastAsia="仿宋_GB2312"/>
                <w:color w:val="auto"/>
                <w:szCs w:val="21"/>
              </w:rPr>
            </w:pPr>
            <w:r>
              <w:rPr>
                <w:rFonts w:eastAsia="仿宋_GB2312"/>
                <w:color w:val="auto"/>
                <w:kern w:val="0"/>
                <w:szCs w:val="21"/>
              </w:rPr>
              <w:t>年度资金总额</w:t>
            </w:r>
          </w:p>
        </w:tc>
        <w:tc>
          <w:tcPr>
            <w:tcW w:w="1259" w:type="dxa"/>
            <w:shd w:val="clear" w:color="auto" w:fill="auto"/>
            <w:vAlign w:val="center"/>
          </w:tcPr>
          <w:p>
            <w:pPr>
              <w:spacing w:line="280" w:lineRule="exact"/>
              <w:jc w:val="center"/>
              <w:rPr>
                <w:rFonts w:eastAsia="仿宋_GB2312"/>
                <w:color w:val="auto"/>
                <w:szCs w:val="21"/>
              </w:rPr>
            </w:pPr>
            <w:r>
              <w:rPr>
                <w:rFonts w:hint="eastAsia" w:eastAsia="仿宋_GB2312"/>
                <w:color w:val="auto"/>
                <w:szCs w:val="21"/>
              </w:rPr>
              <w:t>80.00</w:t>
            </w:r>
          </w:p>
        </w:tc>
        <w:tc>
          <w:tcPr>
            <w:tcW w:w="1125" w:type="dxa"/>
            <w:gridSpan w:val="2"/>
            <w:shd w:val="clear" w:color="auto" w:fill="auto"/>
            <w:vAlign w:val="center"/>
          </w:tcPr>
          <w:p>
            <w:pPr>
              <w:spacing w:line="280" w:lineRule="exact"/>
              <w:jc w:val="center"/>
              <w:rPr>
                <w:rFonts w:eastAsia="仿宋_GB2312"/>
                <w:color w:val="auto"/>
                <w:szCs w:val="21"/>
              </w:rPr>
            </w:pPr>
            <w:r>
              <w:rPr>
                <w:rFonts w:eastAsia="仿宋_GB2312"/>
                <w:color w:val="auto"/>
                <w:szCs w:val="21"/>
              </w:rPr>
              <w:t>105.07</w:t>
            </w:r>
          </w:p>
        </w:tc>
        <w:tc>
          <w:tcPr>
            <w:tcW w:w="1134" w:type="dxa"/>
            <w:shd w:val="clear" w:color="auto" w:fill="auto"/>
            <w:vAlign w:val="center"/>
          </w:tcPr>
          <w:p>
            <w:pPr>
              <w:spacing w:line="280" w:lineRule="exact"/>
              <w:jc w:val="center"/>
              <w:rPr>
                <w:rFonts w:eastAsia="仿宋_GB2312"/>
                <w:color w:val="auto"/>
                <w:szCs w:val="21"/>
              </w:rPr>
            </w:pPr>
            <w:r>
              <w:rPr>
                <w:rFonts w:eastAsia="仿宋_GB2312"/>
                <w:color w:val="auto"/>
                <w:szCs w:val="21"/>
              </w:rPr>
              <w:t>46.04</w:t>
            </w:r>
          </w:p>
        </w:tc>
        <w:tc>
          <w:tcPr>
            <w:tcW w:w="709" w:type="dxa"/>
            <w:shd w:val="clear" w:color="auto" w:fill="auto"/>
            <w:vAlign w:val="center"/>
          </w:tcPr>
          <w:p>
            <w:pPr>
              <w:spacing w:line="280" w:lineRule="exact"/>
              <w:jc w:val="center"/>
              <w:rPr>
                <w:rFonts w:eastAsia="仿宋_GB2312"/>
                <w:color w:val="auto"/>
                <w:szCs w:val="21"/>
              </w:rPr>
            </w:pPr>
            <w:r>
              <w:rPr>
                <w:rFonts w:eastAsia="仿宋_GB2312"/>
                <w:color w:val="auto"/>
                <w:szCs w:val="21"/>
              </w:rPr>
              <w:t>10</w:t>
            </w:r>
          </w:p>
        </w:tc>
        <w:tc>
          <w:tcPr>
            <w:tcW w:w="898" w:type="dxa"/>
            <w:shd w:val="clear" w:color="auto" w:fill="auto"/>
            <w:vAlign w:val="center"/>
          </w:tcPr>
          <w:p>
            <w:pPr>
              <w:spacing w:line="280" w:lineRule="exact"/>
              <w:jc w:val="center"/>
              <w:rPr>
                <w:rFonts w:eastAsia="仿宋_GB2312"/>
                <w:color w:val="auto"/>
                <w:szCs w:val="21"/>
              </w:rPr>
            </w:pPr>
            <w:r>
              <w:rPr>
                <w:rFonts w:eastAsia="仿宋_GB2312"/>
                <w:color w:val="auto"/>
                <w:szCs w:val="21"/>
              </w:rPr>
              <w:t>44</w:t>
            </w:r>
            <w:r>
              <w:rPr>
                <w:rFonts w:hint="eastAsia" w:eastAsia="仿宋_GB2312"/>
                <w:color w:val="auto"/>
                <w:szCs w:val="21"/>
              </w:rPr>
              <w:t>%</w:t>
            </w:r>
          </w:p>
        </w:tc>
        <w:tc>
          <w:tcPr>
            <w:tcW w:w="1181" w:type="dxa"/>
            <w:shd w:val="clear" w:color="auto" w:fill="auto"/>
            <w:vAlign w:val="center"/>
          </w:tcPr>
          <w:p>
            <w:pPr>
              <w:spacing w:line="280" w:lineRule="exact"/>
              <w:jc w:val="center"/>
              <w:rPr>
                <w:rFonts w:eastAsia="仿宋_GB2312"/>
                <w:color w:val="auto"/>
                <w:szCs w:val="21"/>
              </w:rPr>
            </w:pPr>
            <w:r>
              <w:rPr>
                <w:rFonts w:eastAsia="仿宋_GB2312"/>
                <w:color w:val="auto"/>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2492"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其中：当年财政拨款</w:t>
            </w:r>
          </w:p>
        </w:tc>
        <w:tc>
          <w:tcPr>
            <w:tcW w:w="1259"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80.00</w:t>
            </w:r>
          </w:p>
        </w:tc>
        <w:tc>
          <w:tcPr>
            <w:tcW w:w="1125" w:type="dxa"/>
            <w:gridSpan w:val="2"/>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35.17</w:t>
            </w:r>
          </w:p>
        </w:tc>
        <w:tc>
          <w:tcPr>
            <w:tcW w:w="1134"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22.97</w:t>
            </w: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2492" w:type="dxa"/>
            <w:gridSpan w:val="2"/>
            <w:shd w:val="clear" w:color="auto" w:fill="auto"/>
            <w:vAlign w:val="center"/>
          </w:tcPr>
          <w:p>
            <w:pPr>
              <w:widowControl/>
              <w:spacing w:line="280" w:lineRule="exact"/>
              <w:ind w:firstLine="630" w:firstLineChars="300"/>
              <w:jc w:val="left"/>
              <w:rPr>
                <w:rFonts w:eastAsia="仿宋_GB2312"/>
                <w:color w:val="auto"/>
                <w:kern w:val="0"/>
                <w:szCs w:val="21"/>
              </w:rPr>
            </w:pPr>
            <w:r>
              <w:rPr>
                <w:rFonts w:hint="eastAsia" w:eastAsia="仿宋_GB2312"/>
                <w:color w:val="auto"/>
                <w:kern w:val="0"/>
                <w:szCs w:val="21"/>
              </w:rPr>
              <w:t>上年结转资金</w:t>
            </w:r>
          </w:p>
        </w:tc>
        <w:tc>
          <w:tcPr>
            <w:tcW w:w="1259" w:type="dxa"/>
            <w:shd w:val="clear" w:color="auto" w:fill="auto"/>
            <w:vAlign w:val="center"/>
          </w:tcPr>
          <w:p>
            <w:pPr>
              <w:widowControl/>
              <w:spacing w:line="280" w:lineRule="exact"/>
              <w:jc w:val="center"/>
              <w:rPr>
                <w:rFonts w:eastAsia="仿宋_GB2312"/>
                <w:color w:val="auto"/>
                <w:kern w:val="0"/>
                <w:szCs w:val="21"/>
              </w:rPr>
            </w:pPr>
          </w:p>
        </w:tc>
        <w:tc>
          <w:tcPr>
            <w:tcW w:w="1125" w:type="dxa"/>
            <w:gridSpan w:val="2"/>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54.75</w:t>
            </w:r>
          </w:p>
        </w:tc>
        <w:tc>
          <w:tcPr>
            <w:tcW w:w="1134"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8.66</w:t>
            </w: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2492" w:type="dxa"/>
            <w:gridSpan w:val="2"/>
            <w:shd w:val="clear" w:color="auto" w:fill="auto"/>
            <w:vAlign w:val="center"/>
          </w:tcPr>
          <w:p>
            <w:pPr>
              <w:widowControl/>
              <w:spacing w:line="280" w:lineRule="exact"/>
              <w:ind w:firstLine="630" w:firstLineChars="300"/>
              <w:jc w:val="left"/>
              <w:rPr>
                <w:rFonts w:eastAsia="仿宋_GB2312"/>
                <w:color w:val="auto"/>
                <w:kern w:val="0"/>
                <w:szCs w:val="21"/>
              </w:rPr>
            </w:pPr>
            <w:r>
              <w:rPr>
                <w:rFonts w:hint="eastAsia" w:eastAsia="仿宋_GB2312"/>
                <w:color w:val="auto"/>
                <w:kern w:val="0"/>
                <w:szCs w:val="21"/>
              </w:rPr>
              <w:t>其他资金</w:t>
            </w:r>
          </w:p>
        </w:tc>
        <w:tc>
          <w:tcPr>
            <w:tcW w:w="1259" w:type="dxa"/>
            <w:shd w:val="clear" w:color="auto" w:fill="auto"/>
            <w:vAlign w:val="center"/>
          </w:tcPr>
          <w:p>
            <w:pPr>
              <w:widowControl/>
              <w:spacing w:line="280" w:lineRule="exact"/>
              <w:ind w:firstLine="840" w:firstLineChars="400"/>
              <w:jc w:val="left"/>
              <w:rPr>
                <w:rFonts w:eastAsia="仿宋_GB2312"/>
                <w:color w:val="auto"/>
                <w:kern w:val="0"/>
                <w:szCs w:val="21"/>
              </w:rPr>
            </w:pPr>
          </w:p>
        </w:tc>
        <w:tc>
          <w:tcPr>
            <w:tcW w:w="1125" w:type="dxa"/>
            <w:gridSpan w:val="2"/>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15.15</w:t>
            </w:r>
          </w:p>
        </w:tc>
        <w:tc>
          <w:tcPr>
            <w:tcW w:w="1134"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14.41</w:t>
            </w:r>
          </w:p>
        </w:tc>
        <w:tc>
          <w:tcPr>
            <w:tcW w:w="709" w:type="dxa"/>
            <w:shd w:val="clear" w:color="auto" w:fill="auto"/>
            <w:vAlign w:val="center"/>
          </w:tcPr>
          <w:p>
            <w:pPr>
              <w:widowControl/>
              <w:spacing w:line="280" w:lineRule="exact"/>
              <w:ind w:firstLine="630" w:firstLineChars="300"/>
              <w:jc w:val="left"/>
              <w:rPr>
                <w:rFonts w:eastAsia="仿宋_GB2312"/>
                <w:color w:val="auto"/>
                <w:kern w:val="0"/>
                <w:szCs w:val="21"/>
              </w:rPr>
            </w:pPr>
          </w:p>
        </w:tc>
        <w:tc>
          <w:tcPr>
            <w:tcW w:w="898" w:type="dxa"/>
            <w:shd w:val="clear" w:color="auto" w:fill="auto"/>
            <w:vAlign w:val="center"/>
          </w:tcPr>
          <w:p>
            <w:pPr>
              <w:widowControl/>
              <w:spacing w:line="280" w:lineRule="exact"/>
              <w:ind w:firstLine="630" w:firstLineChars="300"/>
              <w:jc w:val="left"/>
              <w:rPr>
                <w:rFonts w:eastAsia="仿宋_GB2312"/>
                <w:color w:val="auto"/>
                <w:kern w:val="0"/>
                <w:szCs w:val="21"/>
              </w:rPr>
            </w:pPr>
          </w:p>
        </w:tc>
        <w:tc>
          <w:tcPr>
            <w:tcW w:w="1181" w:type="dxa"/>
            <w:shd w:val="clear" w:color="auto" w:fill="auto"/>
            <w:vAlign w:val="center"/>
          </w:tcPr>
          <w:p>
            <w:pPr>
              <w:widowControl/>
              <w:spacing w:line="280" w:lineRule="exact"/>
              <w:ind w:firstLine="630" w:firstLineChars="300"/>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年度总体目</w:t>
            </w:r>
            <w:r>
              <w:rPr>
                <w:rFonts w:hint="eastAsia" w:eastAsia="仿宋_GB2312"/>
                <w:color w:val="auto"/>
                <w:kern w:val="0"/>
                <w:szCs w:val="21"/>
              </w:rPr>
              <w:t xml:space="preserve">   </w:t>
            </w:r>
            <w:r>
              <w:rPr>
                <w:rFonts w:eastAsia="仿宋_GB2312"/>
                <w:color w:val="auto"/>
                <w:kern w:val="0"/>
                <w:szCs w:val="21"/>
              </w:rPr>
              <w:t>标</w:t>
            </w:r>
          </w:p>
        </w:tc>
        <w:tc>
          <w:tcPr>
            <w:tcW w:w="4876" w:type="dxa"/>
            <w:gridSpan w:val="5"/>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预期目标</w:t>
            </w:r>
          </w:p>
        </w:tc>
        <w:tc>
          <w:tcPr>
            <w:tcW w:w="3922" w:type="dxa"/>
            <w:gridSpan w:val="4"/>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4876" w:type="dxa"/>
            <w:gridSpan w:val="5"/>
            <w:shd w:val="clear" w:color="auto" w:fill="auto"/>
            <w:vAlign w:val="center"/>
          </w:tcPr>
          <w:p>
            <w:pPr>
              <w:widowControl/>
              <w:tabs>
                <w:tab w:val="left" w:pos="1451"/>
                <w:tab w:val="center" w:pos="2600"/>
              </w:tabs>
              <w:spacing w:line="280" w:lineRule="exact"/>
              <w:jc w:val="left"/>
              <w:rPr>
                <w:rFonts w:eastAsia="仿宋_GB2312"/>
                <w:color w:val="auto"/>
                <w:kern w:val="0"/>
                <w:szCs w:val="21"/>
              </w:rPr>
            </w:pPr>
            <w:r>
              <w:rPr>
                <w:rFonts w:hint="eastAsia" w:eastAsia="仿宋_GB2312"/>
                <w:color w:val="auto"/>
                <w:kern w:val="0"/>
                <w:szCs w:val="21"/>
              </w:rPr>
              <w:t>按照国家及省成本监审工作要求，按质完成成本监审工作。</w:t>
            </w:r>
            <w:r>
              <w:rPr>
                <w:rFonts w:hint="eastAsia" w:eastAsia="仿宋_GB2312"/>
                <w:color w:val="auto"/>
                <w:kern w:val="0"/>
                <w:szCs w:val="21"/>
              </w:rPr>
              <w:tab/>
            </w:r>
            <w:r>
              <w:rPr>
                <w:rFonts w:eastAsia="仿宋_GB2312"/>
                <w:color w:val="auto"/>
                <w:kern w:val="0"/>
                <w:szCs w:val="21"/>
              </w:rPr>
              <w:t>　　</w:t>
            </w:r>
          </w:p>
        </w:tc>
        <w:tc>
          <w:tcPr>
            <w:tcW w:w="3922" w:type="dxa"/>
            <w:gridSpan w:val="4"/>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按照国家及省成本监审工作要求，按质完成成本监审工作。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080"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绩</w:t>
            </w:r>
          </w:p>
          <w:p>
            <w:pPr>
              <w:widowControl/>
              <w:spacing w:line="280" w:lineRule="exact"/>
              <w:jc w:val="center"/>
              <w:rPr>
                <w:rFonts w:eastAsia="仿宋_GB2312"/>
                <w:color w:val="auto"/>
                <w:kern w:val="0"/>
                <w:szCs w:val="21"/>
              </w:rPr>
            </w:pPr>
            <w:r>
              <w:rPr>
                <w:rFonts w:eastAsia="仿宋_GB2312"/>
                <w:color w:val="auto"/>
                <w:kern w:val="0"/>
                <w:szCs w:val="21"/>
              </w:rPr>
              <w:t>效</w:t>
            </w:r>
          </w:p>
          <w:p>
            <w:pPr>
              <w:widowControl/>
              <w:spacing w:line="280" w:lineRule="exact"/>
              <w:jc w:val="center"/>
              <w:rPr>
                <w:rFonts w:eastAsia="仿宋_GB2312"/>
                <w:color w:val="auto"/>
                <w:kern w:val="0"/>
                <w:szCs w:val="21"/>
              </w:rPr>
            </w:pPr>
            <w:r>
              <w:rPr>
                <w:rFonts w:eastAsia="仿宋_GB2312"/>
                <w:color w:val="auto"/>
                <w:kern w:val="0"/>
                <w:szCs w:val="21"/>
              </w:rPr>
              <w:t>指</w:t>
            </w:r>
          </w:p>
          <w:p>
            <w:pPr>
              <w:widowControl/>
              <w:spacing w:line="280" w:lineRule="exact"/>
              <w:jc w:val="center"/>
              <w:rPr>
                <w:rFonts w:eastAsia="仿宋_GB2312"/>
                <w:color w:val="auto"/>
                <w:kern w:val="0"/>
                <w:szCs w:val="21"/>
              </w:rPr>
            </w:pPr>
            <w:r>
              <w:rPr>
                <w:rFonts w:eastAsia="仿宋_GB2312"/>
                <w:color w:val="auto"/>
                <w:kern w:val="0"/>
                <w:szCs w:val="21"/>
              </w:rPr>
              <w:t>标</w:t>
            </w:r>
          </w:p>
        </w:tc>
        <w:tc>
          <w:tcPr>
            <w:tcW w:w="1395"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一级指标</w:t>
            </w:r>
          </w:p>
        </w:tc>
        <w:tc>
          <w:tcPr>
            <w:tcW w:w="1097"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二级指标</w:t>
            </w:r>
          </w:p>
        </w:tc>
        <w:tc>
          <w:tcPr>
            <w:tcW w:w="1484" w:type="dxa"/>
            <w:gridSpan w:val="2"/>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三级</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900"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年度</w:t>
            </w:r>
          </w:p>
          <w:p>
            <w:pPr>
              <w:widowControl/>
              <w:spacing w:line="280" w:lineRule="exact"/>
              <w:jc w:val="center"/>
              <w:rPr>
                <w:rFonts w:eastAsia="仿宋_GB2312"/>
                <w:color w:val="auto"/>
                <w:kern w:val="0"/>
                <w:szCs w:val="21"/>
              </w:rPr>
            </w:pPr>
            <w:r>
              <w:rPr>
                <w:rFonts w:eastAsia="仿宋_GB2312"/>
                <w:color w:val="auto"/>
                <w:kern w:val="0"/>
                <w:szCs w:val="21"/>
              </w:rPr>
              <w:t>指标值</w:t>
            </w:r>
          </w:p>
        </w:tc>
        <w:tc>
          <w:tcPr>
            <w:tcW w:w="1134"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实际</w:t>
            </w:r>
          </w:p>
          <w:p>
            <w:pPr>
              <w:widowControl/>
              <w:spacing w:line="280" w:lineRule="exact"/>
              <w:jc w:val="center"/>
              <w:rPr>
                <w:rFonts w:eastAsia="仿宋_GB2312"/>
                <w:color w:val="auto"/>
                <w:kern w:val="0"/>
                <w:szCs w:val="21"/>
              </w:rPr>
            </w:pPr>
            <w:r>
              <w:rPr>
                <w:rFonts w:eastAsia="仿宋_GB2312"/>
                <w:color w:val="auto"/>
                <w:kern w:val="0"/>
                <w:szCs w:val="21"/>
              </w:rPr>
              <w:t>完成值</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分值</w:t>
            </w:r>
          </w:p>
        </w:tc>
        <w:tc>
          <w:tcPr>
            <w:tcW w:w="898"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得分</w:t>
            </w:r>
          </w:p>
        </w:tc>
        <w:tc>
          <w:tcPr>
            <w:tcW w:w="1181" w:type="dxa"/>
            <w:shd w:val="clear" w:color="auto" w:fill="auto"/>
          </w:tcPr>
          <w:p>
            <w:pPr>
              <w:widowControl/>
              <w:spacing w:line="280" w:lineRule="exact"/>
              <w:jc w:val="center"/>
              <w:rPr>
                <w:rFonts w:eastAsia="仿宋_GB2312"/>
                <w:color w:val="auto"/>
                <w:kern w:val="0"/>
                <w:szCs w:val="21"/>
              </w:rPr>
            </w:pPr>
            <w:r>
              <w:rPr>
                <w:rFonts w:eastAsia="仿宋_GB2312"/>
                <w:color w:val="auto"/>
                <w:kern w:val="0"/>
                <w:szCs w:val="21"/>
              </w:rPr>
              <w:t>偏差原因</w:t>
            </w:r>
          </w:p>
          <w:p>
            <w:pPr>
              <w:widowControl/>
              <w:spacing w:line="280" w:lineRule="exact"/>
              <w:jc w:val="center"/>
              <w:rPr>
                <w:rFonts w:eastAsia="仿宋_GB2312"/>
                <w:color w:val="auto"/>
                <w:kern w:val="0"/>
                <w:szCs w:val="21"/>
              </w:rPr>
            </w:pPr>
            <w:r>
              <w:rPr>
                <w:rFonts w:eastAsia="仿宋_GB2312"/>
                <w:color w:val="auto"/>
                <w:kern w:val="0"/>
                <w:szCs w:val="21"/>
              </w:rPr>
              <w:t>分析及</w:t>
            </w:r>
          </w:p>
          <w:p>
            <w:pPr>
              <w:widowControl/>
              <w:spacing w:line="280" w:lineRule="exact"/>
              <w:jc w:val="center"/>
              <w:rPr>
                <w:rFonts w:eastAsia="仿宋_GB2312"/>
                <w:color w:val="auto"/>
                <w:kern w:val="0"/>
                <w:szCs w:val="21"/>
              </w:rPr>
            </w:pPr>
            <w:r>
              <w:rPr>
                <w:rFonts w:eastAsia="仿宋_GB2312"/>
                <w:color w:val="auto"/>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产出指标</w:t>
            </w:r>
          </w:p>
          <w:p>
            <w:pPr>
              <w:widowControl/>
              <w:spacing w:line="280" w:lineRule="exact"/>
              <w:jc w:val="center"/>
              <w:rPr>
                <w:rFonts w:eastAsia="仿宋_GB2312"/>
                <w:color w:val="auto"/>
                <w:kern w:val="0"/>
                <w:szCs w:val="21"/>
              </w:rPr>
            </w:pPr>
            <w:r>
              <w:rPr>
                <w:rFonts w:eastAsia="仿宋_GB2312"/>
                <w:color w:val="auto"/>
                <w:kern w:val="0"/>
                <w:szCs w:val="21"/>
              </w:rPr>
              <w:t>(50分)</w:t>
            </w: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数量</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w:t>
            </w:r>
            <w:r>
              <w:rPr>
                <w:rFonts w:eastAsia="仿宋_GB2312"/>
                <w:color w:val="auto"/>
                <w:kern w:val="0"/>
                <w:szCs w:val="21"/>
              </w:rPr>
              <w:t>量</w:t>
            </w:r>
            <w:r>
              <w:rPr>
                <w:rFonts w:hint="eastAsia" w:eastAsia="仿宋_GB2312"/>
                <w:color w:val="auto"/>
                <w:kern w:val="0"/>
                <w:szCs w:val="21"/>
              </w:rPr>
              <w:t>完成成本监审工作。</w:t>
            </w:r>
          </w:p>
        </w:tc>
        <w:tc>
          <w:tcPr>
            <w:tcW w:w="900"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hint="eastAsia" w:eastAsia="仿宋_GB2312"/>
                <w:color w:val="auto"/>
                <w:kern w:val="0"/>
                <w:szCs w:val="21"/>
              </w:rPr>
              <w:t>是否完成</w:t>
            </w:r>
          </w:p>
        </w:tc>
        <w:tc>
          <w:tcPr>
            <w:tcW w:w="1134"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eastAsia="仿宋_GB2312"/>
                <w:color w:val="auto"/>
                <w:kern w:val="0"/>
                <w:szCs w:val="21"/>
              </w:rPr>
              <w:t>　20</w:t>
            </w:r>
          </w:p>
        </w:tc>
        <w:tc>
          <w:tcPr>
            <w:tcW w:w="898"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eastAsia="仿宋_GB2312"/>
                <w:color w:val="auto"/>
                <w:kern w:val="0"/>
                <w:szCs w:val="21"/>
              </w:rPr>
              <w:t>　20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widowControl/>
              <w:spacing w:line="280" w:lineRule="exact"/>
              <w:jc w:val="center"/>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left"/>
              <w:rPr>
                <w:rFonts w:eastAsia="仿宋_GB2312"/>
                <w:color w:val="auto"/>
                <w:kern w:val="0"/>
                <w:szCs w:val="21"/>
              </w:rPr>
            </w:pPr>
          </w:p>
        </w:tc>
        <w:tc>
          <w:tcPr>
            <w:tcW w:w="898" w:type="dxa"/>
            <w:shd w:val="clear" w:color="auto" w:fill="auto"/>
            <w:vAlign w:val="center"/>
          </w:tcPr>
          <w:p>
            <w:pPr>
              <w:widowControl/>
              <w:spacing w:line="280" w:lineRule="exact"/>
              <w:jc w:val="lef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质量</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按照国家及省成本监审工作要求，按质完成成本监审工作。</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是否完成</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20</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20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left"/>
              <w:rPr>
                <w:rFonts w:eastAsia="仿宋_GB2312"/>
                <w:color w:val="auto"/>
                <w:kern w:val="0"/>
                <w:szCs w:val="21"/>
              </w:rPr>
            </w:pPr>
          </w:p>
        </w:tc>
        <w:tc>
          <w:tcPr>
            <w:tcW w:w="898" w:type="dxa"/>
            <w:shd w:val="clear" w:color="auto" w:fill="auto"/>
            <w:vAlign w:val="center"/>
          </w:tcPr>
          <w:p>
            <w:pPr>
              <w:widowControl/>
              <w:spacing w:line="280" w:lineRule="exact"/>
              <w:jc w:val="lef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时效</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按时完成成本监审工作。</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是否按时</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10</w:t>
            </w:r>
          </w:p>
        </w:tc>
        <w:tc>
          <w:tcPr>
            <w:tcW w:w="898"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jc w:val="center"/>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jc w:val="center"/>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效益指标</w:t>
            </w:r>
          </w:p>
          <w:p>
            <w:pPr>
              <w:widowControl/>
              <w:spacing w:line="280" w:lineRule="exact"/>
              <w:ind w:firstLine="210" w:firstLineChars="100"/>
              <w:jc w:val="left"/>
              <w:rPr>
                <w:rFonts w:eastAsia="仿宋_GB2312"/>
                <w:color w:val="auto"/>
                <w:kern w:val="0"/>
                <w:szCs w:val="21"/>
              </w:rPr>
            </w:pPr>
            <w:r>
              <w:rPr>
                <w:rFonts w:eastAsia="仿宋_GB2312"/>
                <w:color w:val="auto"/>
                <w:kern w:val="0"/>
                <w:szCs w:val="21"/>
              </w:rPr>
              <w:t>（30分）　</w:t>
            </w: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社会效</w:t>
            </w:r>
          </w:p>
          <w:p>
            <w:pPr>
              <w:widowControl/>
              <w:spacing w:line="280" w:lineRule="exact"/>
              <w:jc w:val="center"/>
              <w:rPr>
                <w:rFonts w:eastAsia="仿宋_GB2312"/>
                <w:color w:val="auto"/>
                <w:kern w:val="0"/>
                <w:szCs w:val="21"/>
              </w:rPr>
            </w:pPr>
            <w:r>
              <w:rPr>
                <w:rFonts w:eastAsia="仿宋_GB2312"/>
                <w:color w:val="auto"/>
                <w:kern w:val="0"/>
                <w:szCs w:val="21"/>
              </w:rPr>
              <w:t>益指标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按规定完成成本审核工作。</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是否完成</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30</w:t>
            </w:r>
          </w:p>
        </w:tc>
        <w:tc>
          <w:tcPr>
            <w:tcW w:w="898"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30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widowControl/>
              <w:spacing w:line="280" w:lineRule="exact"/>
              <w:ind w:firstLine="210" w:firstLineChars="100"/>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jc w:val="center"/>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080" w:type="dxa"/>
            <w:vMerge w:val="continue"/>
            <w:shd w:val="clear" w:color="auto" w:fill="auto"/>
            <w:vAlign w:val="center"/>
          </w:tcPr>
          <w:p>
            <w:pPr>
              <w:spacing w:line="280" w:lineRule="exact"/>
              <w:jc w:val="left"/>
              <w:rPr>
                <w:rFonts w:eastAsia="仿宋_GB2312"/>
                <w:color w:val="auto"/>
                <w:kern w:val="0"/>
                <w:szCs w:val="21"/>
              </w:rPr>
            </w:pPr>
          </w:p>
        </w:tc>
        <w:tc>
          <w:tcPr>
            <w:tcW w:w="1395"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满意度指标</w:t>
            </w:r>
            <w:r>
              <w:rPr>
                <w:rFonts w:hint="eastAsia" w:eastAsia="仿宋_GB2312"/>
                <w:color w:val="auto"/>
                <w:kern w:val="0"/>
                <w:szCs w:val="21"/>
              </w:rPr>
              <w:t>（10分）</w:t>
            </w: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服务对象满意度指标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成本监审工作满意。</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是否满意</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10</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10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left"/>
              <w:rPr>
                <w:rFonts w:eastAsia="仿宋_GB2312"/>
                <w:color w:val="auto"/>
                <w:kern w:val="0"/>
                <w:szCs w:val="21"/>
              </w:rPr>
            </w:pPr>
          </w:p>
        </w:tc>
        <w:tc>
          <w:tcPr>
            <w:tcW w:w="1395" w:type="dxa"/>
            <w:vMerge w:val="continue"/>
            <w:shd w:val="clear" w:color="auto" w:fill="auto"/>
            <w:vAlign w:val="center"/>
          </w:tcPr>
          <w:p>
            <w:pPr>
              <w:widowControl/>
              <w:spacing w:line="280" w:lineRule="exact"/>
              <w:jc w:val="center"/>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left"/>
              <w:rPr>
                <w:rFonts w:eastAsia="仿宋_GB2312"/>
                <w:color w:val="auto"/>
                <w:kern w:val="0"/>
                <w:szCs w:val="21"/>
              </w:rPr>
            </w:pPr>
          </w:p>
        </w:tc>
        <w:tc>
          <w:tcPr>
            <w:tcW w:w="898" w:type="dxa"/>
            <w:shd w:val="clear" w:color="auto" w:fill="auto"/>
            <w:vAlign w:val="center"/>
          </w:tcPr>
          <w:p>
            <w:pPr>
              <w:widowControl/>
              <w:spacing w:line="280" w:lineRule="exact"/>
              <w:jc w:val="lef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1395" w:type="dxa"/>
            <w:vMerge w:val="continue"/>
            <w:shd w:val="clear" w:color="auto" w:fill="auto"/>
            <w:vAlign w:val="center"/>
          </w:tcPr>
          <w:p>
            <w:pPr>
              <w:widowControl/>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left"/>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7090" w:type="dxa"/>
            <w:gridSpan w:val="7"/>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总分</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100</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94.4</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bl>
    <w:p>
      <w:pPr>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EUDC">
    <w:panose1 w:val="02010600030101010101"/>
    <w:charset w:val="86"/>
    <w:family w:val="auto"/>
    <w:pitch w:val="default"/>
    <w:sig w:usb0="00000003" w:usb1="080E0031"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15" w:rightChars="150"/>
      <w:jc w:val="right"/>
      <w:rPr>
        <w:sz w:val="28"/>
        <w:szCs w:val="28"/>
      </w:rPr>
    </w:pPr>
    <w:r>
      <w:rPr>
        <w:sz w:val="28"/>
        <w:szCs w:val="28"/>
      </w:rPr>
      <w:t>—</w:t>
    </w:r>
    <w:sdt>
      <w:sdtPr>
        <w:rPr>
          <w:sz w:val="28"/>
          <w:szCs w:val="28"/>
        </w:rPr>
        <w:id w:val="1219174429"/>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r>
          <w:rPr>
            <w:sz w:val="28"/>
            <w:szCs w:val="28"/>
            <w:lang w:val="zh-CN"/>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rPr>
        <w:sz w:val="28"/>
        <w:szCs w:val="28"/>
      </w:rPr>
    </w:pPr>
    <w:r>
      <w:rPr>
        <w:sz w:val="28"/>
        <w:szCs w:val="28"/>
      </w:rPr>
      <w:t>—</w:t>
    </w:r>
    <w:sdt>
      <w:sdtPr>
        <w:rPr>
          <w:sz w:val="28"/>
          <w:szCs w:val="28"/>
        </w:rPr>
        <w:id w:val="1475792707"/>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lang w:val="zh-CN"/>
          </w:rPr>
          <w:fldChar w:fldCharType="end"/>
        </w:r>
        <w:r>
          <w:rPr>
            <w:sz w:val="28"/>
            <w:szCs w:val="28"/>
            <w:lang w:val="zh-CN"/>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0ED94"/>
    <w:multiLevelType w:val="singleLevel"/>
    <w:tmpl w:val="8B60ED94"/>
    <w:lvl w:ilvl="0" w:tentative="0">
      <w:start w:val="3"/>
      <w:numFmt w:val="chineseCounting"/>
      <w:suff w:val="nothing"/>
      <w:lvlText w:val="（%1）"/>
      <w:lvlJc w:val="left"/>
      <w:rPr>
        <w:rFonts w:hint="eastAsia"/>
      </w:rPr>
    </w:lvl>
  </w:abstractNum>
  <w:abstractNum w:abstractNumId="1">
    <w:nsid w:val="C667AA35"/>
    <w:multiLevelType w:val="singleLevel"/>
    <w:tmpl w:val="C667AA35"/>
    <w:lvl w:ilvl="0" w:tentative="0">
      <w:start w:val="5"/>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attachedTemplate r:id="rId1"/>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WJhNjE5ZTFlZWQ3NzJjM2JhYjY2MDc0MTk4NWYifQ=="/>
  </w:docVars>
  <w:rsids>
    <w:rsidRoot w:val="76F71F25"/>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27C0"/>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3D479A"/>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96130"/>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42F92"/>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8A4A95"/>
    <w:rsid w:val="109E5754"/>
    <w:rsid w:val="1C0F4C62"/>
    <w:rsid w:val="23D25EC6"/>
    <w:rsid w:val="296A7F8A"/>
    <w:rsid w:val="35C113E9"/>
    <w:rsid w:val="387E26A2"/>
    <w:rsid w:val="399A22D8"/>
    <w:rsid w:val="3AC37F10"/>
    <w:rsid w:val="3AEF2A01"/>
    <w:rsid w:val="3B7B056D"/>
    <w:rsid w:val="53364857"/>
    <w:rsid w:val="5627682A"/>
    <w:rsid w:val="57526CA4"/>
    <w:rsid w:val="5FBB8778"/>
    <w:rsid w:val="677563E9"/>
    <w:rsid w:val="6E377379"/>
    <w:rsid w:val="712D69D5"/>
    <w:rsid w:val="75993066"/>
    <w:rsid w:val="76F71F25"/>
    <w:rsid w:val="78410043"/>
    <w:rsid w:val="787471F3"/>
    <w:rsid w:val="78EF15BA"/>
    <w:rsid w:val="7A0934AF"/>
    <w:rsid w:val="7B6E6AE0"/>
    <w:rsid w:val="7CF70569"/>
    <w:rsid w:val="7FE7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hint="eastAsia" w:ascii="宋体" w:hAnsi="宋体" w:eastAsia="宋体" w:cs="Times New Roman"/>
      <w:kern w:val="0"/>
      <w:sz w:val="24"/>
      <w:szCs w:val="24"/>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2">
    <w:name w:val="列出段落1"/>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paragraph" w:customStyle="1" w:styleId="14">
    <w:name w:val="普通(网站) Char"/>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15">
    <w:name w:val="15"/>
    <w:basedOn w:val="8"/>
    <w:qFormat/>
    <w:uiPriority w:val="0"/>
    <w:rPr>
      <w:rFonts w:hint="default" w:ascii="Times New Roman" w:hAnsi="Times New Roman" w:cs="Times New Roman"/>
      <w:b/>
    </w:rPr>
  </w:style>
  <w:style w:type="paragraph" w:customStyle="1" w:styleId="16">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D:\pyp\hnfg\&#39044;&#20915;&#31639;\&#20915;&#31639;\2020&#20915;&#31639;\&#65288;&#20108;&#31295;8.16&#20462;&#25913;&#65289;&#28246;&#21335;&#30465;&#21457;&#25913;&#22996;&#25104;&#26412;&#35843;&#26597;&#38431;2020&#24180;&#24230;&#37096;&#38376;&#20915;&#31639;&#20844;&#243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（二稿8.16修改）湖南省发改委成本调查队2020年度部门决算公开</Template>
  <Pages>33</Pages>
  <Words>13113</Words>
  <Characters>15039</Characters>
  <Lines>132</Lines>
  <Paragraphs>37</Paragraphs>
  <TotalTime>19</TotalTime>
  <ScaleCrop>false</ScaleCrop>
  <LinksUpToDate>false</LinksUpToDate>
  <CharactersWithSpaces>16562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2021-08-20T08:18:00Z</dcterms:created>
  <dc:creator>lenovo</dc:creator>
  <cp:lastModifiedBy>GJY</cp:lastModifiedBy>
  <dcterms:modified xsi:type="dcterms:W3CDTF">2025-07-21T15:55:03Z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302436B9B67C49AC84CFD5AC9001E08B</vt:lpwstr>
  </property>
</Properties>
</file>