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sz w:val="56"/>
          <w:szCs w:val="56"/>
        </w:rPr>
      </w:pPr>
    </w:p>
    <w:p>
      <w:pPr>
        <w:pStyle w:val="20"/>
        <w:jc w:val="center"/>
        <w:rPr>
          <w:sz w:val="56"/>
          <w:szCs w:val="56"/>
        </w:rPr>
      </w:pPr>
    </w:p>
    <w:p>
      <w:pPr>
        <w:pStyle w:val="20"/>
        <w:jc w:val="center"/>
        <w:rPr>
          <w:sz w:val="84"/>
          <w:szCs w:val="84"/>
        </w:rPr>
      </w:pPr>
    </w:p>
    <w:p>
      <w:pPr>
        <w:pStyle w:val="20"/>
        <w:jc w:val="center"/>
        <w:rPr>
          <w:sz w:val="84"/>
          <w:szCs w:val="84"/>
        </w:rPr>
      </w:pPr>
    </w:p>
    <w:p>
      <w:pPr>
        <w:pStyle w:val="20"/>
        <w:jc w:val="center"/>
        <w:rPr>
          <w:sz w:val="84"/>
          <w:szCs w:val="84"/>
        </w:rPr>
      </w:pPr>
      <w:r>
        <w:rPr>
          <w:rFonts w:hint="eastAsia"/>
          <w:sz w:val="84"/>
          <w:szCs w:val="84"/>
        </w:rPr>
        <w:t>2021年度</w:t>
      </w:r>
    </w:p>
    <w:p>
      <w:pPr>
        <w:pStyle w:val="20"/>
        <w:jc w:val="center"/>
        <w:rPr>
          <w:rFonts w:hint="eastAsia" w:eastAsia="黑体"/>
          <w:sz w:val="84"/>
          <w:szCs w:val="84"/>
          <w:lang w:val="en-US" w:eastAsia="zh-CN"/>
        </w:rPr>
      </w:pPr>
      <w:r>
        <w:rPr>
          <w:rFonts w:hint="eastAsia"/>
          <w:sz w:val="84"/>
          <w:szCs w:val="84"/>
          <w:lang w:eastAsia="zh-CN"/>
        </w:rPr>
        <w:t>湖南省价格认证中心单位</w:t>
      </w:r>
    </w:p>
    <w:p>
      <w:pPr>
        <w:pStyle w:val="20"/>
        <w:jc w:val="center"/>
        <w:rPr>
          <w:sz w:val="84"/>
          <w:szCs w:val="84"/>
        </w:rPr>
      </w:pPr>
      <w:r>
        <w:rPr>
          <w:rFonts w:hint="eastAsia"/>
          <w:sz w:val="84"/>
          <w:szCs w:val="84"/>
        </w:rPr>
        <w:t>决算</w:t>
      </w:r>
    </w:p>
    <w:p>
      <w:pPr>
        <w:pStyle w:val="20"/>
        <w:jc w:val="center"/>
        <w:rPr>
          <w:sz w:val="56"/>
          <w:szCs w:val="56"/>
        </w:rPr>
      </w:pPr>
    </w:p>
    <w:p>
      <w:pPr>
        <w:pStyle w:val="20"/>
        <w:jc w:val="center"/>
        <w:rPr>
          <w:sz w:val="56"/>
          <w:szCs w:val="56"/>
        </w:rPr>
      </w:pPr>
    </w:p>
    <w:p>
      <w:pPr>
        <w:pStyle w:val="20"/>
        <w:jc w:val="center"/>
        <w:rPr>
          <w:sz w:val="56"/>
          <w:szCs w:val="56"/>
        </w:rPr>
      </w:pPr>
    </w:p>
    <w:p>
      <w:pPr>
        <w:pStyle w:val="20"/>
        <w:jc w:val="center"/>
        <w:rPr>
          <w:sz w:val="56"/>
          <w:szCs w:val="56"/>
        </w:rPr>
      </w:pPr>
    </w:p>
    <w:p>
      <w:pPr>
        <w:pStyle w:val="20"/>
        <w:jc w:val="center"/>
        <w:rPr>
          <w:sz w:val="32"/>
          <w:szCs w:val="32"/>
        </w:rPr>
      </w:pPr>
    </w:p>
    <w:p>
      <w:pPr>
        <w:pStyle w:val="20"/>
        <w:jc w:val="center"/>
        <w:rPr>
          <w:sz w:val="32"/>
          <w:szCs w:val="32"/>
        </w:rPr>
      </w:pPr>
    </w:p>
    <w:p>
      <w:pPr>
        <w:pStyle w:val="20"/>
        <w:jc w:val="center"/>
        <w:rPr>
          <w:sz w:val="32"/>
          <w:szCs w:val="32"/>
        </w:rPr>
      </w:pPr>
    </w:p>
    <w:p>
      <w:pPr>
        <w:pStyle w:val="20"/>
        <w:jc w:val="center"/>
        <w:rPr>
          <w:sz w:val="32"/>
          <w:szCs w:val="32"/>
        </w:rPr>
      </w:pPr>
    </w:p>
    <w:p>
      <w:pPr>
        <w:pStyle w:val="20"/>
        <w:jc w:val="center"/>
        <w:rPr>
          <w:sz w:val="32"/>
          <w:szCs w:val="32"/>
        </w:rPr>
      </w:pPr>
    </w:p>
    <w:p>
      <w:pPr>
        <w:pStyle w:val="20"/>
        <w:spacing w:line="500" w:lineRule="exact"/>
        <w:jc w:val="center"/>
        <w:rPr>
          <w:b/>
          <w:sz w:val="36"/>
          <w:szCs w:val="28"/>
        </w:rPr>
      </w:pPr>
      <w:r>
        <w:rPr>
          <w:rFonts w:hint="eastAsia"/>
          <w:b/>
          <w:sz w:val="36"/>
          <w:szCs w:val="28"/>
        </w:rPr>
        <w:t>目录</w:t>
      </w:r>
    </w:p>
    <w:p>
      <w:pPr>
        <w:pStyle w:val="2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湖南省价格认证中心</w:t>
      </w:r>
      <w:r>
        <w:rPr>
          <w:rFonts w:hint="eastAsia"/>
          <w:b/>
          <w:sz w:val="28"/>
          <w:szCs w:val="28"/>
        </w:rPr>
        <w:t>单位概况</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2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2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2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2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2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2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2"/>
        <w:rPr>
          <w:sz w:val="72"/>
          <w:szCs w:val="72"/>
        </w:rPr>
      </w:pPr>
    </w:p>
    <w:p>
      <w:pPr>
        <w:pStyle w:val="2"/>
        <w:rPr>
          <w:sz w:val="72"/>
          <w:szCs w:val="72"/>
        </w:rPr>
      </w:pPr>
    </w:p>
    <w:p>
      <w:pPr>
        <w:pStyle w:val="2"/>
        <w:rPr>
          <w:sz w:val="72"/>
          <w:szCs w:val="72"/>
        </w:rPr>
      </w:pPr>
    </w:p>
    <w:p>
      <w:pPr>
        <w:rPr>
          <w:sz w:val="72"/>
          <w:szCs w:val="72"/>
        </w:rPr>
      </w:pPr>
    </w:p>
    <w:p>
      <w:pPr>
        <w:pStyle w:val="20"/>
        <w:jc w:val="center"/>
        <w:rPr>
          <w:sz w:val="84"/>
          <w:szCs w:val="84"/>
        </w:rPr>
      </w:pPr>
      <w:r>
        <w:rPr>
          <w:rFonts w:hint="eastAsia"/>
          <w:sz w:val="84"/>
          <w:szCs w:val="84"/>
        </w:rPr>
        <w:t>第一部分</w:t>
      </w:r>
      <w:r>
        <w:rPr>
          <w:sz w:val="84"/>
          <w:szCs w:val="84"/>
        </w:rPr>
        <w:t xml:space="preserve"> </w:t>
      </w:r>
    </w:p>
    <w:p>
      <w:pPr>
        <w:pStyle w:val="20"/>
        <w:jc w:val="center"/>
        <w:rPr>
          <w:sz w:val="84"/>
          <w:szCs w:val="84"/>
        </w:rPr>
      </w:pPr>
    </w:p>
    <w:p>
      <w:pPr>
        <w:pStyle w:val="20"/>
        <w:jc w:val="center"/>
        <w:rPr>
          <w:sz w:val="84"/>
          <w:szCs w:val="84"/>
        </w:rPr>
      </w:pPr>
      <w:r>
        <w:rPr>
          <w:rFonts w:hint="eastAsia"/>
          <w:sz w:val="84"/>
          <w:szCs w:val="84"/>
          <w:lang w:val="en-US" w:eastAsia="zh-CN"/>
        </w:rPr>
        <w:t xml:space="preserve"> </w:t>
      </w:r>
      <w:r>
        <w:rPr>
          <w:rFonts w:hint="eastAsia"/>
          <w:sz w:val="84"/>
          <w:szCs w:val="84"/>
          <w:lang w:eastAsia="zh-CN"/>
        </w:rPr>
        <w:t>湖南省价格认证中心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1"/>
        <w:ind w:left="720" w:firstLine="0" w:firstLineChars="0"/>
        <w:jc w:val="left"/>
        <w:rPr>
          <w:rFonts w:ascii="黑体" w:hAnsi="黑体" w:eastAsia="黑体"/>
          <w:sz w:val="32"/>
          <w:szCs w:val="32"/>
        </w:rPr>
      </w:pPr>
    </w:p>
    <w:p>
      <w:pPr>
        <w:pStyle w:val="21"/>
        <w:ind w:left="720" w:firstLine="0" w:firstLineChars="0"/>
        <w:jc w:val="left"/>
        <w:rPr>
          <w:rFonts w:ascii="黑体" w:hAnsi="黑体" w:eastAsia="黑体"/>
          <w:sz w:val="32"/>
          <w:szCs w:val="32"/>
        </w:rPr>
      </w:pPr>
    </w:p>
    <w:p>
      <w:pPr>
        <w:pStyle w:val="21"/>
        <w:ind w:left="720" w:firstLine="0" w:firstLineChars="0"/>
        <w:jc w:val="left"/>
        <w:rPr>
          <w:rFonts w:ascii="黑体" w:hAnsi="黑体" w:eastAsia="黑体"/>
          <w:sz w:val="32"/>
          <w:szCs w:val="32"/>
        </w:rPr>
      </w:pPr>
    </w:p>
    <w:p>
      <w:pPr>
        <w:pStyle w:val="21"/>
        <w:ind w:left="720" w:firstLine="0" w:firstLineChars="0"/>
        <w:jc w:val="left"/>
        <w:rPr>
          <w:rFonts w:ascii="黑体" w:hAnsi="黑体" w:eastAsia="黑体"/>
          <w:sz w:val="32"/>
          <w:szCs w:val="32"/>
        </w:rPr>
      </w:pPr>
    </w:p>
    <w:p>
      <w:pPr>
        <w:pStyle w:val="21"/>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snapToGrid w:val="0"/>
        <w:spacing w:line="520" w:lineRule="exact"/>
        <w:ind w:firstLine="640" w:firstLineChars="200"/>
        <w:rPr>
          <w:rFonts w:ascii="仿宋_GB2312" w:hAnsi="仿宋" w:eastAsia="仿宋_GB2312"/>
          <w:sz w:val="32"/>
          <w:szCs w:val="32"/>
        </w:rPr>
      </w:pPr>
      <w:r>
        <w:rPr>
          <w:rFonts w:hint="eastAsia" w:ascii="仿宋_GB2312" w:hAnsi="宋体" w:eastAsia="仿宋_GB2312"/>
          <w:color w:val="000000"/>
          <w:sz w:val="32"/>
          <w:szCs w:val="32"/>
        </w:rPr>
        <w:t>湖南省价格认证中心于2001年6月经省编委湘编办函〔2001〕48号批复成立,现为省发改委直属公益一类事业单位。</w:t>
      </w:r>
    </w:p>
    <w:p>
      <w:pPr>
        <w:widowControl/>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湖南省涉案物价格鉴证管理条例》及国家发改委《价格认定规定》相关规定，价格认证中心主要职能是：经有关国家机关提出，协助对纪检监察、司法、行政工作中（涉嫌违纪案件，涉嫌刑事案件，行政诉讼、复议及处罚案件，行政征收、征用及执法活动，国家赔偿、补偿事项，法律法规规定的其他情形）所涉及的价格不明或者价格有争议的实行市场调节价的有形产品、无形资产和各类有偿服务，进行市场合理价格水平确认；本行政区域内价格认定复核事项；其他价格认定工作相关社会服务。</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lang w:eastAsia="zh-CN"/>
        </w:rPr>
        <w:t>二、</w:t>
      </w:r>
      <w:r>
        <w:rPr>
          <w:rFonts w:hint="eastAsia" w:ascii="黑体" w:hAnsi="黑体" w:eastAsia="黑体"/>
          <w:bCs/>
          <w:kern w:val="0"/>
          <w:sz w:val="32"/>
          <w:szCs w:val="32"/>
        </w:rPr>
        <w:t>机构设置及决算单位构成</w:t>
      </w:r>
    </w:p>
    <w:p>
      <w:pPr>
        <w:widowControl/>
        <w:spacing w:line="600" w:lineRule="exact"/>
        <w:ind w:firstLine="640" w:firstLineChars="200"/>
        <w:rPr>
          <w:rFonts w:hint="eastAsia" w:ascii="仿宋_GB2312" w:hAnsi="仿宋" w:eastAsia="仿宋_GB2312"/>
          <w:sz w:val="32"/>
          <w:szCs w:val="32"/>
        </w:rPr>
      </w:pPr>
      <w:r>
        <w:rPr>
          <w:rFonts w:hint="eastAsia" w:asciiTheme="minorEastAsia" w:hAnsiTheme="minorEastAsia"/>
          <w:bCs/>
          <w:kern w:val="0"/>
          <w:sz w:val="32"/>
          <w:szCs w:val="32"/>
        </w:rPr>
        <w:t>（一）内设机构设置。</w:t>
      </w:r>
      <w:r>
        <w:rPr>
          <w:rFonts w:hint="eastAsia" w:ascii="仿宋_GB2312" w:hAnsi="仿宋" w:eastAsia="仿宋_GB2312"/>
          <w:sz w:val="32"/>
          <w:szCs w:val="32"/>
        </w:rPr>
        <w:t>中心现设有综合科、财务科、认定科、复核科四个科室，编办核定全额拨款事业编制8名，其中主任1名（正处级）、副主任1名（副处级）。中心现有在编在岗人数8人。</w:t>
      </w:r>
    </w:p>
    <w:p>
      <w:pPr>
        <w:widowControl/>
        <w:spacing w:line="600" w:lineRule="exact"/>
        <w:ind w:firstLine="640" w:firstLineChars="200"/>
        <w:rPr>
          <w:rFonts w:hint="eastAsia" w:asciiTheme="minorEastAsia" w:hAnsiTheme="minorEastAsia"/>
          <w:bCs/>
          <w:kern w:val="0"/>
          <w:sz w:val="32"/>
          <w:szCs w:val="32"/>
          <w:lang w:val="en-US"/>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本单位无二级单位，决算仅包括单位本级。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2"/>
        <w:rPr>
          <w:rFonts w:ascii="黑体" w:hAnsi="黑体" w:eastAsia="黑体"/>
          <w:sz w:val="28"/>
          <w:szCs w:val="28"/>
        </w:rPr>
      </w:pPr>
    </w:p>
    <w:p>
      <w:pPr>
        <w:pStyle w:val="2"/>
        <w:rPr>
          <w:rFonts w:ascii="黑体" w:hAnsi="黑体" w:eastAsia="黑体"/>
          <w:sz w:val="28"/>
          <w:szCs w:val="28"/>
        </w:rPr>
      </w:pPr>
    </w:p>
    <w:p>
      <w:pPr>
        <w:jc w:val="center"/>
        <w:rPr>
          <w:rFonts w:ascii="黑体" w:hAnsi="黑体" w:eastAsia="黑体"/>
          <w:sz w:val="28"/>
          <w:szCs w:val="28"/>
        </w:rPr>
      </w:pPr>
    </w:p>
    <w:p>
      <w:pPr>
        <w:pStyle w:val="2"/>
        <w:rPr>
          <w:rFonts w:ascii="黑体" w:hAnsi="黑体" w:eastAsia="黑体"/>
          <w:sz w:val="28"/>
          <w:szCs w:val="28"/>
        </w:rPr>
      </w:pPr>
    </w:p>
    <w:p>
      <w:pPr>
        <w:pStyle w:val="2"/>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7"/>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Layout w:type="fixed"/>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lang w:eastAsia="zh-CN"/>
              </w:rPr>
              <w:t>湖南省价格认证中心</w:t>
            </w:r>
            <w:r>
              <w:rPr>
                <w:rFonts w:hint="default" w:ascii="Times New Roman" w:hAnsi="Times New Roman" w:eastAsia="仿宋_GB2312" w:cs="Times New Roman"/>
                <w:color w:val="000000"/>
                <w:kern w:val="0"/>
                <w:szCs w:val="21"/>
              </w:rPr>
              <w:t xml:space="preserve"> </w:t>
            </w:r>
          </w:p>
        </w:tc>
        <w:tc>
          <w:tcPr>
            <w:tcW w:w="697"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248.57</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179.02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七、社会保障和就业支出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21.92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248.57</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200.94</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8.88</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56.51</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257.45</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257.45</w:t>
            </w:r>
          </w:p>
        </w:tc>
      </w:tr>
      <w:tr>
        <w:tblPrEx>
          <w:tblLayout w:type="fixed"/>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17"/>
        <w:tblW w:w="15106" w:type="dxa"/>
        <w:tblInd w:w="0" w:type="dxa"/>
        <w:tblLayout w:type="fixed"/>
        <w:tblCellMar>
          <w:top w:w="0" w:type="dxa"/>
          <w:left w:w="0" w:type="dxa"/>
          <w:bottom w:w="0" w:type="dxa"/>
          <w:right w:w="0" w:type="dxa"/>
        </w:tblCellMar>
      </w:tblPr>
      <w:tblGrid>
        <w:gridCol w:w="388"/>
        <w:gridCol w:w="388"/>
        <w:gridCol w:w="3810"/>
        <w:gridCol w:w="1671"/>
        <w:gridCol w:w="1671"/>
        <w:gridCol w:w="1201"/>
        <w:gridCol w:w="1201"/>
        <w:gridCol w:w="1201"/>
        <w:gridCol w:w="1201"/>
        <w:gridCol w:w="2374"/>
      </w:tblGrid>
      <w:tr>
        <w:tblPrEx>
          <w:tblLayout w:type="fixed"/>
          <w:tblCellMar>
            <w:top w:w="0" w:type="dxa"/>
            <w:left w:w="0" w:type="dxa"/>
            <w:bottom w:w="0" w:type="dxa"/>
            <w:right w:w="0" w:type="dxa"/>
          </w:tblCellMar>
        </w:tblPrEx>
        <w:trPr>
          <w:trHeight w:val="435" w:hRule="atLeast"/>
        </w:trPr>
        <w:tc>
          <w:tcPr>
            <w:tcW w:w="15106"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388"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388"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3810"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776" w:type="dxa"/>
            <w:gridSpan w:val="2"/>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0"/>
                <w:szCs w:val="20"/>
              </w:rPr>
            </w:pPr>
            <w:r>
              <w:rPr>
                <w:rFonts w:hint="eastAsia"/>
                <w:color w:val="000000"/>
                <w:sz w:val="20"/>
                <w:szCs w:val="20"/>
              </w:rPr>
              <w:t>部门：</w:t>
            </w:r>
          </w:p>
        </w:tc>
        <w:tc>
          <w:tcPr>
            <w:tcW w:w="3810"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ascii="Times New Roman" w:hAnsi="Times New Roman" w:eastAsia="仿宋_GB2312" w:cs="Times New Roman"/>
                <w:color w:val="000000"/>
                <w:kern w:val="0"/>
                <w:szCs w:val="21"/>
                <w:lang w:eastAsia="zh-CN"/>
              </w:rPr>
              <w:t>湖南省价格认证中心</w:t>
            </w:r>
            <w:r>
              <w:rPr>
                <w:rFonts w:hint="default" w:ascii="Times New Roman" w:hAnsi="Times New Roman" w:eastAsia="仿宋_GB2312" w:cs="Times New Roman"/>
                <w:color w:val="000000"/>
                <w:kern w:val="0"/>
                <w:szCs w:val="21"/>
              </w:rPr>
              <w:t xml:space="preserve"> </w:t>
            </w: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458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财政拨款收入</w:t>
            </w:r>
          </w:p>
        </w:tc>
        <w:tc>
          <w:tcPr>
            <w:tcW w:w="12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上级补助收入</w:t>
            </w:r>
          </w:p>
        </w:tc>
        <w:tc>
          <w:tcPr>
            <w:tcW w:w="12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事业收入</w:t>
            </w:r>
          </w:p>
        </w:tc>
        <w:tc>
          <w:tcPr>
            <w:tcW w:w="12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经营收入</w:t>
            </w:r>
          </w:p>
        </w:tc>
        <w:tc>
          <w:tcPr>
            <w:tcW w:w="12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功能分类科目编码</w:t>
            </w:r>
          </w:p>
        </w:tc>
        <w:tc>
          <w:tcPr>
            <w:tcW w:w="38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381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458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2</w:t>
            </w:r>
          </w:p>
        </w:tc>
        <w:tc>
          <w:tcPr>
            <w:tcW w:w="12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3</w:t>
            </w:r>
          </w:p>
        </w:tc>
        <w:tc>
          <w:tcPr>
            <w:tcW w:w="12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4</w:t>
            </w:r>
          </w:p>
        </w:tc>
        <w:tc>
          <w:tcPr>
            <w:tcW w:w="12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5</w:t>
            </w:r>
          </w:p>
        </w:tc>
        <w:tc>
          <w:tcPr>
            <w:tcW w:w="12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6</w:t>
            </w:r>
          </w:p>
        </w:tc>
        <w:tc>
          <w:tcPr>
            <w:tcW w:w="237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458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合计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248.57</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248.57</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kern w:val="2"/>
                <w:sz w:val="24"/>
                <w:szCs w:val="24"/>
                <w:lang w:val="en-US" w:eastAsia="zh-CN" w:bidi="ar-SA"/>
              </w:rPr>
            </w:pPr>
            <w:r>
              <w:rPr>
                <w:rFonts w:hint="eastAsia"/>
                <w:lang w:eastAsia="zh-CN"/>
              </w:rPr>
              <w:t>一般公共服务支出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226.65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226.65</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527"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kern w:val="2"/>
                <w:sz w:val="24"/>
                <w:szCs w:val="24"/>
                <w:lang w:val="en-US" w:eastAsia="zh-CN" w:bidi="ar-SA"/>
              </w:rPr>
            </w:pPr>
            <w:r>
              <w:rPr>
                <w:rFonts w:hint="eastAsia"/>
                <w:lang w:eastAsia="zh-CN"/>
              </w:rPr>
              <w:t>发展与改革事务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226.65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226.65</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2010450</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420" w:firstLineChars="200"/>
              <w:rPr>
                <w:rFonts w:hint="default" w:ascii="宋体" w:hAnsi="宋体" w:eastAsia="宋体" w:cs="宋体"/>
                <w:kern w:val="2"/>
                <w:sz w:val="24"/>
                <w:szCs w:val="24"/>
                <w:lang w:val="en-US" w:eastAsia="zh-CN" w:bidi="ar-SA"/>
              </w:rPr>
            </w:pPr>
            <w:r>
              <w:rPr>
                <w:rFonts w:hint="eastAsia"/>
                <w:lang w:eastAsia="zh-CN"/>
              </w:rPr>
              <w:t>事业运行</w:t>
            </w: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189.15</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189.15</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2010499</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 xml:space="preserve">  </w:t>
            </w:r>
            <w:r>
              <w:rPr>
                <w:rFonts w:hint="eastAsia"/>
                <w:lang w:eastAsia="zh-CN"/>
              </w:rPr>
              <w:t>其他发展与改革事务支出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37.50</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lang w:val="en-US" w:eastAsia="zh-CN"/>
              </w:rPr>
              <w:t>37.50</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eastAsia="zh-CN"/>
              </w:rPr>
              <w:t>社会保障和就业支出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21.92</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21.92</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21.92</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21.92</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420" w:firstLineChars="200"/>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21.92</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21.92</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lang w:val="en-US" w:eastAsia="zh-CN"/>
              </w:rPr>
            </w:pP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420" w:firstLineChars="200"/>
              <w:rPr>
                <w:rFonts w:hint="eastAsia"/>
                <w:lang w:eastAsia="zh-CN"/>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Layout w:type="fixed"/>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3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2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615" w:hRule="atLeast"/>
        </w:trPr>
        <w:tc>
          <w:tcPr>
            <w:tcW w:w="15106"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7"/>
        <w:tblW w:w="15521" w:type="dxa"/>
        <w:tblInd w:w="93" w:type="dxa"/>
        <w:tblLayout w:type="fixed"/>
        <w:tblCellMar>
          <w:top w:w="0" w:type="dxa"/>
          <w:left w:w="108" w:type="dxa"/>
          <w:bottom w:w="0" w:type="dxa"/>
          <w:right w:w="108" w:type="dxa"/>
        </w:tblCellMar>
      </w:tblPr>
      <w:tblGrid>
        <w:gridCol w:w="1042"/>
        <w:gridCol w:w="222"/>
        <w:gridCol w:w="2331"/>
        <w:gridCol w:w="436"/>
        <w:gridCol w:w="559"/>
        <w:gridCol w:w="519"/>
        <w:gridCol w:w="496"/>
        <w:gridCol w:w="701"/>
        <w:gridCol w:w="1381"/>
        <w:gridCol w:w="833"/>
        <w:gridCol w:w="613"/>
        <w:gridCol w:w="19"/>
        <w:gridCol w:w="435"/>
        <w:gridCol w:w="1262"/>
        <w:gridCol w:w="311"/>
        <w:gridCol w:w="1102"/>
        <w:gridCol w:w="292"/>
        <w:gridCol w:w="1394"/>
        <w:gridCol w:w="710"/>
        <w:gridCol w:w="863"/>
      </w:tblGrid>
      <w:tr>
        <w:tblPrEx>
          <w:tblLayout w:type="fixed"/>
          <w:tblCellMar>
            <w:top w:w="0" w:type="dxa"/>
            <w:left w:w="108" w:type="dxa"/>
            <w:bottom w:w="0" w:type="dxa"/>
            <w:right w:w="108" w:type="dxa"/>
          </w:tblCellMar>
        </w:tblPrEx>
        <w:trPr>
          <w:gridAfter w:val="1"/>
          <w:wAfter w:w="863" w:type="dxa"/>
          <w:trHeight w:val="435" w:hRule="atLeast"/>
        </w:trPr>
        <w:tc>
          <w:tcPr>
            <w:tcW w:w="14658" w:type="dxa"/>
            <w:gridSpan w:val="1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gridAfter w:val="1"/>
          <w:wAfter w:w="863" w:type="dxa"/>
          <w:trHeight w:val="285" w:hRule="atLeast"/>
        </w:trPr>
        <w:tc>
          <w:tcPr>
            <w:tcW w:w="1042"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32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1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81"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46"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1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gridAfter w:val="1"/>
          <w:wAfter w:w="863" w:type="dxa"/>
          <w:trHeight w:val="285" w:hRule="atLeast"/>
        </w:trPr>
        <w:tc>
          <w:tcPr>
            <w:tcW w:w="4590" w:type="dxa"/>
            <w:gridSpan w:val="5"/>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湖南省价格认证中心</w:t>
            </w:r>
            <w:r>
              <w:rPr>
                <w:rFonts w:hint="default" w:ascii="Times New Roman" w:hAnsi="Times New Roman" w:eastAsia="仿宋_GB2312" w:cs="Times New Roman"/>
                <w:color w:val="000000"/>
                <w:kern w:val="0"/>
                <w:szCs w:val="21"/>
              </w:rPr>
              <w:t xml:space="preserve">  </w:t>
            </w:r>
          </w:p>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1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81"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46"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1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863" w:type="dxa"/>
          <w:trHeight w:val="450" w:hRule="atLeast"/>
        </w:trPr>
        <w:tc>
          <w:tcPr>
            <w:tcW w:w="459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71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本年支出合计</w:t>
            </w:r>
          </w:p>
        </w:tc>
        <w:tc>
          <w:tcPr>
            <w:tcW w:w="138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基本支出</w:t>
            </w:r>
          </w:p>
        </w:tc>
        <w:tc>
          <w:tcPr>
            <w:tcW w:w="144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c>
          <w:tcPr>
            <w:tcW w:w="171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上缴上级支出</w:t>
            </w:r>
          </w:p>
        </w:tc>
        <w:tc>
          <w:tcPr>
            <w:tcW w:w="141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经营支出</w:t>
            </w:r>
          </w:p>
        </w:tc>
        <w:tc>
          <w:tcPr>
            <w:tcW w:w="239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26"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171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4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1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3"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39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326" w:type="dxa"/>
            <w:gridSpan w:val="3"/>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1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3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4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1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13"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396"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450" w:hRule="atLeast"/>
        </w:trPr>
        <w:tc>
          <w:tcPr>
            <w:tcW w:w="459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1716"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138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446"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716"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413"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c>
          <w:tcPr>
            <w:tcW w:w="2396"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gridAfter w:val="1"/>
          <w:wAfter w:w="863" w:type="dxa"/>
          <w:trHeight w:val="450" w:hRule="atLeast"/>
        </w:trPr>
        <w:tc>
          <w:tcPr>
            <w:tcW w:w="459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200.94</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170.31</w:t>
            </w: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30.63</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w:t>
            </w: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kern w:val="2"/>
                <w:sz w:val="24"/>
                <w:szCs w:val="24"/>
                <w:lang w:val="en-US" w:eastAsia="zh-CN" w:bidi="ar-SA"/>
              </w:rPr>
            </w:pPr>
            <w:r>
              <w:rPr>
                <w:rFonts w:hint="eastAsia"/>
                <w:lang w:eastAsia="zh-CN"/>
              </w:rPr>
              <w:t>一般公共服务支出</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179.02</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148.39</w:t>
            </w: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30.63</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w:t>
            </w: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kern w:val="2"/>
                <w:sz w:val="24"/>
                <w:szCs w:val="24"/>
                <w:lang w:val="en-US" w:eastAsia="zh-CN" w:bidi="ar-SA"/>
              </w:rPr>
            </w:pPr>
            <w:r>
              <w:rPr>
                <w:rFonts w:hint="eastAsia"/>
                <w:lang w:eastAsia="zh-CN"/>
              </w:rPr>
              <w:t>发展与改革事务</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179.02</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148.39</w:t>
            </w: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30.63</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2010450</w:t>
            </w: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firstLine="420" w:firstLineChars="200"/>
              <w:rPr>
                <w:rFonts w:hint="default" w:ascii="宋体" w:hAnsi="宋体" w:eastAsia="宋体" w:cs="宋体"/>
                <w:kern w:val="2"/>
                <w:sz w:val="24"/>
                <w:szCs w:val="24"/>
                <w:lang w:val="en-US" w:eastAsia="zh-CN" w:bidi="ar-SA"/>
              </w:rPr>
            </w:pPr>
            <w:r>
              <w:rPr>
                <w:rFonts w:hint="eastAsia"/>
                <w:lang w:eastAsia="zh-CN"/>
              </w:rPr>
              <w:t>事业运行</w:t>
            </w:r>
            <w:r>
              <w:rPr>
                <w:rFonts w:hint="eastAsia"/>
              </w:rPr>
              <w:t>　</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148.39</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148.39</w:t>
            </w: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2010499</w:t>
            </w: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 xml:space="preserve">  </w:t>
            </w:r>
            <w:r>
              <w:rPr>
                <w:rFonts w:hint="eastAsia"/>
                <w:lang w:eastAsia="zh-CN"/>
              </w:rPr>
              <w:t>其他发展与改革事务支出</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30.63</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30.63</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default" w:asciiTheme="minorHAnsi" w:hAnsiTheme="minorHAnsi" w:eastAsiaTheme="minorEastAsia" w:cstheme="minorBidi"/>
                <w:kern w:val="2"/>
                <w:sz w:val="21"/>
                <w:szCs w:val="22"/>
                <w:lang w:val="en-US" w:eastAsia="zh-CN" w:bidi="ar-SA"/>
              </w:rPr>
            </w:pPr>
            <w:r>
              <w:rPr>
                <w:rFonts w:hint="eastAsia"/>
                <w:lang w:val="en-US" w:eastAsia="zh-CN"/>
              </w:rPr>
              <w:t>208</w:t>
            </w: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eastAsia="zh-CN"/>
              </w:rPr>
              <w:t>社会保障和就业支出</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21.92</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21.92</w:t>
            </w: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21.92</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21.92</w:t>
            </w: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firstLine="420" w:firstLineChars="200"/>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21.92</w:t>
            </w: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21.92</w:t>
            </w: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3326"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3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4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1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41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863" w:type="dxa"/>
          <w:trHeight w:val="630" w:hRule="atLeast"/>
        </w:trPr>
        <w:tc>
          <w:tcPr>
            <w:tcW w:w="14658" w:type="dxa"/>
            <w:gridSpan w:val="1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Layout w:type="fixed"/>
          <w:tblCellMar>
            <w:top w:w="0" w:type="dxa"/>
            <w:left w:w="108" w:type="dxa"/>
            <w:bottom w:w="0" w:type="dxa"/>
            <w:right w:w="108" w:type="dxa"/>
          </w:tblCellMar>
        </w:tblPrEx>
        <w:trPr>
          <w:trHeight w:val="285" w:hRule="atLeast"/>
        </w:trPr>
        <w:tc>
          <w:tcPr>
            <w:tcW w:w="3595"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4"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3547"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394"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521" w:type="dxa"/>
            <w:gridSpan w:val="2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gridSpan w:val="3"/>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湖南省价格认证中心</w:t>
            </w:r>
          </w:p>
        </w:tc>
        <w:tc>
          <w:tcPr>
            <w:tcW w:w="436"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4"/>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248.57</w:t>
            </w: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179.02</w:t>
            </w: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179.02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lang w:val="en-US" w:eastAsia="zh-CN"/>
              </w:rPr>
              <w:t>七、社会保障和就业支出</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21.92</w:t>
            </w: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21.92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248.57</w:t>
            </w: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200.94</w:t>
            </w: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200.94</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8.88</w:t>
            </w: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56.51</w:t>
            </w: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56.51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8.88</w:t>
            </w: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257.45</w:t>
            </w:r>
          </w:p>
        </w:tc>
        <w:tc>
          <w:tcPr>
            <w:tcW w:w="3411" w:type="dxa"/>
            <w:gridSpan w:val="4"/>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257.45</w:t>
            </w:r>
          </w:p>
        </w:tc>
        <w:tc>
          <w:tcPr>
            <w:tcW w:w="1394"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257.45</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521" w:type="dxa"/>
            <w:gridSpan w:val="2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湖南省价格认证中心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7"/>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200.94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170.31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30.63</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kern w:val="2"/>
                <w:sz w:val="24"/>
                <w:szCs w:val="24"/>
                <w:lang w:val="en-US" w:eastAsia="zh-CN" w:bidi="ar-SA"/>
              </w:rPr>
            </w:pPr>
            <w:r>
              <w:rPr>
                <w:rFonts w:hint="eastAsia"/>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179.02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30.63</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kern w:val="2"/>
                <w:sz w:val="24"/>
                <w:szCs w:val="24"/>
                <w:lang w:val="en-US" w:eastAsia="zh-CN" w:bidi="ar-SA"/>
              </w:rPr>
            </w:pPr>
            <w:r>
              <w:rPr>
                <w:rFonts w:hint="eastAsia"/>
                <w:lang w:eastAsia="zh-CN"/>
              </w:rPr>
              <w:t>发展与改革事务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179.02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30.63</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2010450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rPr>
                <w:rFonts w:hint="default" w:ascii="宋体" w:hAnsi="宋体" w:eastAsia="宋体" w:cs="宋体"/>
                <w:kern w:val="2"/>
                <w:sz w:val="24"/>
                <w:szCs w:val="24"/>
                <w:lang w:val="en-US" w:eastAsia="zh-CN" w:bidi="ar-SA"/>
              </w:rPr>
            </w:pPr>
            <w:r>
              <w:rPr>
                <w:rFonts w:hint="eastAsia"/>
                <w:lang w:eastAsia="zh-CN"/>
              </w:rPr>
              <w:t>事业运行</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148.39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kern w:val="2"/>
                <w:sz w:val="24"/>
                <w:szCs w:val="24"/>
                <w:lang w:val="en-US" w:eastAsia="zh-CN" w:bidi="ar-SA"/>
              </w:rPr>
            </w:pPr>
            <w:r>
              <w:rPr>
                <w:rFonts w:hint="eastAsia"/>
                <w:lang w:val="en-US" w:eastAsia="zh-CN"/>
              </w:rPr>
              <w:t>2010499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 xml:space="preserve">  </w:t>
            </w:r>
            <w:r>
              <w:rPr>
                <w:rFonts w:hint="eastAsia"/>
                <w:lang w:eastAsia="zh-CN"/>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30.63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30.63</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HAnsi" w:hAnsiTheme="minorHAnsi" w:eastAsiaTheme="minorEastAsia" w:cstheme="minorBidi"/>
                <w:kern w:val="2"/>
                <w:sz w:val="21"/>
                <w:szCs w:val="22"/>
                <w:lang w:val="en-US" w:eastAsia="zh-CN" w:bidi="ar-SA"/>
              </w:rPr>
            </w:pP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21.92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17"/>
        <w:tblW w:w="15901" w:type="dxa"/>
        <w:tblInd w:w="0" w:type="dxa"/>
        <w:tblLayout w:type="fixed"/>
        <w:tblCellMar>
          <w:top w:w="0" w:type="dxa"/>
          <w:left w:w="108" w:type="dxa"/>
          <w:bottom w:w="0" w:type="dxa"/>
          <w:right w:w="108" w:type="dxa"/>
        </w:tblCellMar>
      </w:tblPr>
      <w:tblGrid>
        <w:gridCol w:w="1038"/>
        <w:gridCol w:w="3475"/>
        <w:gridCol w:w="913"/>
        <w:gridCol w:w="1125"/>
        <w:gridCol w:w="2425"/>
        <w:gridCol w:w="825"/>
        <w:gridCol w:w="1100"/>
        <w:gridCol w:w="4237"/>
        <w:gridCol w:w="763"/>
      </w:tblGrid>
      <w:tr>
        <w:tblPrEx>
          <w:tblLayout w:type="fixed"/>
          <w:tblCellMar>
            <w:top w:w="0" w:type="dxa"/>
            <w:left w:w="108" w:type="dxa"/>
            <w:bottom w:w="0" w:type="dxa"/>
            <w:right w:w="108" w:type="dxa"/>
          </w:tblCellMar>
        </w:tblPrEx>
        <w:trPr>
          <w:trHeight w:val="113" w:hRule="atLeast"/>
        </w:trPr>
        <w:tc>
          <w:tcPr>
            <w:tcW w:w="15901"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r>
              <w:rPr>
                <w:rFonts w:hint="default" w:ascii="Times New Roman" w:hAnsi="Times New Roman" w:eastAsia="仿宋_GB2312" w:cs="Times New Roman"/>
                <w:bCs/>
                <w:kern w:val="0"/>
                <w:szCs w:val="21"/>
              </w:rPr>
              <w:br w:type="page"/>
            </w: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keepNext w:val="0"/>
              <w:keepLines w:val="0"/>
              <w:widowControl/>
              <w:suppressLineNumbers w:val="0"/>
              <w:wordWrap w:val="0"/>
              <w:spacing w:before="0" w:beforeAutospacing="0" w:after="0" w:afterAutospacing="0"/>
              <w:ind w:left="0" w:right="0"/>
              <w:jc w:val="right"/>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湖南省价格认证中心</w:t>
            </w: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keepNext w:val="0"/>
              <w:keepLines w:val="0"/>
              <w:widowControl/>
              <w:suppressLineNumbers w:val="0"/>
              <w:spacing w:before="0" w:beforeAutospacing="0" w:after="0" w:afterAutospacing="0"/>
              <w:ind w:left="0" w:right="0"/>
              <w:jc w:val="right"/>
              <w:rPr>
                <w:rFonts w:hint="default"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147.13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21.47</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30101</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tabs>
                <w:tab w:val="left" w:pos="479"/>
              </w:tabs>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38.72</w:t>
            </w:r>
            <w:r>
              <w:rPr>
                <w:rFonts w:hint="eastAsia" w:ascii="宋体" w:hAnsi="宋体" w:eastAsia="宋体" w:cs="宋体"/>
                <w:color w:val="000000"/>
                <w:kern w:val="0"/>
                <w:szCs w:val="20"/>
                <w:lang w:eastAsia="zh-CN"/>
              </w:rPr>
              <w:tab/>
            </w:r>
            <w:r>
              <w:rPr>
                <w:rFonts w:hint="eastAsia" w:ascii="宋体" w:hAnsi="宋体" w:eastAsia="宋体" w:cs="宋体"/>
                <w:color w:val="000000"/>
                <w:kern w:val="0"/>
                <w:szCs w:val="20"/>
                <w:lang w:val="en-US" w:eastAsia="zh-CN"/>
              </w:rPr>
              <w:t>38.72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30201</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30701</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30102</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30202</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0.07</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30702</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30103</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30203</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30106</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30204</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31001</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30107</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31.13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30205</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31002</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30108</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10.86</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30206</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31003</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30109</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30207</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0.64</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31005</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30110</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11.07</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30208</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31006</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30111</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30209</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31007</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30112</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30211</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31008</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30113</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13.98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30212</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31009</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30114</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30213</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31010</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30199</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30214</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31011</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30215</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31012</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30301</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30216</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31013</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30302</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30217</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31019</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30303</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30218</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31021</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30304</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30224</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31022</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30305</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30225</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31099</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30306</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30226</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3.40</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30307</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30227</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39906</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30308</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30228</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4.43</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39907</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30309</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30229</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39908</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30310</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30231</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2.48</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39999</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30311</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30239</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5.37</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30399</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30240</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0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34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30299</w:t>
            </w:r>
          </w:p>
        </w:tc>
        <w:tc>
          <w:tcPr>
            <w:tcW w:w="24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1.38</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42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148.85</w:t>
            </w:r>
          </w:p>
        </w:tc>
        <w:tc>
          <w:tcPr>
            <w:tcW w:w="971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21.47</w:t>
            </w:r>
          </w:p>
        </w:tc>
      </w:tr>
      <w:tr>
        <w:tblPrEx>
          <w:tblLayout w:type="fixed"/>
          <w:tblCellMar>
            <w:top w:w="0" w:type="dxa"/>
            <w:left w:w="108" w:type="dxa"/>
            <w:bottom w:w="0" w:type="dxa"/>
            <w:right w:w="108" w:type="dxa"/>
          </w:tblCellMar>
        </w:tblPrEx>
        <w:trPr>
          <w:trHeight w:val="284" w:hRule="exact"/>
        </w:trPr>
        <w:tc>
          <w:tcPr>
            <w:tcW w:w="15901"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湖南省价格认证中心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7"/>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2.48</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湖南省价格认证中心</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年初结转和结余</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本年收入</w:t>
            </w:r>
          </w:p>
        </w:tc>
        <w:tc>
          <w:tcPr>
            <w:tcW w:w="600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本单位</w:t>
            </w:r>
            <w:r>
              <w:rPr>
                <w:rFonts w:hint="eastAsia" w:ascii="Times New Roman" w:hAnsi="Times New Roman" w:eastAsia="仿宋_GB2312" w:cs="Times New Roman"/>
                <w:kern w:val="0"/>
                <w:szCs w:val="21"/>
              </w:rPr>
              <w:t>没有政府性基金收入，也没有使用政府性基金安排的支出，故本表无数据</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1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Layout w:type="fixed"/>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kern w:val="0"/>
                <w:sz w:val="20"/>
                <w:szCs w:val="20"/>
              </w:rPr>
            </w:pPr>
            <w:r>
              <w:rPr>
                <w:rFonts w:hint="eastAsia" w:ascii="Times New Roman" w:hAnsi="Times New Roman" w:eastAsia="仿宋_GB2312" w:cs="Times New Roman"/>
                <w:color w:val="000000"/>
                <w:kern w:val="0"/>
                <w:szCs w:val="21"/>
                <w:lang w:eastAsia="zh-CN"/>
              </w:rPr>
              <w:t>湖南省价格认证中心</w:t>
            </w:r>
            <w:r>
              <w:rPr>
                <w:rFonts w:hint="default" w:ascii="Times New Roman" w:hAnsi="Times New Roman" w:eastAsia="仿宋_GB2312" w:cs="Times New Roman"/>
                <w:color w:val="000000"/>
                <w:kern w:val="0"/>
                <w:szCs w:val="21"/>
              </w:rPr>
              <w:t xml:space="preserve"> </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w:t>
            </w:r>
          </w:p>
        </w:tc>
      </w:tr>
      <w:tr>
        <w:tblPrEx>
          <w:tblLayout w:type="fixed"/>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20"/>
        <w:rPr>
          <w:sz w:val="72"/>
          <w:szCs w:val="72"/>
        </w:rPr>
        <w:sectPr>
          <w:pgSz w:w="16838" w:h="11906" w:orient="landscape"/>
          <w:pgMar w:top="720" w:right="720" w:bottom="720" w:left="720" w:header="851" w:footer="992" w:gutter="0"/>
          <w:cols w:space="425" w:num="1"/>
          <w:docGrid w:type="lines" w:linePitch="312" w:charSpace="0"/>
        </w:sectPr>
      </w:pPr>
    </w:p>
    <w:p>
      <w:pPr>
        <w:pStyle w:val="20"/>
        <w:rPr>
          <w:sz w:val="72"/>
          <w:szCs w:val="72"/>
        </w:rPr>
      </w:pPr>
    </w:p>
    <w:p>
      <w:pPr>
        <w:pStyle w:val="20"/>
        <w:rPr>
          <w:sz w:val="72"/>
          <w:szCs w:val="72"/>
        </w:rPr>
      </w:pPr>
    </w:p>
    <w:p>
      <w:pPr>
        <w:pStyle w:val="20"/>
        <w:rPr>
          <w:sz w:val="72"/>
          <w:szCs w:val="72"/>
        </w:rPr>
      </w:pPr>
    </w:p>
    <w:p>
      <w:pPr>
        <w:pStyle w:val="20"/>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r>
        <w:rPr>
          <w:rFonts w:hint="eastAsia"/>
          <w:sz w:val="72"/>
          <w:szCs w:val="72"/>
        </w:rPr>
        <w:t>第三部分</w:t>
      </w:r>
    </w:p>
    <w:p>
      <w:pPr>
        <w:pStyle w:val="20"/>
        <w:jc w:val="center"/>
        <w:rPr>
          <w:sz w:val="70"/>
          <w:szCs w:val="70"/>
        </w:rPr>
      </w:pPr>
    </w:p>
    <w:p>
      <w:pPr>
        <w:pStyle w:val="2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20"/>
        <w:ind w:firstLine="643" w:firstLineChars="200"/>
        <w:rPr>
          <w:rFonts w:hAnsi="黑体"/>
          <w:b/>
          <w:sz w:val="32"/>
          <w:szCs w:val="32"/>
        </w:rPr>
      </w:pPr>
      <w:r>
        <w:rPr>
          <w:rFonts w:hint="eastAsia" w:hAnsi="黑体"/>
          <w:b/>
          <w:sz w:val="32"/>
          <w:szCs w:val="32"/>
        </w:rPr>
        <w:t>一、收入支出决算总体情况说明</w:t>
      </w:r>
    </w:p>
    <w:p>
      <w:pPr>
        <w:pStyle w:val="20"/>
        <w:ind w:firstLine="640" w:firstLineChars="200"/>
        <w:rPr>
          <w:rFonts w:asciiTheme="minorEastAsia" w:hAnsiTheme="minorEastAsia" w:eastAsiaTheme="minorEastAsia"/>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257.45万元，其中：</w:t>
      </w:r>
      <w:r>
        <w:rPr>
          <w:rFonts w:hint="eastAsia" w:ascii="仿宋_GB2312" w:hAnsi="仿宋_GB2312" w:eastAsia="仿宋_GB2312" w:cs="仿宋_GB2312"/>
          <w:color w:val="auto"/>
          <w:sz w:val="32"/>
          <w:szCs w:val="32"/>
          <w:lang w:eastAsia="zh-CN"/>
        </w:rPr>
        <w:t>年初结转和结余</w:t>
      </w:r>
      <w:r>
        <w:rPr>
          <w:rFonts w:hint="eastAsia" w:ascii="仿宋_GB2312" w:hAnsi="仿宋_GB2312" w:eastAsia="仿宋_GB2312" w:cs="仿宋_GB2312"/>
          <w:color w:val="auto"/>
          <w:sz w:val="32"/>
          <w:szCs w:val="32"/>
          <w:lang w:val="en-US" w:eastAsia="zh-CN"/>
        </w:rPr>
        <w:t>8.88万元，本年</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248.57万元，</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收入减少</w:t>
      </w:r>
      <w:r>
        <w:rPr>
          <w:rFonts w:hint="eastAsia" w:ascii="仿宋_GB2312" w:hAnsi="仿宋_GB2312" w:eastAsia="仿宋_GB2312" w:cs="仿宋_GB2312"/>
          <w:color w:val="auto"/>
          <w:sz w:val="32"/>
          <w:szCs w:val="32"/>
          <w:lang w:val="en-US" w:eastAsia="zh-CN"/>
        </w:rPr>
        <w:t>42.12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14.06</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2021年上年结转资金比2020年上年结转资金少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200.94万元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支出减少</w:t>
      </w:r>
      <w:r>
        <w:rPr>
          <w:rFonts w:hint="eastAsia" w:ascii="仿宋_GB2312" w:hAnsi="仿宋_GB2312" w:eastAsia="仿宋_GB2312" w:cs="仿宋_GB2312"/>
          <w:color w:val="auto"/>
          <w:sz w:val="32"/>
          <w:szCs w:val="32"/>
          <w:lang w:val="en-US" w:eastAsia="zh-CN"/>
        </w:rPr>
        <w:t>83.27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29.29</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2021年受疫情的影响缩减了培训规模及工作内容的调整。</w:t>
      </w:r>
    </w:p>
    <w:p>
      <w:pPr>
        <w:pStyle w:val="20"/>
        <w:ind w:firstLine="643" w:firstLineChars="200"/>
        <w:rPr>
          <w:rFonts w:hAnsi="黑体"/>
          <w:b/>
          <w:sz w:val="32"/>
          <w:szCs w:val="32"/>
        </w:rPr>
      </w:pPr>
      <w:r>
        <w:rPr>
          <w:rFonts w:hint="eastAsia" w:hAnsi="黑体"/>
          <w:b/>
          <w:sz w:val="32"/>
          <w:szCs w:val="32"/>
        </w:rPr>
        <w:t>二、收入决算情况说明</w:t>
      </w:r>
    </w:p>
    <w:p>
      <w:pPr>
        <w:pStyle w:val="2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248.57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248.57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20"/>
        <w:ind w:firstLine="643" w:firstLineChars="200"/>
        <w:rPr>
          <w:rFonts w:hAnsi="黑体"/>
          <w:b/>
          <w:sz w:val="32"/>
          <w:szCs w:val="32"/>
        </w:rPr>
      </w:pPr>
      <w:r>
        <w:rPr>
          <w:rFonts w:hint="eastAsia" w:hAnsi="黑体"/>
          <w:b/>
          <w:sz w:val="32"/>
          <w:szCs w:val="32"/>
        </w:rPr>
        <w:t>三、支出决算情况说明</w:t>
      </w:r>
    </w:p>
    <w:p>
      <w:pPr>
        <w:pStyle w:val="20"/>
        <w:ind w:firstLine="640" w:firstLineChars="200"/>
        <w:rPr>
          <w:rFonts w:hint="eastAsia" w:ascii="仿宋_GB2312" w:hAnsi="仿宋_GB2312" w:eastAsia="仿宋_GB2312" w:cs="仿宋_GB2312"/>
          <w:color w:val="auto"/>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200.94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170.31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84.75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30.63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15.25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20"/>
        <w:ind w:firstLine="643" w:firstLineChars="200"/>
        <w:rPr>
          <w:rFonts w:hAnsi="黑体"/>
          <w:b/>
          <w:sz w:val="32"/>
          <w:szCs w:val="32"/>
        </w:rPr>
      </w:pPr>
      <w:r>
        <w:rPr>
          <w:rFonts w:hint="eastAsia" w:hAnsi="黑体"/>
          <w:b/>
          <w:sz w:val="32"/>
          <w:szCs w:val="32"/>
        </w:rPr>
        <w:t>四、财政拨款收入支出决算总体情况说明</w:t>
      </w:r>
    </w:p>
    <w:p>
      <w:pPr>
        <w:pStyle w:val="20"/>
        <w:ind w:firstLine="640" w:firstLineChars="200"/>
        <w:rPr>
          <w:rFonts w:asciiTheme="minorEastAsia" w:hAnsiTheme="minorEastAsia" w:eastAsiaTheme="minorEastAsia"/>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财政拨款</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257.45万元，其中：</w:t>
      </w:r>
      <w:r>
        <w:rPr>
          <w:rFonts w:hint="eastAsia" w:ascii="仿宋_GB2312" w:hAnsi="仿宋_GB2312" w:eastAsia="仿宋_GB2312" w:cs="仿宋_GB2312"/>
          <w:color w:val="auto"/>
          <w:sz w:val="32"/>
          <w:szCs w:val="32"/>
          <w:lang w:eastAsia="zh-CN"/>
        </w:rPr>
        <w:t>年初结转和结余</w:t>
      </w:r>
      <w:r>
        <w:rPr>
          <w:rFonts w:hint="eastAsia" w:ascii="仿宋_GB2312" w:hAnsi="仿宋_GB2312" w:eastAsia="仿宋_GB2312" w:cs="仿宋_GB2312"/>
          <w:color w:val="auto"/>
          <w:sz w:val="32"/>
          <w:szCs w:val="32"/>
          <w:lang w:val="en-US" w:eastAsia="zh-CN"/>
        </w:rPr>
        <w:t>8.88万元，本年</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248.57万元，</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收入减少</w:t>
      </w:r>
      <w:r>
        <w:rPr>
          <w:rFonts w:hint="eastAsia" w:ascii="仿宋_GB2312" w:hAnsi="仿宋_GB2312" w:eastAsia="仿宋_GB2312" w:cs="仿宋_GB2312"/>
          <w:color w:val="auto"/>
          <w:sz w:val="32"/>
          <w:szCs w:val="32"/>
          <w:lang w:val="en-US" w:eastAsia="zh-CN"/>
        </w:rPr>
        <w:t>42.12</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14.06</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2020年上年结转资金比2021年多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财政拨款支出</w:t>
      </w:r>
      <w:r>
        <w:rPr>
          <w:rFonts w:hint="eastAsia" w:ascii="仿宋_GB2312" w:hAnsi="仿宋_GB2312" w:eastAsia="仿宋_GB2312" w:cs="仿宋_GB2312"/>
          <w:color w:val="auto"/>
          <w:sz w:val="32"/>
          <w:szCs w:val="32"/>
          <w:lang w:val="en-US" w:eastAsia="zh-CN"/>
        </w:rPr>
        <w:t>200.94万元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支出减少</w:t>
      </w:r>
      <w:r>
        <w:rPr>
          <w:rFonts w:hint="eastAsia" w:ascii="仿宋_GB2312" w:hAnsi="仿宋_GB2312" w:eastAsia="仿宋_GB2312" w:cs="仿宋_GB2312"/>
          <w:color w:val="auto"/>
          <w:sz w:val="32"/>
          <w:szCs w:val="32"/>
          <w:lang w:val="en-US" w:eastAsia="zh-CN"/>
        </w:rPr>
        <w:t>83.27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29.29</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2021年受疫情的影响缩减了培训规模及工作内容的调整。</w:t>
      </w:r>
    </w:p>
    <w:p>
      <w:pPr>
        <w:pStyle w:val="20"/>
        <w:ind w:firstLine="643" w:firstLineChars="200"/>
        <w:rPr>
          <w:rFonts w:hAnsi="黑体"/>
          <w:b/>
          <w:sz w:val="32"/>
          <w:szCs w:val="32"/>
        </w:rPr>
      </w:pPr>
      <w:r>
        <w:rPr>
          <w:rFonts w:hint="eastAsia" w:hAnsi="黑体"/>
          <w:b/>
          <w:sz w:val="32"/>
          <w:szCs w:val="32"/>
        </w:rPr>
        <w:t>五、一般公共预算财政拨款支出决算情况说明</w:t>
      </w:r>
    </w:p>
    <w:p>
      <w:pPr>
        <w:pStyle w:val="2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20"/>
        <w:ind w:firstLine="800" w:firstLineChars="250"/>
        <w:rPr>
          <w:rFonts w:asciiTheme="minorEastAsia" w:hAnsiTheme="minorEastAsia" w:eastAsiaTheme="minorEastAsia"/>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200.94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83.27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29.29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2021年受疫情的影响缩减了培训规模及工作内容的调整。</w:t>
      </w:r>
    </w:p>
    <w:p>
      <w:pPr>
        <w:pStyle w:val="20"/>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2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200.94</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179.02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89.09</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21.92万元，占10.91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pStyle w:val="2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2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257.47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（含上年结转</w:t>
      </w:r>
      <w:r>
        <w:rPr>
          <w:rFonts w:hint="eastAsia" w:ascii="仿宋_GB2312" w:hAnsi="仿宋_GB2312" w:eastAsia="仿宋_GB2312" w:cs="仿宋_GB2312"/>
          <w:color w:val="auto"/>
          <w:sz w:val="32"/>
          <w:szCs w:val="32"/>
          <w:lang w:val="en-US" w:eastAsia="zh-CN"/>
        </w:rPr>
        <w:t>8.90万元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支出决算数为</w:t>
      </w:r>
      <w:r>
        <w:rPr>
          <w:rFonts w:hint="eastAsia" w:ascii="仿宋_GB2312" w:hAnsi="仿宋_GB2312" w:eastAsia="仿宋_GB2312" w:cs="仿宋_GB2312"/>
          <w:color w:val="auto"/>
          <w:sz w:val="32"/>
          <w:szCs w:val="32"/>
          <w:lang w:val="en-US" w:eastAsia="zh-CN"/>
        </w:rPr>
        <w:t>200.94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（含上年结转）</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78.04</w:t>
      </w:r>
      <w:r>
        <w:rPr>
          <w:rFonts w:hint="eastAsia" w:ascii="仿宋_GB2312" w:hAnsi="仿宋_GB2312" w:eastAsia="仿宋_GB2312" w:cs="仿宋_GB2312"/>
          <w:color w:val="auto"/>
          <w:sz w:val="32"/>
          <w:szCs w:val="32"/>
        </w:rPr>
        <w:t>%，其中：</w:t>
      </w:r>
    </w:p>
    <w:p>
      <w:pPr>
        <w:pStyle w:val="2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w:t>
      </w:r>
      <w:r>
        <w:rPr>
          <w:rFonts w:hint="eastAsia" w:ascii="仿宋_GB2312" w:hAnsi="仿宋_GB2312" w:eastAsia="仿宋_GB2312" w:cs="仿宋_GB2312"/>
          <w:color w:val="auto"/>
          <w:sz w:val="32"/>
          <w:szCs w:val="32"/>
          <w:lang w:eastAsia="zh-CN"/>
        </w:rPr>
        <w:t>（类）发展与改革事务（款）</w:t>
      </w:r>
      <w:r>
        <w:rPr>
          <w:rFonts w:hint="eastAsia" w:ascii="仿宋_GB2312" w:hAnsi="仿宋_GB2312" w:eastAsia="仿宋_GB2312" w:cs="仿宋_GB2312"/>
          <w:color w:val="auto"/>
          <w:sz w:val="32"/>
          <w:szCs w:val="32"/>
          <w:lang w:val="en-US" w:eastAsia="zh-CN"/>
        </w:rPr>
        <w:t>事业运行（项）</w:t>
      </w:r>
      <w:r>
        <w:rPr>
          <w:rFonts w:hint="eastAsia" w:ascii="仿宋_GB2312" w:hAnsi="仿宋_GB2312" w:eastAsia="仿宋_GB2312" w:cs="仿宋_GB2312"/>
          <w:color w:val="auto"/>
          <w:sz w:val="32"/>
          <w:szCs w:val="32"/>
        </w:rPr>
        <w:t>。</w:t>
      </w:r>
    </w:p>
    <w:p>
      <w:pPr>
        <w:pStyle w:val="2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187.07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148.39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(含上年结转)</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79.32</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2021年受疫情的影响及工作内容的调整。</w:t>
      </w:r>
    </w:p>
    <w:p>
      <w:pPr>
        <w:pStyle w:val="2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（类）发展与改革事务（款）</w:t>
      </w:r>
      <w:r>
        <w:rPr>
          <w:rFonts w:hint="eastAsia" w:ascii="仿宋_GB2312" w:hAnsi="仿宋_GB2312" w:eastAsia="仿宋_GB2312" w:cs="仿宋_GB2312"/>
          <w:color w:val="auto"/>
          <w:sz w:val="32"/>
          <w:szCs w:val="32"/>
          <w:lang w:val="en-US" w:eastAsia="zh-CN"/>
        </w:rPr>
        <w:t>其他发展与改革事务支出（项）</w:t>
      </w:r>
      <w:r>
        <w:rPr>
          <w:rFonts w:hint="eastAsia" w:ascii="仿宋_GB2312" w:hAnsi="仿宋_GB2312" w:eastAsia="仿宋_GB2312" w:cs="仿宋_GB2312"/>
          <w:color w:val="auto"/>
          <w:sz w:val="32"/>
          <w:szCs w:val="32"/>
        </w:rPr>
        <w:t>。</w:t>
      </w:r>
    </w:p>
    <w:p>
      <w:pPr>
        <w:pStyle w:val="20"/>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46.40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30.63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66.01</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受疫情的影响，缩减培训规模和业务咨询和指导以线上为主，</w:t>
      </w:r>
      <w:r>
        <w:rPr>
          <w:rFonts w:hint="eastAsia" w:ascii="仿宋_GB2312" w:hAnsi="仿宋_GB2312" w:eastAsia="仿宋_GB2312" w:cs="仿宋_GB2312"/>
          <w:color w:val="auto"/>
          <w:sz w:val="32"/>
          <w:szCs w:val="32"/>
          <w:u w:val="none"/>
          <w:lang w:eastAsia="zh-CN"/>
        </w:rPr>
        <w:t>严格遵守财务规定，厉行节约，缩减部分开支。</w:t>
      </w:r>
    </w:p>
    <w:p>
      <w:pPr>
        <w:pStyle w:val="2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社会保障和就业支出（类）行政事业单位养老支出（款）</w:t>
      </w:r>
      <w:r>
        <w:rPr>
          <w:rFonts w:hint="eastAsia" w:ascii="仿宋_GB2312" w:hAnsi="仿宋_GB2312" w:eastAsia="仿宋_GB2312" w:cs="仿宋_GB2312"/>
          <w:color w:val="auto"/>
          <w:sz w:val="32"/>
          <w:szCs w:val="32"/>
          <w:lang w:val="en-US" w:eastAsia="zh-CN"/>
        </w:rPr>
        <w:t>机关事业单位基本养老保险缴费支出（项）</w:t>
      </w:r>
      <w:r>
        <w:rPr>
          <w:rFonts w:hint="eastAsia" w:ascii="仿宋_GB2312" w:hAnsi="仿宋_GB2312" w:eastAsia="仿宋_GB2312" w:cs="仿宋_GB2312"/>
          <w:color w:val="auto"/>
          <w:sz w:val="32"/>
          <w:szCs w:val="32"/>
        </w:rPr>
        <w:t>。</w:t>
      </w:r>
    </w:p>
    <w:p>
      <w:pPr>
        <w:pStyle w:val="20"/>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21.92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91.33</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eastAsia="zh-CN"/>
        </w:rPr>
        <w:t>对社会保障缴费指标进行调剂，用于弥补其他方面资金的不足。</w:t>
      </w:r>
    </w:p>
    <w:p>
      <w:pPr>
        <w:pStyle w:val="20"/>
        <w:rPr>
          <w:rFonts w:hAnsi="黑体"/>
          <w:b/>
          <w:sz w:val="32"/>
          <w:szCs w:val="32"/>
        </w:rPr>
      </w:pPr>
      <w:r>
        <w:rPr>
          <w:rFonts w:hint="eastAsia" w:hAnsi="黑体"/>
          <w:b/>
          <w:sz w:val="32"/>
          <w:szCs w:val="32"/>
        </w:rPr>
        <w:t>六、一般公共预算财政拨款基本支出决算情况说明</w:t>
      </w:r>
    </w:p>
    <w:p>
      <w:pPr>
        <w:pStyle w:val="20"/>
        <w:ind w:firstLine="640" w:firstLineChars="200"/>
        <w:rPr>
          <w:rFonts w:hint="eastAsia" w:asciiTheme="minorEastAsia" w:hAnsiTheme="minorEastAsia" w:eastAsiaTheme="minorEastAsia"/>
          <w:i/>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年度财政拨款基本支出</w:t>
      </w:r>
      <w:r>
        <w:rPr>
          <w:rFonts w:hint="eastAsia" w:ascii="仿宋_GB2312" w:hAnsi="仿宋_GB2312" w:eastAsia="仿宋_GB2312" w:cs="仿宋_GB2312"/>
          <w:color w:val="auto"/>
          <w:sz w:val="32"/>
          <w:szCs w:val="32"/>
          <w:lang w:val="en-US" w:eastAsia="zh-CN"/>
        </w:rPr>
        <w:t>170.32</w:t>
      </w:r>
      <w:r>
        <w:rPr>
          <w:rFonts w:hint="eastAsia" w:ascii="仿宋_GB2312" w:hAnsi="仿宋_GB2312" w:eastAsia="仿宋_GB2312" w:cs="仿宋_GB2312"/>
          <w:color w:val="auto"/>
          <w:sz w:val="32"/>
          <w:szCs w:val="32"/>
        </w:rPr>
        <w:t>万元，其中：人员经费</w:t>
      </w:r>
      <w:r>
        <w:rPr>
          <w:rFonts w:hint="eastAsia" w:ascii="仿宋_GB2312" w:hAnsi="仿宋_GB2312" w:eastAsia="仿宋_GB2312" w:cs="仿宋_GB2312"/>
          <w:color w:val="auto"/>
          <w:sz w:val="32"/>
          <w:szCs w:val="32"/>
          <w:lang w:val="en-US" w:eastAsia="zh-CN"/>
        </w:rPr>
        <w:t>148.85</w:t>
      </w:r>
      <w:r>
        <w:rPr>
          <w:rFonts w:hint="eastAsia" w:ascii="仿宋_GB2312" w:hAnsi="仿宋_GB2312" w:eastAsia="仿宋_GB2312" w:cs="仿宋_GB2312"/>
          <w:color w:val="auto"/>
          <w:sz w:val="32"/>
          <w:szCs w:val="32"/>
        </w:rPr>
        <w:t>万元，占基本支出的</w:t>
      </w:r>
      <w:r>
        <w:rPr>
          <w:rFonts w:hint="eastAsia" w:ascii="仿宋_GB2312" w:hAnsi="仿宋_GB2312" w:eastAsia="仿宋_GB2312" w:cs="仿宋_GB2312"/>
          <w:color w:val="auto"/>
          <w:sz w:val="32"/>
          <w:szCs w:val="32"/>
          <w:lang w:val="en-US" w:eastAsia="zh-CN"/>
        </w:rPr>
        <w:t>87.39</w:t>
      </w:r>
      <w:r>
        <w:rPr>
          <w:rFonts w:hint="eastAsia" w:ascii="仿宋_GB2312" w:hAnsi="仿宋_GB2312" w:eastAsia="仿宋_GB2312" w:cs="仿宋_GB2312"/>
          <w:color w:val="auto"/>
          <w:sz w:val="32"/>
          <w:szCs w:val="32"/>
        </w:rPr>
        <w:t>%,主要包括基本工资、津贴补贴、奖金、伙食补助费</w:t>
      </w:r>
      <w:r>
        <w:rPr>
          <w:rFonts w:hint="eastAsia" w:ascii="仿宋_GB2312" w:hAnsi="仿宋_GB2312" w:eastAsia="仿宋_GB2312" w:cs="仿宋_GB2312"/>
          <w:color w:val="auto"/>
          <w:sz w:val="32"/>
          <w:szCs w:val="32"/>
          <w:lang w:eastAsia="zh-CN"/>
        </w:rPr>
        <w:t>、机关事业单位基本养老保险缴费、职工基本医疗保险缴费、住房公积金、其他工资福利支出、其他对个人和家庭的补助</w:t>
      </w: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21.47</w:t>
      </w:r>
      <w:r>
        <w:rPr>
          <w:rFonts w:hint="eastAsia" w:ascii="仿宋_GB2312" w:hAnsi="仿宋_GB2312" w:eastAsia="仿宋_GB2312" w:cs="仿宋_GB2312"/>
          <w:color w:val="auto"/>
          <w:sz w:val="32"/>
          <w:szCs w:val="32"/>
        </w:rPr>
        <w:t>万元，占基本支出的</w:t>
      </w:r>
      <w:r>
        <w:rPr>
          <w:rFonts w:hint="eastAsia" w:ascii="仿宋_GB2312" w:hAnsi="仿宋_GB2312" w:eastAsia="仿宋_GB2312" w:cs="仿宋_GB2312"/>
          <w:color w:val="auto"/>
          <w:sz w:val="32"/>
          <w:szCs w:val="32"/>
          <w:lang w:val="en-US" w:eastAsia="zh-CN"/>
        </w:rPr>
        <w:t>12.61</w:t>
      </w:r>
      <w:r>
        <w:rPr>
          <w:rFonts w:hint="eastAsia" w:ascii="仿宋_GB2312" w:hAnsi="仿宋_GB2312" w:eastAsia="仿宋_GB2312" w:cs="仿宋_GB2312"/>
          <w:color w:val="auto"/>
          <w:sz w:val="32"/>
          <w:szCs w:val="32"/>
        </w:rPr>
        <w:t>%，主要包括办公费、印刷费、</w:t>
      </w:r>
      <w:r>
        <w:rPr>
          <w:rFonts w:hint="eastAsia" w:ascii="仿宋_GB2312" w:hAnsi="仿宋_GB2312" w:eastAsia="仿宋_GB2312" w:cs="仿宋_GB2312"/>
          <w:color w:val="auto"/>
          <w:sz w:val="32"/>
          <w:szCs w:val="32"/>
          <w:lang w:eastAsia="zh-CN"/>
        </w:rPr>
        <w:t>物业管理费、差旅费、会议费、培训费、工会经费、福利费、公务用车运行维护费、其他交通费用、其他商品服务支出。</w:t>
      </w:r>
    </w:p>
    <w:p>
      <w:pPr>
        <w:pStyle w:val="20"/>
        <w:ind w:firstLine="643" w:firstLineChars="200"/>
        <w:rPr>
          <w:rFonts w:hAnsi="黑体"/>
          <w:b/>
          <w:sz w:val="32"/>
          <w:szCs w:val="32"/>
        </w:rPr>
      </w:pPr>
      <w:r>
        <w:rPr>
          <w:rFonts w:hint="eastAsia" w:hAnsi="黑体"/>
          <w:b/>
          <w:sz w:val="32"/>
          <w:szCs w:val="32"/>
        </w:rPr>
        <w:t>七、一般公共预算财政拨款“三公”经费支出决算情况说明</w:t>
      </w:r>
    </w:p>
    <w:p>
      <w:pPr>
        <w:pStyle w:val="2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20"/>
        <w:ind w:firstLine="640" w:firstLineChars="200"/>
        <w:rPr>
          <w:rFonts w:hint="eastAsia" w:ascii="仿宋_GB2312" w:hAnsi="仿宋_GB2312" w:eastAsia="仿宋_GB2312" w:cs="仿宋_GB2312"/>
          <w:color w:val="auto"/>
          <w:sz w:val="32"/>
          <w:szCs w:val="32"/>
        </w:rPr>
      </w:pPr>
      <w:r>
        <w:rPr>
          <w:rFonts w:hint="eastAsia" w:asciiTheme="minorEastAsia" w:hAnsiTheme="minorEastAsia" w:eastAsiaTheme="minorEastAsia"/>
          <w:sz w:val="32"/>
          <w:szCs w:val="32"/>
        </w:rPr>
        <w:t>2021年度</w:t>
      </w:r>
      <w:r>
        <w:rPr>
          <w:rFonts w:hint="eastAsia" w:ascii="仿宋_GB2312" w:hAnsi="仿宋_GB2312" w:eastAsia="仿宋_GB2312" w:cs="仿宋_GB2312"/>
          <w:color w:val="auto"/>
          <w:sz w:val="32"/>
          <w:szCs w:val="32"/>
        </w:rPr>
        <w:t>“三公”经费财政拨款支出</w:t>
      </w:r>
      <w:r>
        <w:rPr>
          <w:rFonts w:hint="eastAsia" w:ascii="仿宋_GB2312" w:hAnsi="仿宋_GB2312" w:eastAsia="仿宋_GB2312" w:cs="仿宋_GB2312"/>
          <w:color w:val="auto"/>
          <w:sz w:val="32"/>
          <w:szCs w:val="32"/>
          <w:lang w:eastAsia="zh-CN"/>
        </w:rPr>
        <w:t>年初</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年底申请预算指标调剂调减</w:t>
      </w:r>
      <w:r>
        <w:rPr>
          <w:rFonts w:hint="eastAsia" w:ascii="仿宋_GB2312" w:hAnsi="仿宋_GB2312" w:eastAsia="仿宋_GB2312" w:cs="仿宋_GB2312"/>
          <w:color w:val="auto"/>
          <w:sz w:val="32"/>
          <w:szCs w:val="32"/>
          <w:lang w:val="en-US" w:eastAsia="zh-CN"/>
        </w:rPr>
        <w:t>1.00万元，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2.48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41.33</w:t>
      </w:r>
      <w:r>
        <w:rPr>
          <w:rFonts w:hint="eastAsia" w:ascii="仿宋_GB2312" w:hAnsi="仿宋_GB2312" w:eastAsia="仿宋_GB2312" w:cs="仿宋_GB2312"/>
          <w:color w:val="auto"/>
          <w:sz w:val="32"/>
          <w:szCs w:val="32"/>
        </w:rPr>
        <w:t>%，其中：</w:t>
      </w:r>
    </w:p>
    <w:p>
      <w:pPr>
        <w:pStyle w:val="20"/>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因公出国（境）费支出预算为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万元，与上年相比</w:t>
      </w:r>
      <w:r>
        <w:rPr>
          <w:rFonts w:hint="eastAsia" w:ascii="仿宋_GB2312" w:hAnsi="仿宋_GB2312" w:eastAsia="仿宋_GB2312" w:cs="仿宋_GB2312"/>
          <w:color w:val="auto"/>
          <w:sz w:val="32"/>
          <w:szCs w:val="32"/>
          <w:lang w:eastAsia="zh-CN"/>
        </w:rPr>
        <w:t>无变动。</w:t>
      </w:r>
    </w:p>
    <w:p>
      <w:pPr>
        <w:pStyle w:val="20"/>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公务接待费支出</w:t>
      </w:r>
      <w:r>
        <w:rPr>
          <w:rFonts w:hint="eastAsia" w:ascii="仿宋_GB2312" w:hAnsi="仿宋_GB2312" w:eastAsia="仿宋_GB2312" w:cs="仿宋_GB2312"/>
          <w:color w:val="auto"/>
          <w:sz w:val="32"/>
          <w:szCs w:val="32"/>
          <w:lang w:eastAsia="zh-CN"/>
        </w:rPr>
        <w:t>年初</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年底申请指标调剂调减</w:t>
      </w:r>
      <w:r>
        <w:rPr>
          <w:rFonts w:hint="eastAsia" w:ascii="仿宋_GB2312" w:hAnsi="仿宋_GB2312" w:eastAsia="仿宋_GB2312" w:cs="仿宋_GB2312"/>
          <w:color w:val="auto"/>
          <w:sz w:val="32"/>
          <w:szCs w:val="32"/>
          <w:lang w:val="en-US" w:eastAsia="zh-CN"/>
        </w:rPr>
        <w:t>1.00万元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万元，与上年相比</w:t>
      </w:r>
      <w:r>
        <w:rPr>
          <w:rFonts w:hint="eastAsia" w:ascii="仿宋_GB2312" w:hAnsi="仿宋_GB2312" w:eastAsia="仿宋_GB2312" w:cs="仿宋_GB2312"/>
          <w:color w:val="auto"/>
          <w:sz w:val="32"/>
          <w:szCs w:val="32"/>
          <w:lang w:eastAsia="zh-CN"/>
        </w:rPr>
        <w:t>无变动。</w:t>
      </w:r>
    </w:p>
    <w:p>
      <w:pPr>
        <w:pStyle w:val="2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公务用车购置费及运行维护费支出预算为</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2.48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49.60</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2.52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50.40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的主要原因是</w:t>
      </w:r>
      <w:r>
        <w:rPr>
          <w:rFonts w:hint="eastAsia" w:ascii="仿宋_GB2312" w:hAnsi="仿宋_GB2312" w:eastAsia="仿宋_GB2312" w:cs="仿宋_GB2312"/>
          <w:color w:val="auto"/>
          <w:sz w:val="32"/>
          <w:szCs w:val="32"/>
          <w:lang w:eastAsia="zh-CN"/>
        </w:rPr>
        <w:t>车辆购置于</w:t>
      </w:r>
      <w:r>
        <w:rPr>
          <w:rFonts w:hint="eastAsia" w:ascii="仿宋_GB2312" w:hAnsi="仿宋_GB2312" w:eastAsia="仿宋_GB2312" w:cs="仿宋_GB2312"/>
          <w:color w:val="auto"/>
          <w:sz w:val="32"/>
          <w:szCs w:val="32"/>
          <w:lang w:val="en-US" w:eastAsia="zh-CN"/>
        </w:rPr>
        <w:t>2008年1月，车辆年代久远故障频发为安全起见尽量减少车辆的使用</w:t>
      </w:r>
      <w:r>
        <w:rPr>
          <w:rFonts w:hint="eastAsia" w:ascii="仿宋_GB2312" w:hAnsi="仿宋_GB2312" w:eastAsia="仿宋_GB2312" w:cs="仿宋_GB2312"/>
          <w:color w:val="auto"/>
          <w:sz w:val="32"/>
          <w:szCs w:val="32"/>
        </w:rPr>
        <w:t>。</w:t>
      </w:r>
    </w:p>
    <w:p>
      <w:pPr>
        <w:pStyle w:val="2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2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2021年度“三公”经费财政拨款支出决算中，公务接待费支出决算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%,公务用车购置费及运行维护费支出决算</w:t>
      </w:r>
      <w:r>
        <w:rPr>
          <w:rFonts w:hint="eastAsia" w:ascii="仿宋_GB2312" w:hAnsi="仿宋_GB2312" w:eastAsia="仿宋_GB2312" w:cs="仿宋_GB2312"/>
          <w:color w:val="auto"/>
          <w:sz w:val="32"/>
          <w:szCs w:val="32"/>
          <w:lang w:val="en-US" w:eastAsia="zh-CN"/>
        </w:rPr>
        <w:t>2.48</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w:t>
      </w:r>
    </w:p>
    <w:p>
      <w:pPr>
        <w:pStyle w:val="2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1、因公出国（境）费支出决算为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万元，全年安排因公出国（境）团组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个，累计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次。</w:t>
      </w:r>
    </w:p>
    <w:p>
      <w:pPr>
        <w:pStyle w:val="2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2、公务接待费支出决算为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万元，全年共接待来访团组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来宾</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人次。</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3、公务用车购置费及运行维护费支出决算为</w:t>
      </w:r>
      <w:r>
        <w:rPr>
          <w:rFonts w:hint="eastAsia" w:ascii="仿宋_GB2312" w:hAnsi="仿宋_GB2312" w:eastAsia="仿宋_GB2312" w:cs="仿宋_GB2312"/>
          <w:color w:val="auto"/>
          <w:sz w:val="32"/>
          <w:szCs w:val="32"/>
          <w:lang w:val="en-US" w:eastAsia="zh-CN"/>
        </w:rPr>
        <w:t>2.48</w:t>
      </w:r>
      <w:r>
        <w:rPr>
          <w:rFonts w:hint="eastAsia" w:ascii="仿宋_GB2312" w:hAnsi="仿宋_GB2312" w:eastAsia="仿宋_GB2312" w:cs="仿宋_GB2312"/>
          <w:color w:val="auto"/>
          <w:sz w:val="32"/>
          <w:szCs w:val="32"/>
        </w:rPr>
        <w:t>万元，其中：公务用车购置费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万元，更新公务用车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辆。公务用车运行维护费</w:t>
      </w:r>
      <w:r>
        <w:rPr>
          <w:rFonts w:hint="eastAsia" w:ascii="仿宋_GB2312" w:hAnsi="仿宋_GB2312" w:eastAsia="仿宋_GB2312" w:cs="仿宋_GB2312"/>
          <w:color w:val="auto"/>
          <w:sz w:val="32"/>
          <w:szCs w:val="32"/>
          <w:lang w:val="en-US" w:eastAsia="zh-CN"/>
        </w:rPr>
        <w:t>2.48</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车辆用油、维修保养费用</w:t>
      </w:r>
      <w:r>
        <w:rPr>
          <w:rFonts w:hint="eastAsia" w:ascii="仿宋_GB2312" w:hAnsi="仿宋_GB2312" w:eastAsia="仿宋_GB2312" w:cs="仿宋_GB2312"/>
          <w:color w:val="auto"/>
          <w:sz w:val="32"/>
          <w:szCs w:val="32"/>
        </w:rPr>
        <w:t>支出，截止202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年12月31日，我单位开支财政拨款的公务用车保有量为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p>
    <w:p>
      <w:pPr>
        <w:pStyle w:val="20"/>
        <w:ind w:firstLine="643" w:firstLineChars="200"/>
        <w:rPr>
          <w:rFonts w:hint="eastAsia" w:hAnsi="黑体"/>
          <w:b/>
          <w:sz w:val="32"/>
          <w:szCs w:val="32"/>
        </w:rPr>
      </w:pPr>
      <w:r>
        <w:rPr>
          <w:rFonts w:hint="eastAsia" w:hAnsi="黑体"/>
          <w:b/>
          <w:sz w:val="32"/>
          <w:szCs w:val="32"/>
        </w:rPr>
        <w:t>八、政府性基金预算收入支出决算情况</w:t>
      </w:r>
    </w:p>
    <w:p>
      <w:pPr>
        <w:pStyle w:val="20"/>
        <w:ind w:firstLine="640" w:firstLineChars="200"/>
        <w:rPr>
          <w:rFonts w:hint="eastAsia" w:asciiTheme="minorEastAsia" w:hAnsiTheme="minorEastAsia" w:eastAsiaTheme="minorEastAsia"/>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年度政府性基金预算财政拨款收入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万元；年初结转和结余</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万元；年末结转和结余</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Style w:val="20"/>
        <w:ind w:firstLine="643" w:firstLineChars="200"/>
        <w:rPr>
          <w:rFonts w:hAnsi="黑体"/>
          <w:b/>
          <w:sz w:val="32"/>
          <w:szCs w:val="32"/>
        </w:rPr>
      </w:pPr>
      <w:r>
        <w:rPr>
          <w:rFonts w:hint="eastAsia" w:hAnsi="黑体"/>
          <w:b/>
          <w:sz w:val="32"/>
          <w:szCs w:val="32"/>
        </w:rPr>
        <w:t>九、机关运行经费支出说明</w:t>
      </w:r>
    </w:p>
    <w:p>
      <w:pPr>
        <w:pStyle w:val="20"/>
        <w:ind w:firstLine="640" w:firstLineChars="200"/>
        <w:rPr>
          <w:rFonts w:hint="eastAsia" w:asciiTheme="minorEastAsia" w:hAnsiTheme="minorEastAsia" w:eastAsiaTheme="minorEastAsia"/>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年度机关运行经费支出</w:t>
      </w:r>
      <w:r>
        <w:rPr>
          <w:rFonts w:hint="eastAsia" w:ascii="仿宋_GB2312" w:hAnsi="仿宋_GB2312" w:eastAsia="仿宋_GB2312" w:cs="仿宋_GB2312"/>
          <w:color w:val="auto"/>
          <w:sz w:val="32"/>
          <w:szCs w:val="32"/>
          <w:lang w:val="en-US" w:eastAsia="zh-CN"/>
        </w:rPr>
        <w:t>21.47</w:t>
      </w:r>
      <w:r>
        <w:rPr>
          <w:rFonts w:hint="eastAsia" w:ascii="仿宋_GB2312" w:hAnsi="仿宋_GB2312" w:eastAsia="仿宋_GB2312" w:cs="仿宋_GB2312"/>
          <w:color w:val="auto"/>
          <w:sz w:val="32"/>
          <w:szCs w:val="32"/>
        </w:rPr>
        <w:t>万元，比年初预算数减少</w:t>
      </w:r>
      <w:r>
        <w:rPr>
          <w:rFonts w:hint="eastAsia" w:ascii="仿宋_GB2312" w:hAnsi="仿宋_GB2312" w:eastAsia="仿宋_GB2312" w:cs="仿宋_GB2312"/>
          <w:color w:val="auto"/>
          <w:sz w:val="32"/>
          <w:szCs w:val="32"/>
          <w:lang w:val="en-US" w:eastAsia="zh-CN"/>
        </w:rPr>
        <w:t>22.61</w:t>
      </w:r>
      <w:r>
        <w:rPr>
          <w:rFonts w:hint="eastAsia" w:ascii="仿宋_GB2312" w:hAnsi="仿宋_GB2312" w:eastAsia="仿宋_GB2312" w:cs="仿宋_GB2312"/>
          <w:color w:val="auto"/>
          <w:sz w:val="32"/>
          <w:szCs w:val="32"/>
        </w:rPr>
        <w:t>万元，降低</w:t>
      </w:r>
      <w:r>
        <w:rPr>
          <w:rFonts w:hint="eastAsia" w:ascii="仿宋_GB2312" w:hAnsi="仿宋_GB2312" w:eastAsia="仿宋_GB2312" w:cs="仿宋_GB2312"/>
          <w:color w:val="auto"/>
          <w:sz w:val="32"/>
          <w:szCs w:val="32"/>
          <w:lang w:val="en-US" w:eastAsia="zh-CN"/>
        </w:rPr>
        <w:t>51.29</w:t>
      </w:r>
      <w:r>
        <w:rPr>
          <w:rFonts w:hint="eastAsia" w:ascii="仿宋_GB2312" w:hAnsi="仿宋_GB2312" w:eastAsia="仿宋_GB2312" w:cs="仿宋_GB2312"/>
          <w:color w:val="auto"/>
          <w:sz w:val="32"/>
          <w:szCs w:val="32"/>
        </w:rPr>
        <w:t>%。主要原因是：</w:t>
      </w:r>
      <w:r>
        <w:rPr>
          <w:rFonts w:ascii="仿宋_GB2312" w:hAnsi="Times New Roman" w:eastAsia="仿宋_GB2312" w:cs="Times New Roman"/>
          <w:color w:val="333333"/>
          <w:sz w:val="32"/>
          <w:szCs w:val="32"/>
        </w:rPr>
        <w:t>贯彻落实政府</w:t>
      </w:r>
      <w:r>
        <w:rPr>
          <w:rFonts w:ascii="Times New Roman" w:hAnsi="Times New Roman" w:eastAsia="仿宋_GB2312" w:cs="Times New Roman"/>
          <w:color w:val="333333"/>
          <w:sz w:val="32"/>
          <w:szCs w:val="32"/>
        </w:rPr>
        <w:t>“</w:t>
      </w:r>
      <w:r>
        <w:rPr>
          <w:rFonts w:ascii="仿宋_GB2312" w:hAnsi="Times New Roman" w:eastAsia="仿宋_GB2312" w:cs="Times New Roman"/>
          <w:color w:val="333333"/>
          <w:sz w:val="32"/>
          <w:szCs w:val="32"/>
        </w:rPr>
        <w:t>过紧日子</w:t>
      </w:r>
      <w:r>
        <w:rPr>
          <w:rFonts w:ascii="Times New Roman" w:hAnsi="Times New Roman" w:eastAsia="仿宋_GB2312" w:cs="Times New Roman"/>
          <w:color w:val="333333"/>
          <w:sz w:val="32"/>
          <w:szCs w:val="32"/>
        </w:rPr>
        <w:t>”</w:t>
      </w:r>
      <w:r>
        <w:rPr>
          <w:rFonts w:ascii="仿宋_GB2312" w:hAnsi="Times New Roman" w:eastAsia="仿宋_GB2312" w:cs="Times New Roman"/>
          <w:color w:val="333333"/>
          <w:sz w:val="32"/>
          <w:szCs w:val="32"/>
        </w:rPr>
        <w:t>，</w:t>
      </w:r>
      <w:r>
        <w:rPr>
          <w:rFonts w:hint="eastAsia" w:ascii="仿宋_GB2312" w:hAnsi="仿宋_GB2312" w:eastAsia="仿宋_GB2312" w:cs="仿宋_GB2312"/>
          <w:color w:val="auto"/>
          <w:sz w:val="32"/>
          <w:szCs w:val="32"/>
          <w:lang w:eastAsia="zh-CN"/>
        </w:rPr>
        <w:t>厉行节约，严格遵守财务规定，缩减部分开支。</w:t>
      </w:r>
    </w:p>
    <w:p>
      <w:pPr>
        <w:pStyle w:val="20"/>
        <w:ind w:firstLine="643" w:firstLineChars="200"/>
        <w:rPr>
          <w:rFonts w:hAnsi="黑体"/>
          <w:b/>
          <w:sz w:val="32"/>
          <w:szCs w:val="32"/>
        </w:rPr>
      </w:pPr>
      <w:r>
        <w:rPr>
          <w:rFonts w:hint="eastAsia" w:hAnsi="黑体"/>
          <w:b/>
          <w:sz w:val="32"/>
          <w:szCs w:val="32"/>
        </w:rPr>
        <w:t>十、一般性支出情况说明</w:t>
      </w:r>
    </w:p>
    <w:p>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开支会议费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u w:val="none"/>
        </w:rPr>
        <w:t>；</w:t>
      </w:r>
      <w:r>
        <w:rPr>
          <w:rFonts w:hint="eastAsia" w:ascii="仿宋_GB2312" w:hAnsi="仿宋" w:eastAsia="仿宋_GB2312"/>
          <w:sz w:val="32"/>
          <w:szCs w:val="32"/>
          <w:lang w:val="en-US" w:eastAsia="zh-CN"/>
        </w:rPr>
        <w:t>为做好疫情防控工作，我们对参加培训班的人员范围、数量和培训时间均做了相应调整，也减少了培训的次数</w:t>
      </w:r>
      <w:r>
        <w:rPr>
          <w:rFonts w:hint="eastAsia" w:ascii="仿宋_GB2312" w:hAnsi="仿宋" w:eastAsia="仿宋_GB2312"/>
          <w:sz w:val="32"/>
          <w:szCs w:val="32"/>
          <w:lang w:eastAsia="zh-CN"/>
        </w:rPr>
        <w:t>，年初培训费预算</w:t>
      </w:r>
      <w:r>
        <w:rPr>
          <w:rFonts w:hint="eastAsia" w:ascii="仿宋_GB2312" w:hAnsi="仿宋" w:eastAsia="仿宋_GB2312"/>
          <w:sz w:val="32"/>
          <w:szCs w:val="32"/>
          <w:lang w:val="en-US" w:eastAsia="zh-CN"/>
        </w:rPr>
        <w:t>15.50万元，实际</w:t>
      </w:r>
      <w:r>
        <w:rPr>
          <w:rFonts w:hint="eastAsia" w:ascii="仿宋_GB2312" w:hAnsi="仿宋_GB2312" w:eastAsia="仿宋_GB2312" w:cs="仿宋_GB2312"/>
          <w:color w:val="auto"/>
          <w:sz w:val="32"/>
          <w:szCs w:val="32"/>
          <w:u w:val="none"/>
        </w:rPr>
        <w:t>开支培训费</w:t>
      </w:r>
      <w:r>
        <w:rPr>
          <w:rFonts w:hint="eastAsia" w:ascii="仿宋_GB2312" w:hAnsi="仿宋_GB2312" w:eastAsia="仿宋_GB2312" w:cs="仿宋_GB2312"/>
          <w:color w:val="auto"/>
          <w:sz w:val="32"/>
          <w:szCs w:val="32"/>
          <w:u w:val="none"/>
          <w:lang w:val="en-US" w:eastAsia="zh-CN"/>
        </w:rPr>
        <w:t>13.96</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培训班的</w:t>
      </w:r>
      <w:r>
        <w:rPr>
          <w:rFonts w:hint="eastAsia" w:ascii="仿宋_GB2312" w:hAnsi="仿宋_GB2312" w:eastAsia="仿宋_GB2312" w:cs="仿宋_GB2312"/>
          <w:color w:val="auto"/>
          <w:sz w:val="32"/>
          <w:szCs w:val="32"/>
        </w:rPr>
        <w:t>内容为</w:t>
      </w:r>
      <w:r>
        <w:rPr>
          <w:rFonts w:hint="eastAsia" w:ascii="仿宋_GB2312" w:hAnsi="仿宋_GB2312" w:eastAsia="仿宋_GB2312" w:cs="仿宋_GB2312"/>
          <w:color w:val="auto"/>
          <w:sz w:val="32"/>
          <w:szCs w:val="32"/>
          <w:lang w:eastAsia="zh-CN"/>
        </w:rPr>
        <w:t>全省范围的价格认定</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eastAsia="zh-CN"/>
        </w:rPr>
        <w:t>未举办</w:t>
      </w:r>
      <w:r>
        <w:rPr>
          <w:rFonts w:hint="eastAsia" w:ascii="仿宋_GB2312" w:hAnsi="仿宋_GB2312" w:eastAsia="仿宋_GB2312" w:cs="仿宋_GB2312"/>
          <w:color w:val="auto"/>
          <w:sz w:val="32"/>
          <w:szCs w:val="32"/>
        </w:rPr>
        <w:t>节庆、晚会、论坛、赛事活动，开支</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Style w:val="20"/>
        <w:ind w:firstLine="643" w:firstLineChars="200"/>
        <w:rPr>
          <w:rFonts w:hAnsi="黑体"/>
          <w:b/>
          <w:sz w:val="32"/>
          <w:szCs w:val="32"/>
        </w:rPr>
      </w:pPr>
      <w:r>
        <w:rPr>
          <w:rFonts w:hint="eastAsia" w:hAnsi="黑体"/>
          <w:b/>
          <w:sz w:val="32"/>
          <w:szCs w:val="32"/>
        </w:rPr>
        <w:t>十一、政府采购支出说明</w:t>
      </w:r>
    </w:p>
    <w:p>
      <w:pPr>
        <w:pStyle w:val="20"/>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部门2021年度政府采购支出总额0万元，其中：政府采购货物支出0万元、政府采购工程支出0万元、政府采购服务支出0万元。授予中小企业合同金额0万元(由于支出总额为0，无法计算百分比)，其中：授予小微企业合同金额0万元(由于支出总额为0，无法计算百分比)；货物采购授予中小企业合同金额0万元(由于支出总额为0，无法计算百分比)，工程采购授予中小企业合同金额0万元(由于支出总额为0，无法计算百分比)，服务采购授予中小企业合同金额0万元(由于支出总额为0，无法计算百分比)。</w:t>
      </w:r>
    </w:p>
    <w:p>
      <w:pPr>
        <w:pStyle w:val="20"/>
        <w:ind w:firstLine="643" w:firstLineChars="200"/>
        <w:rPr>
          <w:rFonts w:hAnsi="黑体"/>
          <w:b/>
          <w:sz w:val="32"/>
          <w:szCs w:val="32"/>
        </w:rPr>
      </w:pPr>
      <w:r>
        <w:rPr>
          <w:rFonts w:hint="eastAsia" w:hAnsi="黑体"/>
          <w:b/>
          <w:sz w:val="32"/>
          <w:szCs w:val="32"/>
        </w:rPr>
        <w:t>十二、国有资产占用情况说明</w:t>
      </w:r>
    </w:p>
    <w:p>
      <w:pPr>
        <w:pStyle w:val="20"/>
        <w:ind w:firstLine="640" w:firstLineChars="200"/>
        <w:rPr>
          <w:rFonts w:hint="eastAsia" w:asciiTheme="minorEastAsia" w:hAnsiTheme="minorEastAsia" w:eastAsiaTheme="minorEastAsia"/>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年12月31日，本单位共有车辆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作为同城异地交通通勤车</w:t>
      </w:r>
      <w:r>
        <w:rPr>
          <w:rFonts w:hint="eastAsia" w:ascii="仿宋_GB2312" w:hAnsi="仿宋_GB2312" w:eastAsia="仿宋_GB2312" w:cs="仿宋_GB2312"/>
          <w:color w:val="auto"/>
          <w:sz w:val="32"/>
          <w:szCs w:val="32"/>
        </w:rPr>
        <w:t>；单位价值50万元以上通用设备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台（套）；单位价值100万元以上专用设备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20"/>
        <w:ind w:firstLine="643"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3" w:firstLineChars="200"/>
        <w:jc w:val="left"/>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20"/>
        <w:spacing w:line="596"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根据预算绩效管理要求，我</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组织对2021年度一般公共预算项目支出全面开展绩效自评，</w:t>
      </w:r>
      <w:r>
        <w:rPr>
          <w:rFonts w:hint="eastAsia" w:ascii="仿宋_GB2312" w:hAnsi="仿宋_GB2312" w:eastAsia="仿宋_GB2312" w:cs="仿宋_GB2312"/>
          <w:color w:val="auto"/>
          <w:sz w:val="32"/>
          <w:szCs w:val="32"/>
          <w:lang w:eastAsia="zh-CN"/>
        </w:rPr>
        <w:t>价格认证专项经费</w:t>
      </w:r>
      <w:r>
        <w:rPr>
          <w:rFonts w:hint="eastAsia" w:ascii="仿宋_GB2312" w:hAnsi="仿宋_GB2312" w:eastAsia="仿宋_GB2312" w:cs="仿宋_GB2312"/>
          <w:color w:val="auto"/>
          <w:sz w:val="32"/>
          <w:szCs w:val="32"/>
        </w:rPr>
        <w:t>共涉及资金</w:t>
      </w:r>
      <w:r>
        <w:rPr>
          <w:rFonts w:hint="eastAsia" w:ascii="仿宋_GB2312" w:hAnsi="仿宋_GB2312" w:eastAsia="仿宋_GB2312" w:cs="仿宋_GB2312"/>
          <w:color w:val="auto"/>
          <w:sz w:val="32"/>
          <w:szCs w:val="32"/>
          <w:lang w:val="en-US" w:eastAsia="zh-CN"/>
        </w:rPr>
        <w:t>30.63</w:t>
      </w:r>
      <w:r>
        <w:rPr>
          <w:rFonts w:hint="eastAsia" w:ascii="仿宋_GB2312" w:hAnsi="仿宋_GB2312" w:eastAsia="仿宋_GB2312" w:cs="仿宋_GB2312"/>
          <w:color w:val="auto"/>
          <w:sz w:val="32"/>
          <w:szCs w:val="32"/>
        </w:rPr>
        <w:t>万元，占一般公共预算项目支出总额的100%。我</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2021年度无政府性基金预算项目支出和国有资本经营预算项目支出。</w:t>
      </w:r>
    </w:p>
    <w:p>
      <w:pPr>
        <w:pStyle w:val="20"/>
        <w:spacing w:line="596" w:lineRule="exact"/>
        <w:ind w:firstLine="640" w:firstLineChars="200"/>
        <w:jc w:val="both"/>
        <w:rPr>
          <w:rFonts w:hint="eastAsia" w:ascii="仿宋_GB2312" w:hAnsi="仿宋_GB2312" w:eastAsia="仿宋_GB2312" w:cs="仿宋_GB2312"/>
          <w:color w:val="auto"/>
          <w:sz w:val="32"/>
          <w:szCs w:val="32"/>
        </w:rPr>
      </w:pPr>
      <w:r>
        <w:rPr>
          <w:rFonts w:ascii="仿宋_GB2312" w:hAnsi="Times New Roman" w:eastAsia="仿宋_GB2312" w:cs="仿宋_GB2312"/>
          <w:color w:val="000000"/>
          <w:kern w:val="0"/>
          <w:sz w:val="32"/>
          <w:szCs w:val="32"/>
          <w:shd w:val="clear" w:fill="FFFFFF"/>
        </w:rPr>
        <w:t>组织对</w:t>
      </w:r>
      <w:r>
        <w:rPr>
          <w:rFonts w:hint="eastAsia" w:ascii="仿宋_GB2312" w:hAnsi="仿宋_GB2312" w:eastAsia="仿宋_GB2312" w:cs="仿宋_GB2312"/>
          <w:sz w:val="32"/>
          <w:szCs w:val="32"/>
        </w:rPr>
        <w:t>“湖南省价格认证中心”等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个单位开展整体支出绩效评价，</w:t>
      </w:r>
      <w:r>
        <w:rPr>
          <w:rFonts w:hint="eastAsia" w:ascii="仿宋_GB2312" w:hAnsi="Times New Roman" w:eastAsia="仿宋_GB2312" w:cs="仿宋_GB2312"/>
          <w:color w:val="000000"/>
          <w:kern w:val="0"/>
          <w:sz w:val="32"/>
          <w:szCs w:val="32"/>
          <w:shd w:val="clear" w:fill="FFFFFF"/>
        </w:rPr>
        <w:t>涉及一般公共预算支出</w:t>
      </w:r>
      <w:r>
        <w:rPr>
          <w:rFonts w:hint="eastAsia" w:ascii="仿宋_GB2312" w:hAnsi="Times New Roman" w:eastAsia="仿宋_GB2312" w:cs="仿宋_GB2312"/>
          <w:color w:val="000000"/>
          <w:kern w:val="0"/>
          <w:sz w:val="32"/>
          <w:szCs w:val="32"/>
          <w:shd w:val="clear" w:fill="FFFFFF"/>
          <w:lang w:val="en-US" w:eastAsia="zh-CN"/>
        </w:rPr>
        <w:t>200.94</w:t>
      </w:r>
      <w:r>
        <w:rPr>
          <w:rFonts w:hint="eastAsia" w:ascii="仿宋_GB2312" w:hAnsi="Times New Roman" w:eastAsia="仿宋_GB2312" w:cs="仿宋_GB2312"/>
          <w:color w:val="000000"/>
          <w:kern w:val="0"/>
          <w:sz w:val="32"/>
          <w:szCs w:val="32"/>
          <w:shd w:val="clear" w:fill="FFFFFF"/>
        </w:rPr>
        <w:t>万元</w:t>
      </w:r>
      <w:r>
        <w:rPr>
          <w:rFonts w:hint="eastAsia" w:ascii="仿宋_GB2312" w:hAnsi="仿宋_GB2312" w:eastAsia="仿宋_GB2312" w:cs="仿宋_GB2312"/>
          <w:color w:val="auto"/>
          <w:sz w:val="32"/>
          <w:szCs w:val="32"/>
        </w:rPr>
        <w:t>，政府性基金预算支出0万元，国有资本经营预算支出0万元。从评价情况来看，</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整体支出全面履行了本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年度工作职责，基本完成年初预订的绩效目标，一是</w:t>
      </w:r>
      <w:r>
        <w:rPr>
          <w:rFonts w:hint="eastAsia" w:ascii="仿宋_GB2312" w:hAnsi="仿宋_GB2312" w:eastAsia="仿宋_GB2312" w:cs="仿宋_GB2312"/>
          <w:color w:val="auto"/>
          <w:sz w:val="32"/>
          <w:szCs w:val="32"/>
          <w:lang w:eastAsia="zh-CN"/>
        </w:rPr>
        <w:t>有力保障</w:t>
      </w:r>
      <w:r>
        <w:rPr>
          <w:rFonts w:hint="eastAsia" w:ascii="仿宋_GB2312" w:hAnsi="仿宋_GB2312" w:eastAsia="仿宋_GB2312" w:cs="仿宋_GB2312"/>
          <w:color w:val="auto"/>
          <w:sz w:val="32"/>
          <w:szCs w:val="32"/>
        </w:rPr>
        <w:t>了本单位日常运转；二是</w:t>
      </w:r>
      <w:r>
        <w:rPr>
          <w:rFonts w:hint="eastAsia" w:ascii="仿宋_GB2312" w:hAnsi="仿宋_GB2312" w:eastAsia="仿宋_GB2312" w:cs="仿宋_GB2312"/>
          <w:color w:val="auto"/>
          <w:sz w:val="32"/>
          <w:szCs w:val="32"/>
          <w:lang w:eastAsia="zh-CN"/>
        </w:rPr>
        <w:t>定期完成全省价格认定系统新进人员岗位培训及价格认定骨干人员继续教育培训；三是</w:t>
      </w:r>
      <w:r>
        <w:rPr>
          <w:rFonts w:hint="eastAsia" w:ascii="仿宋_GB2312" w:hAnsi="仿宋_GB2312" w:eastAsia="仿宋_GB2312" w:cs="仿宋_GB2312"/>
          <w:color w:val="auto"/>
          <w:sz w:val="32"/>
          <w:szCs w:val="32"/>
          <w:lang w:val="en-US" w:eastAsia="zh-CN"/>
        </w:rPr>
        <w:t>按时保质完成价格认定及复核工作</w:t>
      </w:r>
      <w:r>
        <w:rPr>
          <w:rFonts w:hint="eastAsia" w:ascii="仿宋_GB2312" w:hAnsi="仿宋_GB2312" w:eastAsia="仿宋_GB2312" w:cs="仿宋_GB2312"/>
          <w:color w:val="auto"/>
          <w:sz w:val="32"/>
          <w:szCs w:val="32"/>
        </w:rPr>
        <w:t>等全年各项任务。</w:t>
      </w:r>
    </w:p>
    <w:p>
      <w:pPr>
        <w:numPr>
          <w:ilvl w:val="0"/>
          <w:numId w:val="1"/>
        </w:numPr>
        <w:autoSpaceDE w:val="0"/>
        <w:autoSpaceDN w:val="0"/>
        <w:adjustRightInd w:val="0"/>
        <w:ind w:left="-13" w:leftChars="0" w:firstLine="643" w:firstLineChars="0"/>
        <w:jc w:val="left"/>
        <w:rPr>
          <w:rFonts w:hint="eastAsia" w:cs="黑体" w:asciiTheme="minorEastAsia" w:hAnsiTheme="minorEastAsia"/>
          <w:b/>
          <w:color w:val="auto"/>
          <w:kern w:val="0"/>
          <w:sz w:val="32"/>
          <w:szCs w:val="32"/>
        </w:rPr>
      </w:pPr>
      <w:r>
        <w:rPr>
          <w:rFonts w:hint="eastAsia" w:cs="黑体" w:asciiTheme="minorEastAsia" w:hAnsiTheme="minorEastAsia"/>
          <w:b/>
          <w:color w:val="auto"/>
          <w:kern w:val="0"/>
          <w:sz w:val="32"/>
          <w:szCs w:val="32"/>
        </w:rPr>
        <w:t>部门评价项目绩效评价结果。</w:t>
      </w:r>
    </w:p>
    <w:p>
      <w:pPr>
        <w:spacing w:line="520" w:lineRule="exact"/>
        <w:ind w:firstLine="640" w:firstLineChars="200"/>
        <w:rPr>
          <w:rFonts w:hint="eastAsia" w:ascii="微软雅黑" w:hAnsi="微软雅黑" w:eastAsia="微软雅黑" w:cs="微软雅黑"/>
          <w:sz w:val="32"/>
          <w:szCs w:val="32"/>
        </w:rPr>
      </w:pPr>
      <w:r>
        <w:rPr>
          <w:rFonts w:hint="eastAsia" w:ascii="仿宋_GB2312" w:hAnsi="仿宋_GB2312" w:eastAsia="仿宋_GB2312" w:cs="仿宋_GB2312"/>
          <w:color w:val="auto"/>
          <w:kern w:val="0"/>
          <w:sz w:val="32"/>
          <w:szCs w:val="32"/>
        </w:rPr>
        <w:t>根据年初设定的</w:t>
      </w:r>
      <w:r>
        <w:rPr>
          <w:rFonts w:hint="eastAsia" w:ascii="仿宋_GB2312" w:hAnsi="仿宋_GB2312" w:eastAsia="仿宋_GB2312" w:cs="仿宋_GB2312"/>
          <w:color w:val="auto"/>
          <w:kern w:val="0"/>
          <w:sz w:val="32"/>
          <w:szCs w:val="32"/>
          <w:lang w:eastAsia="zh-CN"/>
        </w:rPr>
        <w:t>绩效目标</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rPr>
        <w:t>绩效自评得分为</w:t>
      </w:r>
      <w:r>
        <w:rPr>
          <w:rFonts w:hint="eastAsia" w:ascii="仿宋_GB2312" w:hAnsi="仿宋_GB2312" w:eastAsia="仿宋_GB2312" w:cs="仿宋_GB2312"/>
          <w:color w:val="auto"/>
          <w:kern w:val="0"/>
          <w:sz w:val="32"/>
          <w:szCs w:val="32"/>
          <w:lang w:val="en-US" w:eastAsia="zh-CN"/>
        </w:rPr>
        <w:t>94.60</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kern w:val="0"/>
          <w:sz w:val="32"/>
          <w:szCs w:val="32"/>
          <w:lang w:val="en-US" w:eastAsia="zh-CN"/>
        </w:rPr>
        <w:t>2021年度本单位</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支出全年</w:t>
      </w:r>
      <w:r>
        <w:rPr>
          <w:rFonts w:hint="eastAsia" w:ascii="仿宋_GB2312" w:hAnsi="仿宋_GB2312" w:eastAsia="仿宋_GB2312" w:cs="仿宋_GB2312"/>
          <w:color w:val="auto"/>
          <w:kern w:val="0"/>
          <w:sz w:val="32"/>
          <w:szCs w:val="32"/>
        </w:rPr>
        <w:t>预算数为</w:t>
      </w:r>
      <w:r>
        <w:rPr>
          <w:rFonts w:hint="eastAsia" w:ascii="仿宋_GB2312" w:hAnsi="仿宋_GB2312" w:eastAsia="仿宋_GB2312" w:cs="仿宋_GB2312"/>
          <w:color w:val="auto"/>
          <w:kern w:val="0"/>
          <w:sz w:val="32"/>
          <w:szCs w:val="32"/>
          <w:lang w:val="en-US" w:eastAsia="zh-CN"/>
        </w:rPr>
        <w:t>46.38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（当年预算</w:t>
      </w:r>
      <w:r>
        <w:rPr>
          <w:rFonts w:hint="eastAsia" w:ascii="仿宋_GB2312" w:hAnsi="仿宋_GB2312" w:eastAsia="仿宋_GB2312" w:cs="仿宋_GB2312"/>
          <w:color w:val="auto"/>
          <w:kern w:val="0"/>
          <w:sz w:val="32"/>
          <w:szCs w:val="32"/>
          <w:lang w:val="en-US" w:eastAsia="zh-CN"/>
        </w:rPr>
        <w:t>37.50万元，上年实际结转指标8.88万元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决算支出</w:t>
      </w:r>
      <w:r>
        <w:rPr>
          <w:rFonts w:hint="eastAsia" w:ascii="仿宋_GB2312" w:hAnsi="仿宋_GB2312" w:eastAsia="仿宋_GB2312" w:cs="仿宋_GB2312"/>
          <w:color w:val="auto"/>
          <w:kern w:val="0"/>
          <w:sz w:val="32"/>
          <w:szCs w:val="32"/>
        </w:rPr>
        <w:t>数为</w:t>
      </w:r>
      <w:r>
        <w:rPr>
          <w:rFonts w:hint="eastAsia" w:ascii="仿宋_GB2312" w:hAnsi="仿宋_GB2312" w:eastAsia="仿宋_GB2312" w:cs="仿宋_GB2312"/>
          <w:color w:val="auto"/>
          <w:kern w:val="0"/>
          <w:sz w:val="32"/>
          <w:szCs w:val="32"/>
          <w:lang w:val="en-US" w:eastAsia="zh-CN"/>
        </w:rPr>
        <w:t>30.63</w:t>
      </w:r>
      <w:r>
        <w:rPr>
          <w:rFonts w:hint="eastAsia" w:ascii="仿宋_GB2312" w:hAnsi="仿宋_GB2312" w:eastAsia="仿宋_GB2312" w:cs="仿宋_GB2312"/>
          <w:color w:val="auto"/>
          <w:kern w:val="0"/>
          <w:sz w:val="32"/>
          <w:szCs w:val="32"/>
        </w:rPr>
        <w:t>万元，完成预算的</w:t>
      </w:r>
      <w:r>
        <w:rPr>
          <w:rFonts w:hint="eastAsia" w:ascii="仿宋_GB2312" w:hAnsi="仿宋_GB2312" w:eastAsia="仿宋_GB2312" w:cs="仿宋_GB2312"/>
          <w:color w:val="auto"/>
          <w:kern w:val="0"/>
          <w:sz w:val="32"/>
          <w:szCs w:val="32"/>
          <w:lang w:val="en-US" w:eastAsia="zh-CN"/>
        </w:rPr>
        <w:t>66.04</w:t>
      </w:r>
      <w:r>
        <w:rPr>
          <w:rFonts w:hint="eastAsia" w:ascii="仿宋_GB2312" w:hAnsi="仿宋_GB2312" w:eastAsia="仿宋_GB2312" w:cs="仿宋_GB2312"/>
          <w:color w:val="auto"/>
          <w:kern w:val="0"/>
          <w:sz w:val="32"/>
          <w:szCs w:val="32"/>
        </w:rPr>
        <w:t>%。项目绩效目标完成情况：</w:t>
      </w:r>
      <w:r>
        <w:rPr>
          <w:rFonts w:hint="eastAsia" w:ascii="仿宋_GB2312" w:hAnsi="仿宋_GB2312" w:eastAsia="仿宋_GB2312" w:cs="仿宋_GB2312"/>
          <w:color w:val="auto"/>
          <w:kern w:val="0"/>
          <w:sz w:val="32"/>
          <w:szCs w:val="32"/>
          <w:lang w:eastAsia="zh-CN"/>
        </w:rPr>
        <w:t>定期完成全省</w:t>
      </w:r>
      <w:r>
        <w:rPr>
          <w:rFonts w:hint="eastAsia" w:ascii="仿宋_GB2312" w:hAnsi="仿宋_GB2312" w:eastAsia="仿宋_GB2312" w:cs="仿宋_GB2312"/>
          <w:color w:val="auto"/>
          <w:kern w:val="0"/>
          <w:sz w:val="32"/>
          <w:szCs w:val="32"/>
          <w:lang w:val="en-US" w:eastAsia="zh-CN"/>
        </w:rPr>
        <w:t>2次培训；按照《湖南省涉案物价格鉴证管理条例》及国家发改委《价格认定规定》要求协助国家机关按时保质完成价格认定及复核工作。发现的主要问题及原因是2021年度项目预算执行率偏低，主要是</w:t>
      </w:r>
      <w:r>
        <w:rPr>
          <w:rFonts w:hint="eastAsia" w:ascii="仿宋_GB2312" w:hAnsi="仿宋_GB2312" w:eastAsia="仿宋_GB2312" w:cs="仿宋_GB2312"/>
          <w:sz w:val="32"/>
          <w:szCs w:val="32"/>
          <w:lang w:eastAsia="zh-CN"/>
        </w:rPr>
        <w:t>受疫情的影响，对工作范围和工作方式做了相应调整；业务指导工作由现场指导转变为以电话和线上指导为主</w:t>
      </w:r>
      <w:r>
        <w:rPr>
          <w:rFonts w:hint="eastAsia" w:ascii="仿宋_GB2312" w:hAnsi="仿宋_GB2312" w:eastAsia="仿宋_GB2312" w:cs="仿宋_GB2312"/>
          <w:sz w:val="32"/>
          <w:szCs w:val="32"/>
        </w:rPr>
        <w:t>。</w:t>
      </w:r>
      <w:r>
        <w:rPr>
          <w:rFonts w:hint="eastAsia" w:ascii="仿宋_GB2312" w:hAnsi="Times New Roman" w:eastAsia="仿宋_GB2312" w:cs="仿宋_GB2312"/>
          <w:color w:val="000000"/>
          <w:kern w:val="0"/>
          <w:sz w:val="32"/>
          <w:szCs w:val="32"/>
          <w:shd w:val="clear" w:fill="FFFFFF"/>
        </w:rPr>
        <w:t>下一步改进措施是增强预算资金配置精准性，进一步细化预算，提高预算的准确性和科学性</w:t>
      </w:r>
      <w:r>
        <w:rPr>
          <w:rFonts w:hint="eastAsia" w:ascii="仿宋_GB2312" w:hAnsi="Times New Roman" w:eastAsia="仿宋_GB2312" w:cs="仿宋_GB2312"/>
          <w:color w:val="000000"/>
          <w:kern w:val="0"/>
          <w:sz w:val="32"/>
          <w:szCs w:val="32"/>
          <w:shd w:val="clear" w:fill="FFFFFF"/>
          <w:lang w:eastAsia="zh-CN"/>
        </w:rPr>
        <w:t>；积极推进</w:t>
      </w:r>
      <w:r>
        <w:rPr>
          <w:rFonts w:hint="eastAsia" w:ascii="仿宋_GB2312" w:hAnsi="仿宋_GB2312" w:eastAsia="仿宋_GB2312" w:cs="仿宋_GB2312"/>
          <w:sz w:val="32"/>
          <w:szCs w:val="32"/>
          <w:lang w:eastAsia="zh-CN"/>
        </w:rPr>
        <w:t>立法调研、价格矛盾调解</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的开展，</w:t>
      </w:r>
      <w:r>
        <w:rPr>
          <w:rFonts w:hint="eastAsia" w:ascii="仿宋_GB2312" w:hAnsi="Times New Roman" w:eastAsia="仿宋_GB2312" w:cs="仿宋_GB2312"/>
          <w:color w:val="000000"/>
          <w:kern w:val="0"/>
          <w:sz w:val="32"/>
          <w:szCs w:val="32"/>
          <w:shd w:val="clear" w:fill="FFFFFF"/>
        </w:rPr>
        <w:t>强化预算执行进度管理。</w:t>
      </w:r>
    </w:p>
    <w:p>
      <w:pPr>
        <w:pStyle w:val="2"/>
        <w:rPr>
          <w:rFonts w:hint="eastAsia"/>
        </w:rPr>
      </w:pPr>
    </w:p>
    <w:p>
      <w:pPr>
        <w:pStyle w:val="20"/>
        <w:spacing w:line="596" w:lineRule="exact"/>
        <w:ind w:firstLine="640" w:firstLineChars="200"/>
        <w:jc w:val="both"/>
        <w:rPr>
          <w:rFonts w:hint="eastAsia" w:ascii="仿宋_GB2312" w:hAnsi="仿宋_GB2312" w:eastAsia="仿宋_GB2312" w:cs="仿宋_GB2312"/>
          <w:color w:val="FF0000"/>
          <w:sz w:val="32"/>
          <w:szCs w:val="32"/>
        </w:rPr>
      </w:pPr>
    </w:p>
    <w:p>
      <w:pPr>
        <w:autoSpaceDE w:val="0"/>
        <w:autoSpaceDN w:val="0"/>
        <w:adjustRightInd w:val="0"/>
        <w:ind w:firstLine="640" w:firstLineChars="200"/>
        <w:jc w:val="left"/>
        <w:rPr>
          <w:rFonts w:hint="eastAsia" w:cs="黑体" w:asciiTheme="minorEastAsia" w:hAnsiTheme="minorEastAsia"/>
          <w:color w:val="FF0000"/>
          <w:kern w:val="0"/>
          <w:sz w:val="32"/>
          <w:szCs w:val="32"/>
          <w:lang w:eastAsia="zh-CN"/>
        </w:rPr>
      </w:pPr>
    </w:p>
    <w:p>
      <w:pPr>
        <w:pStyle w:val="2"/>
        <w:rPr>
          <w:rFonts w:hint="eastAsia" w:cs="黑体" w:asciiTheme="minorEastAsia" w:hAnsiTheme="minorEastAsia"/>
          <w:b/>
          <w:color w:val="000000"/>
          <w:kern w:val="0"/>
          <w:sz w:val="32"/>
          <w:szCs w:val="32"/>
        </w:rPr>
      </w:pPr>
    </w:p>
    <w:p>
      <w:pPr>
        <w:pStyle w:val="2"/>
        <w:rPr>
          <w:rFonts w:hint="eastAsia" w:cs="黑体" w:asciiTheme="minorEastAsia" w:hAnsiTheme="minorEastAsia"/>
          <w:b/>
          <w:color w:val="000000"/>
          <w:kern w:val="0"/>
          <w:sz w:val="32"/>
          <w:szCs w:val="32"/>
        </w:rPr>
      </w:pP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p>
    <w:p>
      <w:pPr>
        <w:pStyle w:val="2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公共财政拨款收入：指中央及省级财政当年拨付的资金。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上级补助收入：指事业单位从主管部门和上级单位取得的非财政补助收入。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其他收入：指除“财政拨款收入”以外的收入。主要是上级单位拨款、重点项目前期协调工作经费及存款利息收入等。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项目支出：指在基本支出之外为完成特定行政任务和事业发展目标所发生的支出。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年初结转和结余：指以前年度尚未完成、结转到本年仍按原规定用途继续使用的资金，或项目已完成等产生的结余资金。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结余分配：指事业单位按照事业单位会计制度的规定从事业收入或经营收入中按规定提取的事业基金和职工福利基金。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年末结转和结余：指单位按有关规定结转到下年或以后年度继续使用的资金。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住房保障支出(类)住房改革支出(款)：反映行政事业单位用财政拨款资金和其他资金等安排的住房改革支出。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住房公积金(项)：反映行政事业单位按人社厅和财政厅相关规定的以基本工资和津贴补贴等构成的工资总额为基数，按规定比例为职工缴纳的住房公积金。 </w:t>
      </w:r>
    </w:p>
    <w:p>
      <w:pPr>
        <w:pStyle w:val="24"/>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pStyle w:val="20"/>
        <w:jc w:val="center"/>
        <w:rPr>
          <w:sz w:val="72"/>
          <w:szCs w:val="72"/>
        </w:rPr>
      </w:pPr>
      <w:r>
        <w:rPr>
          <w:rFonts w:ascii="黑体" w:eastAsia="黑体" w:cs="黑体"/>
          <w:color w:val="000000"/>
          <w:kern w:val="0"/>
          <w:sz w:val="70"/>
          <w:szCs w:val="70"/>
        </w:rPr>
        <w:br w:type="page"/>
      </w:r>
    </w:p>
    <w:p>
      <w:pPr>
        <w:spacing w:line="596" w:lineRule="exact"/>
        <w:rPr>
          <w:rFonts w:ascii="仿宋_GB2312" w:hAnsi="仿宋_GB2312" w:eastAsia="仿宋_GB2312" w:cs="仿宋_GB2312"/>
          <w:w w:val="98"/>
          <w:sz w:val="32"/>
          <w:szCs w:val="32"/>
        </w:rPr>
      </w:pPr>
    </w:p>
    <w:p>
      <w:pPr>
        <w:spacing w:line="596" w:lineRule="exact"/>
        <w:rPr>
          <w:rFonts w:hint="eastAsia" w:eastAsia="黑体"/>
          <w:kern w:val="0"/>
          <w:sz w:val="32"/>
          <w:szCs w:val="32"/>
        </w:rPr>
      </w:pPr>
    </w:p>
    <w:p>
      <w:pPr>
        <w:spacing w:line="596" w:lineRule="exact"/>
        <w:rPr>
          <w:rFonts w:eastAsia="黑体"/>
          <w:kern w:val="0"/>
          <w:sz w:val="32"/>
          <w:szCs w:val="32"/>
        </w:rPr>
      </w:pPr>
    </w:p>
    <w:p>
      <w:pPr>
        <w:spacing w:line="596" w:lineRule="exact"/>
        <w:jc w:val="center"/>
        <w:rPr>
          <w:rFonts w:hint="eastAsia" w:ascii="方正小标宋_GBK" w:hAnsi="方正小标宋_GBK" w:eastAsia="方正小标宋_GBK" w:cs="方正小标宋_GBK"/>
          <w:b/>
          <w:bCs/>
          <w:sz w:val="42"/>
          <w:szCs w:val="42"/>
        </w:rPr>
      </w:pPr>
      <w:r>
        <w:rPr>
          <w:rFonts w:hint="eastAsia" w:ascii="方正小标宋_GBK" w:hAnsi="方正小标宋_GBK" w:eastAsia="方正小标宋_GBK" w:cs="方正小标宋_GBK"/>
          <w:b/>
          <w:bCs/>
          <w:sz w:val="42"/>
          <w:szCs w:val="42"/>
        </w:rPr>
        <w:t>第五部分</w:t>
      </w:r>
    </w:p>
    <w:p>
      <w:pPr>
        <w:spacing w:line="596" w:lineRule="exact"/>
        <w:jc w:val="center"/>
        <w:rPr>
          <w:rFonts w:hint="eastAsia" w:ascii="方正小标宋_GBK" w:hAnsi="方正小标宋_GBK" w:eastAsia="方正小标宋_GBK" w:cs="方正小标宋_GBK"/>
          <w:b/>
          <w:bCs/>
          <w:sz w:val="42"/>
          <w:szCs w:val="42"/>
        </w:rPr>
      </w:pPr>
    </w:p>
    <w:p>
      <w:pPr>
        <w:spacing w:line="596" w:lineRule="exact"/>
        <w:jc w:val="center"/>
        <w:rPr>
          <w:rFonts w:hint="eastAsia" w:ascii="方正小标宋_GBK" w:hAnsi="方正小标宋_GBK" w:eastAsia="方正小标宋_GBK" w:cs="方正小标宋_GBK"/>
          <w:b/>
          <w:bCs/>
          <w:sz w:val="42"/>
          <w:szCs w:val="42"/>
          <w:lang w:eastAsia="zh-CN"/>
        </w:rPr>
      </w:pPr>
      <w:r>
        <w:rPr>
          <w:rFonts w:hint="eastAsia" w:ascii="方正小标宋_GBK" w:hAnsi="方正小标宋_GBK" w:eastAsia="方正小标宋_GBK" w:cs="方正小标宋_GBK"/>
          <w:b/>
          <w:bCs/>
          <w:sz w:val="42"/>
          <w:szCs w:val="42"/>
        </w:rPr>
        <w:t>2021年度湖南省</w:t>
      </w:r>
      <w:r>
        <w:rPr>
          <w:rFonts w:hint="eastAsia" w:ascii="方正小标宋_GBK" w:hAnsi="方正小标宋_GBK" w:eastAsia="方正小标宋_GBK" w:cs="方正小标宋_GBK"/>
          <w:b/>
          <w:bCs/>
          <w:sz w:val="42"/>
          <w:szCs w:val="42"/>
          <w:lang w:eastAsia="zh-CN"/>
        </w:rPr>
        <w:t>价格认证中心</w:t>
      </w:r>
    </w:p>
    <w:p>
      <w:pPr>
        <w:spacing w:line="596" w:lineRule="exact"/>
        <w:jc w:val="center"/>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b/>
          <w:bCs/>
          <w:sz w:val="42"/>
          <w:szCs w:val="42"/>
          <w:lang w:eastAsia="zh-CN"/>
        </w:rPr>
        <w:t>单位</w:t>
      </w:r>
      <w:r>
        <w:rPr>
          <w:rFonts w:hint="eastAsia" w:ascii="方正小标宋_GBK" w:hAnsi="方正小标宋_GBK" w:eastAsia="方正小标宋_GBK" w:cs="方正小标宋_GBK"/>
          <w:b/>
          <w:bCs/>
          <w:sz w:val="42"/>
          <w:szCs w:val="42"/>
        </w:rPr>
        <w:t>整体支出绩效自评报告</w:t>
      </w:r>
    </w:p>
    <w:p>
      <w:pPr>
        <w:spacing w:line="596" w:lineRule="exact"/>
        <w:jc w:val="center"/>
        <w:rPr>
          <w:rFonts w:eastAsia="楷体_GB2312"/>
          <w:b/>
          <w:sz w:val="32"/>
          <w:szCs w:val="32"/>
        </w:rPr>
      </w:pPr>
    </w:p>
    <w:p>
      <w:pPr>
        <w:spacing w:line="596" w:lineRule="exact"/>
        <w:rPr>
          <w:rFonts w:eastAsia="黑体"/>
          <w:sz w:val="32"/>
          <w:szCs w:val="32"/>
        </w:rPr>
      </w:pPr>
    </w:p>
    <w:p>
      <w:pPr>
        <w:spacing w:line="596" w:lineRule="exact"/>
        <w:rPr>
          <w:rFonts w:eastAsia="黑体"/>
          <w:sz w:val="32"/>
          <w:szCs w:val="32"/>
        </w:rPr>
      </w:pPr>
    </w:p>
    <w:p>
      <w:pPr>
        <w:spacing w:line="596" w:lineRule="exact"/>
        <w:jc w:val="center"/>
        <w:rPr>
          <w:rFonts w:eastAsia="黑体"/>
          <w:sz w:val="32"/>
          <w:szCs w:val="32"/>
        </w:rPr>
      </w:pPr>
    </w:p>
    <w:p>
      <w:pPr>
        <w:spacing w:line="596" w:lineRule="exact"/>
        <w:jc w:val="center"/>
        <w:rPr>
          <w:rFonts w:eastAsia="黑体"/>
          <w:sz w:val="32"/>
          <w:szCs w:val="32"/>
        </w:rPr>
      </w:pPr>
    </w:p>
    <w:p>
      <w:pPr>
        <w:spacing w:line="596" w:lineRule="exact"/>
        <w:jc w:val="center"/>
        <w:rPr>
          <w:rFonts w:eastAsia="黑体"/>
          <w:sz w:val="32"/>
          <w:szCs w:val="32"/>
        </w:rPr>
      </w:pPr>
    </w:p>
    <w:p>
      <w:pPr>
        <w:spacing w:line="596" w:lineRule="exact"/>
        <w:ind w:firstLine="880" w:firstLineChars="200"/>
        <w:jc w:val="center"/>
        <w:rPr>
          <w:rFonts w:eastAsia="黑体"/>
          <w:sz w:val="44"/>
          <w:szCs w:val="44"/>
        </w:rPr>
      </w:pPr>
    </w:p>
    <w:p>
      <w:pPr>
        <w:spacing w:line="596" w:lineRule="exact"/>
        <w:jc w:val="center"/>
        <w:rPr>
          <w:rFonts w:hint="eastAsia" w:eastAsia="黑体"/>
          <w:sz w:val="36"/>
          <w:szCs w:val="36"/>
        </w:rPr>
      </w:pPr>
    </w:p>
    <w:p>
      <w:pPr>
        <w:spacing w:line="596" w:lineRule="exact"/>
        <w:jc w:val="center"/>
        <w:rPr>
          <w:rFonts w:hint="eastAsia" w:eastAsia="黑体"/>
          <w:sz w:val="36"/>
          <w:szCs w:val="36"/>
        </w:rPr>
      </w:pPr>
    </w:p>
    <w:p>
      <w:pPr>
        <w:spacing w:line="596" w:lineRule="exact"/>
        <w:jc w:val="center"/>
        <w:rPr>
          <w:rFonts w:hint="eastAsia" w:eastAsia="黑体"/>
          <w:sz w:val="36"/>
          <w:szCs w:val="36"/>
          <w:lang w:eastAsia="zh-CN"/>
        </w:rPr>
      </w:pPr>
      <w:r>
        <w:rPr>
          <w:rFonts w:eastAsia="黑体"/>
          <w:sz w:val="36"/>
          <w:szCs w:val="36"/>
        </w:rPr>
        <w:t>单位名称：</w:t>
      </w:r>
      <w:r>
        <w:rPr>
          <w:rFonts w:hint="eastAsia" w:eastAsia="黑体"/>
          <w:sz w:val="36"/>
          <w:szCs w:val="36"/>
        </w:rPr>
        <w:t>湖南省</w:t>
      </w:r>
      <w:r>
        <w:rPr>
          <w:rFonts w:hint="eastAsia" w:eastAsia="黑体"/>
          <w:sz w:val="36"/>
          <w:szCs w:val="36"/>
          <w:lang w:eastAsia="zh-CN"/>
        </w:rPr>
        <w:t>价格认证中心</w:t>
      </w:r>
    </w:p>
    <w:p>
      <w:pPr>
        <w:spacing w:line="596" w:lineRule="exact"/>
        <w:jc w:val="center"/>
        <w:rPr>
          <w:rFonts w:eastAsia="黑体"/>
          <w:sz w:val="32"/>
          <w:szCs w:val="32"/>
        </w:rPr>
      </w:pPr>
    </w:p>
    <w:p>
      <w:pPr>
        <w:spacing w:line="596" w:lineRule="exact"/>
        <w:jc w:val="center"/>
        <w:rPr>
          <w:rFonts w:hint="eastAsia" w:eastAsia="黑体"/>
          <w:sz w:val="32"/>
          <w:szCs w:val="32"/>
        </w:rPr>
      </w:pPr>
      <w:r>
        <w:rPr>
          <w:rFonts w:hint="eastAsia" w:eastAsia="黑体"/>
          <w:sz w:val="32"/>
          <w:szCs w:val="32"/>
        </w:rPr>
        <w:t>二〇二二年五月</w:t>
      </w:r>
    </w:p>
    <w:p>
      <w:pPr>
        <w:spacing w:line="596" w:lineRule="exact"/>
        <w:jc w:val="center"/>
        <w:rPr>
          <w:rFonts w:eastAsia="仿宋_GB2312"/>
          <w:sz w:val="32"/>
          <w:szCs w:val="32"/>
        </w:rPr>
        <w:sectPr>
          <w:footerReference r:id="rId3" w:type="even"/>
          <w:pgSz w:w="11906" w:h="16838"/>
          <w:pgMar w:top="1871" w:right="1531" w:bottom="1531" w:left="1588" w:header="851" w:footer="992" w:gutter="0"/>
          <w:cols w:space="720" w:num="1"/>
          <w:titlePg/>
          <w:docGrid w:type="lines" w:linePitch="312" w:charSpace="0"/>
        </w:sectPr>
      </w:pPr>
    </w:p>
    <w:p>
      <w:pPr>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一、单位基本情况</w:t>
      </w:r>
    </w:p>
    <w:p>
      <w:pPr>
        <w:spacing w:line="520" w:lineRule="exact"/>
        <w:ind w:firstLine="640" w:firstLineChars="200"/>
        <w:rPr>
          <w:rFonts w:eastAsia="仿宋_GB2312"/>
          <w:color w:val="000000"/>
          <w:sz w:val="32"/>
          <w:szCs w:val="32"/>
        </w:rPr>
      </w:pPr>
      <w:r>
        <w:rPr>
          <w:rFonts w:hint="eastAsia" w:eastAsia="仿宋_GB2312"/>
          <w:color w:val="000000"/>
          <w:sz w:val="32"/>
          <w:szCs w:val="32"/>
        </w:rPr>
        <w:t>1、机构设置情况：</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湖南省价格认证中心于</w:t>
      </w:r>
      <w:r>
        <w:rPr>
          <w:rFonts w:ascii="仿宋_GB2312" w:hAnsi="宋体" w:eastAsia="仿宋_GB2312"/>
          <w:color w:val="000000"/>
          <w:sz w:val="32"/>
          <w:szCs w:val="32"/>
        </w:rPr>
        <w:t>2001</w:t>
      </w:r>
      <w:r>
        <w:rPr>
          <w:rFonts w:hint="eastAsia" w:ascii="仿宋_GB2312" w:hAnsi="宋体" w:eastAsia="仿宋_GB2312"/>
          <w:color w:val="000000"/>
          <w:sz w:val="32"/>
          <w:szCs w:val="32"/>
        </w:rPr>
        <w:t>年</w:t>
      </w:r>
      <w:r>
        <w:rPr>
          <w:rFonts w:ascii="仿宋_GB2312" w:hAnsi="宋体" w:eastAsia="仿宋_GB2312"/>
          <w:color w:val="000000"/>
          <w:sz w:val="32"/>
          <w:szCs w:val="32"/>
        </w:rPr>
        <w:t>6</w:t>
      </w:r>
      <w:r>
        <w:rPr>
          <w:rFonts w:hint="eastAsia" w:ascii="仿宋_GB2312" w:hAnsi="宋体" w:eastAsia="仿宋_GB2312"/>
          <w:color w:val="000000"/>
          <w:sz w:val="32"/>
          <w:szCs w:val="32"/>
        </w:rPr>
        <w:t>月经省编委湘编办函〔</w:t>
      </w:r>
      <w:r>
        <w:rPr>
          <w:rFonts w:ascii="仿宋_GB2312" w:hAnsi="宋体" w:eastAsia="仿宋_GB2312"/>
          <w:color w:val="000000"/>
          <w:sz w:val="32"/>
          <w:szCs w:val="32"/>
        </w:rPr>
        <w:t>2001</w:t>
      </w:r>
      <w:r>
        <w:rPr>
          <w:rFonts w:hint="eastAsia" w:ascii="仿宋_GB2312" w:hAnsi="宋体" w:eastAsia="仿宋_GB2312"/>
          <w:color w:val="000000"/>
          <w:sz w:val="32"/>
          <w:szCs w:val="32"/>
        </w:rPr>
        <w:t>〕</w:t>
      </w:r>
      <w:r>
        <w:rPr>
          <w:rFonts w:ascii="仿宋_GB2312" w:hAnsi="宋体" w:eastAsia="仿宋_GB2312"/>
          <w:color w:val="000000"/>
          <w:sz w:val="32"/>
          <w:szCs w:val="32"/>
        </w:rPr>
        <w:t>48</w:t>
      </w:r>
      <w:r>
        <w:rPr>
          <w:rFonts w:hint="eastAsia" w:ascii="仿宋_GB2312" w:hAnsi="宋体" w:eastAsia="仿宋_GB2312"/>
          <w:color w:val="000000"/>
          <w:sz w:val="32"/>
          <w:szCs w:val="32"/>
        </w:rPr>
        <w:t>号批复成立，现为湖南省发展和改革委员会直属公益一类事业单位。</w:t>
      </w:r>
    </w:p>
    <w:p>
      <w:pPr>
        <w:spacing w:line="520" w:lineRule="exact"/>
        <w:ind w:firstLine="640" w:firstLineChars="200"/>
        <w:rPr>
          <w:rFonts w:eastAsia="仿宋_GB2312"/>
          <w:color w:val="000000"/>
          <w:sz w:val="32"/>
          <w:szCs w:val="32"/>
        </w:rPr>
      </w:pPr>
      <w:r>
        <w:rPr>
          <w:rFonts w:hint="eastAsia" w:eastAsia="仿宋_GB2312"/>
          <w:color w:val="000000"/>
          <w:sz w:val="32"/>
          <w:szCs w:val="32"/>
        </w:rPr>
        <w:t>2、机构编制人员情况：</w:t>
      </w:r>
    </w:p>
    <w:p>
      <w:pPr>
        <w:spacing w:line="520" w:lineRule="exact"/>
        <w:ind w:firstLine="640" w:firstLineChars="200"/>
        <w:rPr>
          <w:rFonts w:eastAsia="仿宋_GB2312"/>
          <w:color w:val="000000"/>
          <w:sz w:val="32"/>
          <w:szCs w:val="32"/>
        </w:rPr>
      </w:pPr>
      <w:r>
        <w:rPr>
          <w:rFonts w:hint="eastAsia" w:eastAsia="仿宋_GB2312"/>
          <w:color w:val="000000"/>
          <w:sz w:val="32"/>
          <w:szCs w:val="32"/>
        </w:rPr>
        <w:t>省编委核定我中心全额拨款编制8人，其中在职人员8人，退休人员</w:t>
      </w:r>
      <w:r>
        <w:rPr>
          <w:rFonts w:eastAsia="仿宋_GB2312"/>
          <w:color w:val="000000"/>
          <w:sz w:val="32"/>
          <w:szCs w:val="32"/>
        </w:rPr>
        <w:t>2</w:t>
      </w:r>
      <w:r>
        <w:rPr>
          <w:rFonts w:hint="eastAsia" w:eastAsia="仿宋_GB2312"/>
          <w:color w:val="000000"/>
          <w:sz w:val="32"/>
          <w:szCs w:val="32"/>
        </w:rPr>
        <w:t>人，聘用人员</w:t>
      </w:r>
      <w:r>
        <w:rPr>
          <w:rFonts w:eastAsia="仿宋_GB2312"/>
          <w:color w:val="000000"/>
          <w:sz w:val="32"/>
          <w:szCs w:val="32"/>
        </w:rPr>
        <w:t>1</w:t>
      </w:r>
      <w:r>
        <w:rPr>
          <w:rFonts w:hint="eastAsia" w:eastAsia="仿宋_GB2312"/>
          <w:color w:val="000000"/>
          <w:sz w:val="32"/>
          <w:szCs w:val="32"/>
        </w:rPr>
        <w:t>人。</w:t>
      </w:r>
    </w:p>
    <w:p>
      <w:pPr>
        <w:spacing w:line="520" w:lineRule="exact"/>
        <w:ind w:firstLine="640" w:firstLineChars="200"/>
        <w:rPr>
          <w:rFonts w:eastAsia="仿宋_GB2312"/>
          <w:color w:val="000000"/>
          <w:sz w:val="32"/>
          <w:szCs w:val="32"/>
        </w:rPr>
      </w:pPr>
      <w:r>
        <w:rPr>
          <w:rFonts w:hint="eastAsia" w:eastAsia="仿宋_GB2312"/>
          <w:color w:val="000000"/>
          <w:sz w:val="32"/>
          <w:szCs w:val="32"/>
        </w:rPr>
        <w:t>3、部门职责：</w:t>
      </w:r>
    </w:p>
    <w:p>
      <w:pPr>
        <w:spacing w:line="520" w:lineRule="exact"/>
        <w:ind w:firstLine="640" w:firstLineChars="200"/>
        <w:rPr>
          <w:rFonts w:eastAsia="仿宋_GB2312"/>
          <w:color w:val="000000"/>
          <w:sz w:val="32"/>
          <w:szCs w:val="32"/>
        </w:rPr>
      </w:pPr>
      <w:r>
        <w:rPr>
          <w:rFonts w:hint="eastAsia" w:eastAsia="仿宋_GB2312"/>
          <w:color w:val="000000"/>
          <w:sz w:val="32"/>
          <w:szCs w:val="32"/>
        </w:rPr>
        <w:t>我中心主要是办理本省、自治区、直辖市纪律检查委员会、高级人民法院、人民检察院、人民政府各部门以及国务院垂直管理部门所属机构，直辖市中级人民法院、人民检察院提出的价格认定事项和本行政区域内的价格认定复核事项。</w:t>
      </w:r>
    </w:p>
    <w:p>
      <w:pPr>
        <w:pStyle w:val="23"/>
        <w:spacing w:line="596" w:lineRule="exact"/>
        <w:ind w:firstLine="64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二、一般公共预算支出情况</w:t>
      </w:r>
    </w:p>
    <w:p>
      <w:pPr>
        <w:pStyle w:val="23"/>
        <w:spacing w:line="596" w:lineRule="exact"/>
        <w:ind w:firstLine="643"/>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（一）基本支出情况</w:t>
      </w:r>
    </w:p>
    <w:p>
      <w:pPr>
        <w:pStyle w:val="23"/>
        <w:spacing w:line="596" w:lineRule="exact"/>
        <w:ind w:firstLine="640"/>
        <w:rPr>
          <w:rFonts w:eastAsia="楷体_GB2312"/>
          <w:b/>
          <w:color w:val="000000" w:themeColor="text1"/>
          <w:sz w:val="32"/>
          <w:szCs w:val="32"/>
          <w14:textFill>
            <w14:solidFill>
              <w14:schemeClr w14:val="tx1"/>
            </w14:solidFill>
          </w14:textFill>
        </w:rPr>
      </w:pPr>
      <w:r>
        <w:rPr>
          <w:rFonts w:eastAsia="仿宋_GB2312"/>
          <w:color w:val="000000"/>
          <w:sz w:val="32"/>
          <w:szCs w:val="32"/>
        </w:rPr>
        <w:t>20</w:t>
      </w:r>
      <w:r>
        <w:rPr>
          <w:rFonts w:hint="eastAsia" w:eastAsia="仿宋_GB2312"/>
          <w:color w:val="000000"/>
          <w:sz w:val="32"/>
          <w:szCs w:val="32"/>
        </w:rPr>
        <w:t>2</w:t>
      </w:r>
      <w:r>
        <w:rPr>
          <w:rFonts w:hint="eastAsia" w:eastAsia="仿宋_GB2312"/>
          <w:color w:val="000000"/>
          <w:sz w:val="32"/>
          <w:szCs w:val="32"/>
          <w:lang w:val="en-US" w:eastAsia="zh-CN"/>
        </w:rPr>
        <w:t>1</w:t>
      </w:r>
      <w:r>
        <w:rPr>
          <w:rFonts w:hint="eastAsia" w:eastAsia="仿宋_GB2312"/>
          <w:color w:val="000000"/>
          <w:sz w:val="32"/>
          <w:szCs w:val="32"/>
        </w:rPr>
        <w:t>年度我中心基本支出实际总支出为</w:t>
      </w:r>
      <w:r>
        <w:rPr>
          <w:rFonts w:hint="eastAsia" w:eastAsia="仿宋_GB2312"/>
          <w:color w:val="000000"/>
          <w:sz w:val="32"/>
          <w:szCs w:val="32"/>
          <w:lang w:val="en-US" w:eastAsia="zh-CN"/>
        </w:rPr>
        <w:t>170.31万</w:t>
      </w:r>
      <w:r>
        <w:rPr>
          <w:rFonts w:hint="eastAsia" w:eastAsia="仿宋_GB2312"/>
          <w:sz w:val="32"/>
          <w:szCs w:val="32"/>
        </w:rPr>
        <w:t>元。</w:t>
      </w:r>
    </w:p>
    <w:p>
      <w:pPr>
        <w:pStyle w:val="23"/>
        <w:spacing w:line="596" w:lineRule="exact"/>
        <w:ind w:firstLine="643"/>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（二）项目支出情况</w:t>
      </w:r>
    </w:p>
    <w:p>
      <w:pPr>
        <w:pStyle w:val="21"/>
        <w:widowControl/>
        <w:spacing w:line="600" w:lineRule="exact"/>
        <w:ind w:firstLine="640"/>
        <w:rPr>
          <w:rFonts w:hint="eastAsia" w:eastAsia="仿宋_GB2312"/>
          <w:color w:val="000000"/>
          <w:sz w:val="32"/>
          <w:szCs w:val="32"/>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1</w:t>
      </w:r>
      <w:r>
        <w:rPr>
          <w:rFonts w:hint="eastAsia" w:eastAsia="仿宋_GB2312"/>
          <w:sz w:val="32"/>
          <w:szCs w:val="32"/>
        </w:rPr>
        <w:t>年度我中心项目支出实际总支出为</w:t>
      </w:r>
      <w:r>
        <w:rPr>
          <w:rFonts w:hint="eastAsia" w:eastAsia="仿宋_GB2312"/>
          <w:sz w:val="32"/>
          <w:szCs w:val="32"/>
          <w:lang w:val="en-US" w:eastAsia="zh-CN"/>
        </w:rPr>
        <w:t>30.63万</w:t>
      </w:r>
      <w:r>
        <w:rPr>
          <w:rFonts w:hint="eastAsia" w:eastAsia="仿宋_GB2312"/>
          <w:color w:val="000000"/>
          <w:sz w:val="32"/>
          <w:szCs w:val="32"/>
        </w:rPr>
        <w:t>元。</w:t>
      </w:r>
    </w:p>
    <w:p>
      <w:pPr>
        <w:pStyle w:val="23"/>
        <w:spacing w:line="596" w:lineRule="exact"/>
        <w:ind w:firstLine="640"/>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三、政府性基金预算支出情况</w:t>
      </w:r>
    </w:p>
    <w:p>
      <w:pPr>
        <w:pStyle w:val="21"/>
        <w:widowControl/>
        <w:numPr>
          <w:ilvl w:val="0"/>
          <w:numId w:val="0"/>
        </w:numPr>
        <w:spacing w:line="600" w:lineRule="exact"/>
        <w:rPr>
          <w:rFonts w:hint="default" w:eastAsia="仿宋_GB2312"/>
          <w:color w:val="000000"/>
          <w:sz w:val="32"/>
          <w:szCs w:val="32"/>
          <w:lang w:val="en-US" w:eastAsia="zh-CN"/>
        </w:rPr>
      </w:pPr>
      <w:r>
        <w:rPr>
          <w:rFonts w:hint="eastAsia" w:eastAsia="仿宋_GB2312"/>
          <w:color w:val="000000"/>
          <w:sz w:val="32"/>
          <w:szCs w:val="32"/>
          <w:lang w:val="en-US" w:eastAsia="zh-CN"/>
        </w:rPr>
        <w:t xml:space="preserve">    我中心无政府性基金预算支出。</w:t>
      </w:r>
    </w:p>
    <w:p>
      <w:pPr>
        <w:pStyle w:val="23"/>
        <w:spacing w:line="596" w:lineRule="exact"/>
        <w:ind w:firstLine="640"/>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四、国有资本经营预算支出情况</w:t>
      </w:r>
    </w:p>
    <w:p>
      <w:pPr>
        <w:pStyle w:val="21"/>
        <w:widowControl/>
        <w:numPr>
          <w:ilvl w:val="0"/>
          <w:numId w:val="0"/>
        </w:numPr>
        <w:spacing w:line="600" w:lineRule="exact"/>
        <w:ind w:firstLine="640"/>
        <w:rPr>
          <w:rFonts w:hint="eastAsia" w:eastAsia="仿宋_GB2312"/>
          <w:color w:val="000000"/>
          <w:sz w:val="32"/>
          <w:szCs w:val="32"/>
          <w:lang w:eastAsia="zh-CN"/>
        </w:rPr>
      </w:pPr>
      <w:r>
        <w:rPr>
          <w:rFonts w:hint="eastAsia" w:eastAsia="仿宋_GB2312"/>
          <w:color w:val="000000"/>
          <w:sz w:val="32"/>
          <w:szCs w:val="32"/>
          <w:lang w:val="en-US" w:eastAsia="zh-CN"/>
        </w:rPr>
        <w:t>我中心无</w:t>
      </w:r>
      <w:r>
        <w:rPr>
          <w:rFonts w:hint="eastAsia" w:eastAsia="仿宋_GB2312"/>
          <w:color w:val="000000"/>
          <w:sz w:val="32"/>
          <w:szCs w:val="32"/>
          <w:lang w:eastAsia="zh-CN"/>
        </w:rPr>
        <w:t>国有资本经营预算支出。</w:t>
      </w:r>
    </w:p>
    <w:p>
      <w:pPr>
        <w:pStyle w:val="23"/>
        <w:spacing w:line="596" w:lineRule="exact"/>
        <w:ind w:firstLine="640"/>
        <w:rPr>
          <w:rFonts w:hint="eastAsia"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五、社会保险基金预算支出情况</w:t>
      </w:r>
    </w:p>
    <w:p>
      <w:pPr>
        <w:pStyle w:val="21"/>
        <w:widowControl/>
        <w:numPr>
          <w:ilvl w:val="0"/>
          <w:numId w:val="0"/>
        </w:numPr>
        <w:spacing w:line="600" w:lineRule="exact"/>
        <w:ind w:left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  我中心无社会保险基金预算支出。</w:t>
      </w:r>
    </w:p>
    <w:p>
      <w:pPr>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六、部门整体支出绩效情况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eastAsia="仿宋_GB2312"/>
          <w:sz w:val="32"/>
          <w:szCs w:val="32"/>
        </w:rPr>
        <w:t>202</w:t>
      </w:r>
      <w:r>
        <w:rPr>
          <w:rFonts w:hint="eastAsia" w:eastAsia="仿宋_GB2312"/>
          <w:sz w:val="32"/>
          <w:szCs w:val="32"/>
          <w:lang w:val="en-US" w:eastAsia="zh-CN"/>
        </w:rPr>
        <w:t>1</w:t>
      </w:r>
      <w:r>
        <w:rPr>
          <w:rFonts w:eastAsia="仿宋_GB2312"/>
          <w:sz w:val="32"/>
          <w:szCs w:val="32"/>
        </w:rPr>
        <w:t>年，湖南省价格认证中心</w:t>
      </w:r>
      <w:r>
        <w:rPr>
          <w:rFonts w:hint="eastAsia" w:ascii="仿宋_GB2312" w:eastAsia="仿宋_GB2312"/>
          <w:sz w:val="32"/>
          <w:szCs w:val="32"/>
        </w:rPr>
        <w:t>在省发改委党组的正确领导、国家发改委价格认证中心的关怀指导、省中心全体同仁的共同努力以及全省各级价格认证中心的支持配合下，以“管理、监督、指导、协调”为总体思路，结合工作实际认真履职，</w:t>
      </w:r>
      <w:r>
        <w:rPr>
          <w:rFonts w:hint="eastAsia" w:ascii="仿宋" w:hAnsi="仿宋" w:eastAsia="仿宋"/>
          <w:sz w:val="32"/>
          <w:szCs w:val="32"/>
        </w:rPr>
        <w:t>推动了全省价格认定工作高质量发展，有力保障了全省纪检监察、司法和行政工作的顺利进行。为维护党规党纪、维护司法公正、维护国家利益、维护经济发展秩序、维护社会和谐稳定大局，发挥了积极作用。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小标宋_GBK" w:eastAsia="方正小标宋_GBK"/>
          <w:sz w:val="32"/>
          <w:szCs w:val="32"/>
        </w:rPr>
      </w:pPr>
      <w:r>
        <w:rPr>
          <w:rFonts w:hint="eastAsia" w:ascii="仿宋" w:hAnsi="仿宋" w:eastAsia="仿宋"/>
          <w:sz w:val="32"/>
          <w:szCs w:val="32"/>
          <w:lang w:val="en-US" w:eastAsia="zh-CN"/>
        </w:rPr>
        <w:t>（</w:t>
      </w:r>
      <w:r>
        <w:rPr>
          <w:rFonts w:hint="eastAsia" w:ascii="方正小标宋_GBK" w:eastAsia="方正小标宋_GBK"/>
          <w:sz w:val="32"/>
          <w:szCs w:val="32"/>
        </w:rPr>
        <w:t>一</w:t>
      </w:r>
      <w:r>
        <w:rPr>
          <w:rFonts w:hint="eastAsia" w:ascii="方正小标宋_GBK" w:eastAsia="方正小标宋_GBK"/>
          <w:sz w:val="32"/>
          <w:szCs w:val="32"/>
          <w:lang w:eastAsia="zh-CN"/>
        </w:rPr>
        <w:t>）</w:t>
      </w:r>
      <w:r>
        <w:rPr>
          <w:rFonts w:hint="eastAsia" w:ascii="方正小标宋_GBK" w:eastAsia="方正小标宋_GBK"/>
          <w:sz w:val="32"/>
          <w:szCs w:val="32"/>
        </w:rPr>
        <w:t>强化理论武装，提高政治站位，充分发挥基层党组织战斗堡垒作用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以政治建设为统领，提高思想认识。</w:t>
      </w:r>
      <w:r>
        <w:rPr>
          <w:rFonts w:hint="eastAsia" w:ascii="仿宋_GB2312" w:eastAsia="仿宋_GB2312"/>
          <w:sz w:val="32"/>
          <w:szCs w:val="32"/>
        </w:rPr>
        <w:t>牢固树立学习理念，把学习党章党规、党的十九届</w:t>
      </w:r>
      <w:r>
        <w:rPr>
          <w:rFonts w:hint="eastAsia" w:eastAsia="仿宋_GB2312"/>
          <w:sz w:val="32"/>
          <w:szCs w:val="32"/>
        </w:rPr>
        <w:t>二中、</w:t>
      </w:r>
      <w:r>
        <w:rPr>
          <w:rFonts w:hint="eastAsia" w:ascii="仿宋_GB2312" w:eastAsia="仿宋_GB2312"/>
          <w:sz w:val="32"/>
          <w:szCs w:val="32"/>
        </w:rPr>
        <w:t>三中、四中、五中</w:t>
      </w:r>
      <w:r>
        <w:rPr>
          <w:rFonts w:hint="eastAsia" w:ascii="仿宋_GB2312" w:eastAsia="仿宋_GB2312"/>
          <w:sz w:val="32"/>
          <w:szCs w:val="32"/>
          <w:lang w:eastAsia="zh-CN"/>
        </w:rPr>
        <w:t>、六中</w:t>
      </w:r>
      <w:r>
        <w:rPr>
          <w:rFonts w:hint="eastAsia" w:ascii="仿宋_GB2312" w:eastAsia="仿宋_GB2312"/>
          <w:sz w:val="32"/>
          <w:szCs w:val="32"/>
        </w:rPr>
        <w:t>全会精神以及习近平总书记系列重要讲话放在首位，增强对党的理论深刻理解，提高政治素养和党性修养，着力解决好世界观、人生观、价值观这个“总开关”问题。增强中心理论学习的针对性、实效性，在提升理论素养上下</w:t>
      </w:r>
      <w:r>
        <w:rPr>
          <w:rFonts w:hint="eastAsia" w:ascii="仿宋_GB2312" w:eastAsia="仿宋_GB2312"/>
          <w:sz w:val="32"/>
          <w:szCs w:val="32"/>
          <w:lang w:eastAsia="zh-CN"/>
        </w:rPr>
        <w:t>功</w:t>
      </w:r>
      <w:bookmarkStart w:id="3" w:name="_GoBack"/>
      <w:bookmarkEnd w:id="3"/>
      <w:r>
        <w:rPr>
          <w:rFonts w:hint="eastAsia" w:ascii="仿宋_GB2312" w:eastAsia="仿宋_GB2312"/>
          <w:sz w:val="32"/>
          <w:szCs w:val="32"/>
        </w:rPr>
        <w:t>夫、在拓展知识视野上求突破、在推动工作发展上见实效。探索与中心工作相结合、突出中心特点的学习方法。牢固树立抓好党建是最大成绩、抓不好党建是失职、不抓党建是渎职的</w:t>
      </w:r>
      <w:r>
        <w:rPr>
          <w:rFonts w:hint="default" w:ascii="仿宋_GB2312" w:eastAsia="仿宋_GB2312"/>
          <w:sz w:val="32"/>
          <w:szCs w:val="32"/>
          <w:lang w:val="en"/>
        </w:rPr>
        <w:t>责任</w:t>
      </w:r>
      <w:r>
        <w:rPr>
          <w:rFonts w:hint="eastAsia" w:ascii="仿宋_GB2312" w:eastAsia="仿宋_GB2312"/>
          <w:sz w:val="32"/>
          <w:szCs w:val="32"/>
        </w:rPr>
        <w:t>意识，把党建工作与业务工作紧密结合，取得了突出效果。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深化理论学习，扎实开展党史学习教育。</w:t>
      </w:r>
      <w:r>
        <w:rPr>
          <w:rFonts w:hint="eastAsia" w:ascii="仿宋_GB2312" w:eastAsia="仿宋_GB2312"/>
          <w:sz w:val="32"/>
          <w:szCs w:val="32"/>
        </w:rPr>
        <w:t>中心党支部根据机关党委的部署要求，结合党员的实际情况，认真研究，周密安排。为充分调动党员学习的积极性、主动性，采取自学和集中交流学习相结合的方式，让每一位党员都有机会、有时间充分交流个人学习心得体会，取得了较好效果。通过学习《中国共产党简史》、《论中国共产党历史》、《毛泽东、邓小平、江泽民、胡锦涛关于中国共产党历史论述摘编》等原文原著，增强了中心党员干部的政治意识、大局意识、核心意识、看齐意识；学习习近平总书记在庆祝中国共产党成立一百周年大会上的重要讲话，增强了党员干部坚决维护习近平总书记党中央的核心、全党的核心地位，坚决维护党中央权威和集中统一领导的决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严肃党内生活，加强队伍建设。</w:t>
      </w:r>
      <w:r>
        <w:rPr>
          <w:rFonts w:hint="eastAsia" w:ascii="仿宋_GB2312" w:eastAsia="仿宋_GB2312"/>
          <w:sz w:val="32"/>
          <w:szCs w:val="32"/>
        </w:rPr>
        <w:t>近年来，我</w:t>
      </w:r>
      <w:r>
        <w:rPr>
          <w:rFonts w:hint="eastAsia" w:ascii="仿宋_GB2312" w:eastAsia="仿宋_GB2312"/>
          <w:sz w:val="32"/>
          <w:szCs w:val="32"/>
          <w:lang w:eastAsia="zh-CN"/>
        </w:rPr>
        <w:t>中心</w:t>
      </w:r>
      <w:r>
        <w:rPr>
          <w:rFonts w:hint="eastAsia" w:ascii="仿宋_GB2312" w:eastAsia="仿宋_GB2312"/>
          <w:sz w:val="32"/>
          <w:szCs w:val="32"/>
        </w:rPr>
        <w:t>不断加强党支部的自身建设，增强了党支部的战斗力、凝聚力，提高了党组织在群众中的威望。支部坚持“三会一课”制度，保证党务与业务不分离，做到支部党建工作与中心业务工作一体研究、部署、落实，两手抓、两手硬、两促进。在组织生活中坚持由专人负责会议记录，专本专用、严肃认真、完整清晰，保证组织生活的规范。认真执行民主集中制，重要的党建和业务工作都由支部大会、支委会研究决定，中心重要制度的制定都在充分征求每位党员干部意见的基础上再集体讨论决定，充分发挥党员主体作用。规范和严格民主生活会，中心领导认真同党员干部面对面谈心谈话，既谈工作问题、也谈思想问题，既谈自身差距、也提醒对方不足。严肃认真深入开展批评与自我批评，坚持“红红脸”、“出出汗”，防止蜻蜓点水，使批评与自我批评成为坚持真理、修正错误、解决自身存在问题的抓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落实主体责任，廉政工作扎实推进。</w:t>
      </w:r>
      <w:r>
        <w:rPr>
          <w:rFonts w:hint="eastAsia" w:ascii="仿宋_GB2312" w:eastAsia="仿宋_GB2312"/>
          <w:sz w:val="32"/>
          <w:szCs w:val="32"/>
        </w:rPr>
        <w:t>为了加大对反腐败斗争的力度，杜绝不良风气对我中心的侵蚀，中心严格落实“中央八项规定”；严禁弄虚作假、虚报浮夸，搞脱离实际的“政绩工程”；严禁公车私用；严禁利用公款大吃大喝，高消费娱乐，旅游和庆典活动；严禁党员干部对婚丧事宜大操大办。坚持开展谈心谈话制度，坚持“三个必谈”，即群众有反映时必谈、岗位调整时必谈、个人发生重大事项时必谈。通过谈话，对党员干部进行及时有效的提醒、帮助、批评和教育，做到警钟长鸣，</w:t>
      </w:r>
      <w:r>
        <w:rPr>
          <w:rFonts w:hint="eastAsia" w:ascii="仿宋_GB2312" w:eastAsia="仿宋_GB2312"/>
          <w:sz w:val="32"/>
          <w:szCs w:val="32"/>
          <w:lang w:eastAsia="zh-CN"/>
        </w:rPr>
        <w:t>防患于未然</w:t>
      </w:r>
      <w:r>
        <w:rPr>
          <w:rFonts w:hint="eastAsia" w:ascii="仿宋_GB2312" w:eastAsia="仿宋_GB2312"/>
          <w:sz w:val="32"/>
          <w:szCs w:val="32"/>
        </w:rPr>
        <w:t>。进一步加强廉政风险防控，把廉政风险防范与岗位职责紧密结合，对单位和个人风险防控进行梳理，切实找准单位和个人在岗位职责、业务流程、制度机制和外部环境等方面可能出现腐败的风险点，将廉政风险防范管理要求嵌入到具体业务工作环节中，与廉政谈话、个人重大事项报告、民主生活会、述职述廉等紧密结合起来。强化干部管理，严格上下班纪律，离岗请假制度；严格监督干部日常工作状态，坚决杜绝“不作为、乱作为”现象发生；认真落实“首问负责、限时办结、服务承诺、责任追究”四项制度，坚决杜绝“门难进、脸难看、事难办”现象，切实提高服务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小标宋_GBK" w:eastAsia="方正小标宋_GBK"/>
          <w:sz w:val="32"/>
          <w:szCs w:val="32"/>
        </w:rPr>
      </w:pPr>
      <w:r>
        <w:rPr>
          <w:rFonts w:hint="eastAsia" w:ascii="方正小标宋_GBK" w:eastAsia="方正小标宋_GBK"/>
          <w:sz w:val="32"/>
          <w:szCs w:val="32"/>
          <w:lang w:eastAsia="zh-CN"/>
        </w:rPr>
        <w:t>（</w:t>
      </w:r>
      <w:r>
        <w:rPr>
          <w:rFonts w:hint="eastAsia" w:ascii="方正小标宋_GBK" w:eastAsia="方正小标宋_GBK"/>
          <w:sz w:val="32"/>
          <w:szCs w:val="32"/>
        </w:rPr>
        <w:t>二</w:t>
      </w:r>
      <w:r>
        <w:rPr>
          <w:rFonts w:hint="eastAsia" w:ascii="方正小标宋_GBK" w:eastAsia="方正小标宋_GBK"/>
          <w:sz w:val="32"/>
          <w:szCs w:val="32"/>
          <w:lang w:eastAsia="zh-CN"/>
        </w:rPr>
        <w:t>）</w:t>
      </w:r>
      <w:r>
        <w:rPr>
          <w:rFonts w:hint="eastAsia" w:ascii="方正小标宋_GBK" w:eastAsia="方正小标宋_GBK"/>
          <w:sz w:val="32"/>
          <w:szCs w:val="32"/>
        </w:rPr>
        <w:t>以</w:t>
      </w:r>
      <w:r>
        <w:rPr>
          <w:rFonts w:hint="default" w:ascii="方正小标宋_GBK" w:eastAsia="方正小标宋_GBK"/>
          <w:sz w:val="32"/>
          <w:szCs w:val="32"/>
          <w:lang w:val="en"/>
        </w:rPr>
        <w:t>习近平新时代中国特色社会主义思想</w:t>
      </w:r>
      <w:r>
        <w:rPr>
          <w:rFonts w:hint="eastAsia" w:ascii="方正小标宋_GBK" w:eastAsia="方正小标宋_GBK"/>
          <w:sz w:val="32"/>
          <w:szCs w:val="32"/>
        </w:rPr>
        <w:t>为统领，强化责任担当，高质量推进我省价格认定工作有序开展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color w:val="FF0000"/>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调整业务重心，中心党务业务工作相互促进。</w:t>
      </w:r>
      <w:r>
        <w:rPr>
          <w:rFonts w:hint="eastAsia" w:ascii="仿宋_GB2312" w:eastAsia="仿宋_GB2312"/>
          <w:sz w:val="32"/>
          <w:szCs w:val="32"/>
        </w:rPr>
        <w:t>按照全面从严治党、全面依法治国的总要求，提升涉纪检监察、涉刑事案件价格认定工作及复核工作质量。</w:t>
      </w:r>
      <w:r>
        <w:rPr>
          <w:rFonts w:hint="eastAsia" w:ascii="仿宋_GB2312" w:eastAsia="仿宋_GB2312"/>
          <w:color w:val="auto"/>
          <w:sz w:val="32"/>
          <w:szCs w:val="32"/>
          <w:lang w:val="en" w:eastAsia="zh-CN"/>
        </w:rPr>
        <w:t>本年度</w:t>
      </w:r>
      <w:r>
        <w:rPr>
          <w:rFonts w:hint="default" w:ascii="仿宋_GB2312" w:eastAsia="仿宋_GB2312"/>
          <w:color w:val="auto"/>
          <w:sz w:val="32"/>
          <w:szCs w:val="32"/>
          <w:lang w:val="en"/>
        </w:rPr>
        <w:t>，</w:t>
      </w:r>
      <w:r>
        <w:rPr>
          <w:rFonts w:hint="eastAsia" w:ascii="仿宋_GB2312" w:eastAsia="仿宋_GB2312"/>
          <w:color w:val="auto"/>
          <w:sz w:val="32"/>
          <w:szCs w:val="32"/>
          <w:lang w:eastAsia="zh-CN"/>
        </w:rPr>
        <w:t>我</w:t>
      </w:r>
      <w:r>
        <w:rPr>
          <w:rFonts w:hint="eastAsia" w:ascii="仿宋_GB2312" w:eastAsia="仿宋_GB2312"/>
          <w:color w:val="auto"/>
          <w:sz w:val="32"/>
          <w:szCs w:val="32"/>
        </w:rPr>
        <w:t>中心直接受理和指导</w:t>
      </w:r>
      <w:r>
        <w:rPr>
          <w:rFonts w:hint="eastAsia" w:ascii="仿宋_GB2312" w:eastAsia="仿宋_GB2312"/>
          <w:color w:val="auto"/>
          <w:sz w:val="32"/>
          <w:szCs w:val="32"/>
          <w:lang w:eastAsia="zh-CN"/>
        </w:rPr>
        <w:t>全省各级价格认定机构</w:t>
      </w:r>
      <w:r>
        <w:rPr>
          <w:rFonts w:hint="eastAsia" w:ascii="仿宋_GB2312" w:eastAsia="仿宋_GB2312"/>
          <w:color w:val="auto"/>
          <w:sz w:val="32"/>
          <w:szCs w:val="32"/>
        </w:rPr>
        <w:t>优质</w:t>
      </w:r>
      <w:r>
        <w:rPr>
          <w:rFonts w:hint="eastAsia" w:ascii="仿宋_GB2312" w:eastAsia="仿宋_GB2312"/>
          <w:color w:val="auto"/>
          <w:sz w:val="32"/>
          <w:szCs w:val="32"/>
          <w:lang w:eastAsia="zh-CN"/>
        </w:rPr>
        <w:t>、</w:t>
      </w:r>
      <w:r>
        <w:rPr>
          <w:rFonts w:hint="eastAsia" w:ascii="仿宋_GB2312" w:eastAsia="仿宋_GB2312"/>
          <w:color w:val="auto"/>
          <w:sz w:val="32"/>
          <w:szCs w:val="32"/>
        </w:rPr>
        <w:t>高效完成涉纪检监察、涉刑事案件价格认定</w:t>
      </w:r>
      <w:r>
        <w:rPr>
          <w:rFonts w:hint="eastAsia" w:ascii="仿宋_GB2312" w:hAnsi="仿宋_GB2312" w:eastAsia="仿宋_GB2312" w:cs="仿宋_GB2312"/>
          <w:color w:val="auto"/>
          <w:sz w:val="32"/>
          <w:szCs w:val="32"/>
          <w:lang w:val="en-US" w:eastAsia="zh-CN"/>
        </w:rPr>
        <w:t>16771</w:t>
      </w:r>
      <w:r>
        <w:rPr>
          <w:rFonts w:ascii="仿宋_GB2312" w:eastAsia="仿宋_GB2312"/>
          <w:color w:val="auto"/>
          <w:sz w:val="32"/>
          <w:szCs w:val="32"/>
        </w:rPr>
        <w:t>起，价格认定金额</w:t>
      </w:r>
      <w:r>
        <w:rPr>
          <w:rFonts w:hint="eastAsia" w:ascii="仿宋_GB2312" w:hAnsi="仿宋_GB2312" w:eastAsia="仿宋_GB2312" w:cs="仿宋_GB2312"/>
          <w:color w:val="auto"/>
          <w:sz w:val="32"/>
          <w:szCs w:val="32"/>
          <w:lang w:val="en-US" w:eastAsia="zh-CN"/>
        </w:rPr>
        <w:t>158412.71</w:t>
      </w:r>
      <w:r>
        <w:rPr>
          <w:rFonts w:ascii="仿宋_GB2312" w:eastAsia="仿宋_GB2312"/>
          <w:color w:val="auto"/>
          <w:sz w:val="32"/>
          <w:szCs w:val="32"/>
        </w:rPr>
        <w:t>万元，</w:t>
      </w:r>
      <w:r>
        <w:rPr>
          <w:rFonts w:hint="eastAsia" w:ascii="仿宋_GB2312" w:eastAsia="仿宋_GB2312"/>
          <w:sz w:val="32"/>
          <w:szCs w:val="32"/>
        </w:rPr>
        <w:t>有力保障了全省纪检监察和司法工作的顺利进行。</w:t>
      </w:r>
      <w:r>
        <w:rPr>
          <w:rFonts w:hint="eastAsia" w:ascii="仿宋_GB2312" w:eastAsia="仿宋_GB2312"/>
          <w:color w:val="auto"/>
          <w:sz w:val="32"/>
          <w:szCs w:val="32"/>
        </w:rPr>
        <w:t>我中心协助配合中纪委国家监委、省纪委省监委查</w:t>
      </w:r>
      <w:r>
        <w:rPr>
          <w:rFonts w:hint="eastAsia" w:ascii="仿宋_GB2312" w:eastAsia="仿宋_GB2312"/>
          <w:color w:val="auto"/>
          <w:sz w:val="32"/>
          <w:szCs w:val="32"/>
          <w:lang w:eastAsia="zh-CN"/>
        </w:rPr>
        <w:t>处</w:t>
      </w:r>
      <w:r>
        <w:rPr>
          <w:rFonts w:hint="eastAsia" w:ascii="仿宋_GB2312" w:eastAsia="仿宋_GB2312"/>
          <w:color w:val="auto"/>
          <w:sz w:val="32"/>
          <w:szCs w:val="32"/>
        </w:rPr>
        <w:t>大</w:t>
      </w:r>
      <w:r>
        <w:rPr>
          <w:rFonts w:hint="eastAsia" w:ascii="仿宋_GB2312" w:eastAsia="仿宋_GB2312"/>
          <w:color w:val="auto"/>
          <w:sz w:val="32"/>
          <w:szCs w:val="32"/>
          <w:lang w:eastAsia="zh-CN"/>
        </w:rPr>
        <w:t>案</w:t>
      </w:r>
      <w:r>
        <w:rPr>
          <w:rFonts w:hint="eastAsia" w:ascii="仿宋_GB2312" w:eastAsia="仿宋_GB2312"/>
          <w:color w:val="auto"/>
          <w:sz w:val="32"/>
          <w:szCs w:val="32"/>
        </w:rPr>
        <w:t>要案，先后</w:t>
      </w:r>
      <w:r>
        <w:rPr>
          <w:rFonts w:hint="eastAsia" w:ascii="仿宋_GB2312" w:eastAsia="仿宋_GB2312"/>
          <w:color w:val="auto"/>
          <w:sz w:val="32"/>
          <w:szCs w:val="32"/>
          <w:lang w:eastAsia="zh-CN"/>
        </w:rPr>
        <w:t>受理喻湘</w:t>
      </w:r>
      <w:r>
        <w:rPr>
          <w:rFonts w:hint="eastAsia" w:ascii="仿宋_GB2312" w:eastAsia="仿宋_GB2312"/>
          <w:color w:val="auto"/>
          <w:sz w:val="32"/>
          <w:szCs w:val="32"/>
        </w:rPr>
        <w:t>案、</w:t>
      </w:r>
      <w:r>
        <w:rPr>
          <w:rFonts w:hint="eastAsia" w:ascii="仿宋_GB2312" w:eastAsia="仿宋_GB2312"/>
          <w:color w:val="auto"/>
          <w:sz w:val="32"/>
          <w:szCs w:val="32"/>
          <w:lang w:eastAsia="zh-CN"/>
        </w:rPr>
        <w:t>张贺文</w:t>
      </w:r>
      <w:r>
        <w:rPr>
          <w:rFonts w:hint="eastAsia" w:ascii="仿宋_GB2312" w:eastAsia="仿宋_GB2312"/>
          <w:color w:val="auto"/>
          <w:sz w:val="32"/>
          <w:szCs w:val="32"/>
        </w:rPr>
        <w:t>案</w:t>
      </w:r>
      <w:r>
        <w:rPr>
          <w:rFonts w:hint="eastAsia" w:ascii="仿宋_GB2312" w:eastAsia="仿宋_GB2312"/>
          <w:color w:val="auto"/>
          <w:sz w:val="32"/>
          <w:szCs w:val="32"/>
          <w:lang w:eastAsia="zh-CN"/>
        </w:rPr>
        <w:t>、廖炎秋案、包昌林案、陈书山案、周立夫案、刘建宽案</w:t>
      </w:r>
      <w:r>
        <w:rPr>
          <w:rFonts w:hint="eastAsia" w:ascii="仿宋_GB2312" w:eastAsia="仿宋_GB2312"/>
          <w:color w:val="auto"/>
          <w:sz w:val="32"/>
          <w:szCs w:val="32"/>
        </w:rPr>
        <w:t>等重大违纪案件</w:t>
      </w:r>
      <w:r>
        <w:rPr>
          <w:rFonts w:hint="default" w:ascii="仿宋_GB2312" w:eastAsia="仿宋_GB2312"/>
          <w:color w:val="auto"/>
          <w:sz w:val="32"/>
          <w:szCs w:val="32"/>
          <w:lang w:val="en"/>
        </w:rPr>
        <w:t>的</w:t>
      </w:r>
      <w:r>
        <w:rPr>
          <w:rFonts w:hint="eastAsia" w:ascii="仿宋_GB2312" w:eastAsia="仿宋_GB2312"/>
          <w:color w:val="auto"/>
          <w:sz w:val="32"/>
          <w:szCs w:val="32"/>
          <w:lang w:val="en" w:eastAsia="zh-CN"/>
        </w:rPr>
        <w:t>价格认定协助申请，</w:t>
      </w:r>
      <w:r>
        <w:rPr>
          <w:rFonts w:hint="eastAsia" w:ascii="仿宋_GB2312" w:eastAsia="仿宋_GB2312"/>
          <w:color w:val="auto"/>
          <w:sz w:val="32"/>
          <w:szCs w:val="32"/>
          <w:lang w:eastAsia="zh-CN"/>
        </w:rPr>
        <w:t>认定涉案金额共计</w:t>
      </w:r>
      <w:r>
        <w:rPr>
          <w:rFonts w:hint="eastAsia" w:ascii="仿宋_GB2312" w:eastAsia="仿宋_GB2312"/>
          <w:color w:val="auto"/>
          <w:sz w:val="32"/>
          <w:szCs w:val="32"/>
          <w:lang w:val="en-US" w:eastAsia="zh-CN"/>
        </w:rPr>
        <w:t>4838</w:t>
      </w:r>
      <w:r>
        <w:rPr>
          <w:rFonts w:hint="default" w:ascii="仿宋_GB2312" w:eastAsia="仿宋_GB2312"/>
          <w:color w:val="auto"/>
          <w:sz w:val="32"/>
          <w:szCs w:val="32"/>
          <w:lang w:val="en" w:eastAsia="zh-CN"/>
        </w:rPr>
        <w:t>.</w:t>
      </w:r>
      <w:r>
        <w:rPr>
          <w:rFonts w:hint="eastAsia" w:ascii="仿宋_GB2312" w:eastAsia="仿宋_GB2312"/>
          <w:color w:val="auto"/>
          <w:sz w:val="32"/>
          <w:szCs w:val="32"/>
          <w:lang w:val="en-US" w:eastAsia="zh-CN"/>
        </w:rPr>
        <w:t>734</w:t>
      </w:r>
      <w:r>
        <w:rPr>
          <w:rFonts w:hint="default" w:ascii="仿宋_GB2312" w:eastAsia="仿宋_GB2312"/>
          <w:color w:val="auto"/>
          <w:sz w:val="32"/>
          <w:szCs w:val="32"/>
          <w:lang w:val="en" w:eastAsia="zh-CN"/>
        </w:rPr>
        <w:t>万</w:t>
      </w:r>
      <w:r>
        <w:rPr>
          <w:rFonts w:hint="eastAsia" w:ascii="仿宋_GB2312" w:eastAsia="仿宋_GB2312"/>
          <w:color w:val="auto"/>
          <w:sz w:val="32"/>
          <w:szCs w:val="32"/>
          <w:lang w:val="en-US" w:eastAsia="zh-CN"/>
        </w:rPr>
        <w:t>元</w:t>
      </w:r>
      <w:r>
        <w:rPr>
          <w:rFonts w:hint="eastAsia" w:ascii="仿宋_GB2312" w:eastAsia="仿宋_GB2312"/>
          <w:color w:val="auto"/>
          <w:sz w:val="32"/>
          <w:szCs w:val="32"/>
        </w:rPr>
        <w:t>，</w:t>
      </w:r>
      <w:r>
        <w:rPr>
          <w:rFonts w:hint="eastAsia" w:ascii="仿宋_GB2312" w:eastAsia="仿宋_GB2312"/>
          <w:color w:val="auto"/>
          <w:sz w:val="32"/>
          <w:szCs w:val="32"/>
          <w:lang w:eastAsia="zh-CN"/>
        </w:rPr>
        <w:t>办案人员的工作作风、办案效率、专业素养均</w:t>
      </w:r>
      <w:r>
        <w:rPr>
          <w:rFonts w:hint="eastAsia" w:ascii="仿宋_GB2312" w:eastAsia="仿宋_GB2312"/>
          <w:color w:val="auto"/>
          <w:sz w:val="32"/>
          <w:szCs w:val="32"/>
        </w:rPr>
        <w:t>得到了提出机关的好评。面对</w:t>
      </w:r>
      <w:r>
        <w:rPr>
          <w:rFonts w:hint="eastAsia" w:ascii="仿宋_GB2312" w:eastAsia="仿宋_GB2312"/>
          <w:color w:val="auto"/>
          <w:sz w:val="32"/>
          <w:szCs w:val="32"/>
          <w:lang w:eastAsia="zh-CN"/>
        </w:rPr>
        <w:t>新冠疫情影响</w:t>
      </w:r>
      <w:r>
        <w:rPr>
          <w:rFonts w:hint="eastAsia" w:ascii="仿宋_GB2312" w:eastAsia="仿宋_GB2312"/>
          <w:color w:val="auto"/>
          <w:sz w:val="32"/>
          <w:szCs w:val="32"/>
        </w:rPr>
        <w:t>，中心领导精心组织、积极协调，将</w:t>
      </w:r>
      <w:r>
        <w:rPr>
          <w:rFonts w:hint="eastAsia" w:ascii="仿宋_GB2312" w:eastAsia="仿宋_GB2312"/>
          <w:color w:val="auto"/>
          <w:sz w:val="32"/>
          <w:szCs w:val="32"/>
          <w:lang w:eastAsia="zh-CN"/>
        </w:rPr>
        <w:t>业务</w:t>
      </w:r>
      <w:r>
        <w:rPr>
          <w:rFonts w:hint="eastAsia" w:ascii="仿宋_GB2312" w:eastAsia="仿宋_GB2312"/>
          <w:color w:val="auto"/>
          <w:sz w:val="32"/>
          <w:szCs w:val="32"/>
        </w:rPr>
        <w:t>工作与</w:t>
      </w:r>
      <w:r>
        <w:rPr>
          <w:rFonts w:hint="eastAsia" w:ascii="仿宋_GB2312" w:eastAsia="仿宋_GB2312"/>
          <w:color w:val="auto"/>
          <w:sz w:val="32"/>
          <w:szCs w:val="32"/>
          <w:lang w:eastAsia="zh-CN"/>
        </w:rPr>
        <w:t>党建</w:t>
      </w:r>
      <w:r>
        <w:rPr>
          <w:rFonts w:hint="eastAsia" w:ascii="仿宋_GB2312" w:eastAsia="仿宋_GB2312"/>
          <w:color w:val="auto"/>
          <w:sz w:val="32"/>
          <w:szCs w:val="32"/>
        </w:rPr>
        <w:t>工作</w:t>
      </w:r>
      <w:r>
        <w:rPr>
          <w:rFonts w:hint="eastAsia" w:ascii="仿宋_GB2312" w:eastAsia="仿宋_GB2312"/>
          <w:color w:val="auto"/>
          <w:sz w:val="32"/>
          <w:szCs w:val="32"/>
          <w:lang w:eastAsia="zh-CN"/>
        </w:rPr>
        <w:t>、疫情防控</w:t>
      </w:r>
      <w:r>
        <w:rPr>
          <w:rFonts w:hint="eastAsia" w:ascii="仿宋_GB2312" w:eastAsia="仿宋_GB2312"/>
          <w:color w:val="auto"/>
          <w:sz w:val="32"/>
          <w:szCs w:val="32"/>
        </w:rPr>
        <w:t>统一安排、同时部署。中心</w:t>
      </w:r>
      <w:r>
        <w:rPr>
          <w:rFonts w:hint="eastAsia" w:ascii="仿宋_GB2312" w:eastAsia="仿宋_GB2312"/>
          <w:color w:val="auto"/>
          <w:sz w:val="32"/>
          <w:szCs w:val="32"/>
          <w:lang w:eastAsia="zh-CN"/>
        </w:rPr>
        <w:t>党支部</w:t>
      </w:r>
      <w:r>
        <w:rPr>
          <w:rFonts w:hint="eastAsia" w:ascii="仿宋_GB2312" w:eastAsia="仿宋_GB2312"/>
          <w:color w:val="auto"/>
          <w:sz w:val="32"/>
          <w:szCs w:val="32"/>
        </w:rPr>
        <w:t>通过协助纪委监委查处一些大案要案，努力促使业务工作开展和党建工作，尤其是廉政教育相互促进，在协助办案的同时教育和警醒中心党员干部</w:t>
      </w:r>
      <w:r>
        <w:rPr>
          <w:rFonts w:hint="eastAsia" w:ascii="仿宋_GB2312" w:eastAsia="仿宋_GB2312"/>
          <w:color w:val="auto"/>
          <w:sz w:val="32"/>
          <w:szCs w:val="32"/>
          <w:lang w:eastAsia="zh-CN"/>
        </w:rPr>
        <w:t>；</w:t>
      </w:r>
      <w:r>
        <w:rPr>
          <w:rFonts w:hint="eastAsia" w:ascii="仿宋_GB2312" w:eastAsia="仿宋_GB2312"/>
          <w:color w:val="auto"/>
          <w:sz w:val="32"/>
          <w:szCs w:val="32"/>
        </w:rPr>
        <w:t>利用</w:t>
      </w:r>
      <w:r>
        <w:rPr>
          <w:rFonts w:hint="eastAsia" w:ascii="仿宋_GB2312" w:eastAsia="仿宋_GB2312"/>
          <w:color w:val="auto"/>
          <w:sz w:val="32"/>
          <w:szCs w:val="32"/>
          <w:lang w:eastAsia="zh-CN"/>
        </w:rPr>
        <w:t>党史学习教育为</w:t>
      </w:r>
      <w:r>
        <w:rPr>
          <w:rFonts w:hint="eastAsia" w:ascii="仿宋_GB2312" w:eastAsia="仿宋_GB2312"/>
          <w:color w:val="auto"/>
          <w:sz w:val="32"/>
          <w:szCs w:val="32"/>
        </w:rPr>
        <w:t>契机，加强对中心党员干部的政治教育和廉政教育，提高了党员干部的思想觉悟，进而带动了</w:t>
      </w:r>
      <w:r>
        <w:rPr>
          <w:rFonts w:hint="eastAsia" w:ascii="仿宋_GB2312" w:eastAsia="仿宋_GB2312"/>
          <w:color w:val="auto"/>
          <w:sz w:val="32"/>
          <w:szCs w:val="32"/>
          <w:lang w:val="en-US" w:eastAsia="zh-CN"/>
        </w:rPr>
        <w:t>各项工作</w:t>
      </w:r>
      <w:r>
        <w:rPr>
          <w:rFonts w:hint="eastAsia" w:ascii="仿宋_GB2312" w:eastAsia="仿宋_GB2312"/>
          <w:color w:val="auto"/>
          <w:sz w:val="32"/>
          <w:szCs w:val="32"/>
        </w:rPr>
        <w:t>的稳步推进，</w:t>
      </w:r>
      <w:r>
        <w:rPr>
          <w:rFonts w:hint="eastAsia" w:ascii="仿宋_GB2312" w:eastAsia="仿宋_GB2312"/>
          <w:color w:val="auto"/>
          <w:sz w:val="32"/>
          <w:szCs w:val="32"/>
          <w:lang w:eastAsia="zh-CN"/>
        </w:rPr>
        <w:t>高质量</w:t>
      </w:r>
      <w:r>
        <w:rPr>
          <w:rFonts w:hint="eastAsia" w:ascii="仿宋_GB2312" w:eastAsia="仿宋_GB2312"/>
          <w:color w:val="auto"/>
          <w:sz w:val="32"/>
          <w:szCs w:val="32"/>
        </w:rPr>
        <w:t>完成了</w:t>
      </w:r>
      <w:r>
        <w:rPr>
          <w:rFonts w:hint="eastAsia" w:ascii="仿宋_GB2312" w:eastAsia="仿宋_GB2312"/>
          <w:color w:val="auto"/>
          <w:sz w:val="32"/>
          <w:szCs w:val="32"/>
          <w:lang w:eastAsia="zh-CN"/>
        </w:rPr>
        <w:t>各提出机关</w:t>
      </w:r>
      <w:r>
        <w:rPr>
          <w:rFonts w:hint="eastAsia" w:ascii="仿宋_GB2312" w:eastAsia="仿宋_GB2312"/>
          <w:color w:val="auto"/>
          <w:sz w:val="32"/>
          <w:szCs w:val="32"/>
        </w:rPr>
        <w:t>的协助要求。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olor w:val="auto"/>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抓实抓细常态化疫情防控工作，</w:t>
      </w:r>
      <w:r>
        <w:rPr>
          <w:rFonts w:hint="eastAsia" w:ascii="仿宋_GB2312" w:hAnsi="仿宋_GB2312" w:eastAsia="仿宋_GB2312" w:cs="仿宋_GB2312"/>
          <w:b/>
          <w:sz w:val="32"/>
          <w:szCs w:val="32"/>
        </w:rPr>
        <w:t>指导全省各级价格认定机构业务工作高质量开展。</w:t>
      </w:r>
      <w:r>
        <w:rPr>
          <w:rFonts w:hint="eastAsia" w:ascii="仿宋_GB2312" w:hAnsi="仿宋_GB2312" w:eastAsia="仿宋_GB2312" w:cs="仿宋_GB2312"/>
          <w:sz w:val="32"/>
          <w:szCs w:val="32"/>
        </w:rPr>
        <w:t>提高政治站位，强化责任担当，坚决</w:t>
      </w:r>
      <w:r>
        <w:rPr>
          <w:rFonts w:hint="default" w:ascii="仿宋_GB2312" w:hAnsi="仿宋_GB2312" w:eastAsia="仿宋_GB2312" w:cs="仿宋_GB2312"/>
          <w:sz w:val="32"/>
          <w:szCs w:val="32"/>
          <w:lang w:val="en"/>
        </w:rPr>
        <w:t>贯彻</w:t>
      </w:r>
      <w:r>
        <w:rPr>
          <w:rFonts w:hint="eastAsia" w:ascii="仿宋_GB2312" w:hAnsi="仿宋_GB2312" w:eastAsia="仿宋_GB2312" w:cs="仿宋_GB2312"/>
          <w:sz w:val="32"/>
          <w:szCs w:val="32"/>
        </w:rPr>
        <w:t>落实关于疫情防控各项决策部署和要求，密切跟踪当前疫情形势发展变化，认真落实常态化疫情防控措施，统筹推进疫情防控和业务工作开展。随着事业单位机构改革不断推进，面对价格认定业务骨干的大量流失，全省价格认定业务整体水平下滑，各地业务水平分布不平衡的现状，我中心联系实际、突出重点积极应对，</w:t>
      </w:r>
      <w:r>
        <w:rPr>
          <w:rFonts w:hint="eastAsia" w:ascii="仿宋_GB2312" w:hAnsi="仿宋_GB2312" w:eastAsia="仿宋_GB2312" w:cs="仿宋_GB2312"/>
          <w:sz w:val="32"/>
          <w:szCs w:val="32"/>
          <w:lang w:eastAsia="zh-CN"/>
        </w:rPr>
        <w:t>在做好疫情防工作的同时，组织开展全省价格认定业务骨干培训，培训各级价格认定业务骨干</w:t>
      </w:r>
      <w:r>
        <w:rPr>
          <w:rFonts w:hint="eastAsia" w:ascii="仿宋_GB2312" w:hAnsi="仿宋_GB2312" w:eastAsia="仿宋_GB2312" w:cs="仿宋_GB2312"/>
          <w:sz w:val="32"/>
          <w:szCs w:val="32"/>
          <w:lang w:val="en-US" w:eastAsia="zh-CN"/>
        </w:rPr>
        <w:t>150余人，</w:t>
      </w:r>
      <w:r>
        <w:rPr>
          <w:rFonts w:hint="eastAsia" w:ascii="仿宋_GB2312" w:hAnsi="仿宋_GB2312" w:eastAsia="仿宋_GB2312" w:cs="仿宋_GB2312"/>
          <w:color w:val="333333"/>
          <w:sz w:val="32"/>
          <w:szCs w:val="32"/>
          <w:shd w:val="clear" w:color="auto" w:fill="FFFFFF"/>
        </w:rPr>
        <w:t>为我省价格认定工作人员增加了业务和法律知识的储备，提升</w:t>
      </w:r>
      <w:r>
        <w:rPr>
          <w:rFonts w:hint="eastAsia" w:ascii="仿宋_GB2312" w:hAnsi="仿宋_GB2312" w:eastAsia="仿宋_GB2312" w:cs="仿宋_GB2312"/>
          <w:color w:val="333333"/>
          <w:sz w:val="32"/>
          <w:szCs w:val="32"/>
          <w:shd w:val="clear" w:color="auto" w:fill="FFFFFF"/>
          <w:lang w:eastAsia="zh-CN"/>
        </w:rPr>
        <w:t>了</w:t>
      </w:r>
      <w:r>
        <w:rPr>
          <w:rFonts w:hint="eastAsia" w:ascii="仿宋_GB2312" w:hAnsi="仿宋_GB2312" w:eastAsia="仿宋_GB2312" w:cs="仿宋_GB2312"/>
          <w:color w:val="333333"/>
          <w:sz w:val="32"/>
          <w:szCs w:val="32"/>
          <w:shd w:val="clear" w:color="auto" w:fill="FFFFFF"/>
        </w:rPr>
        <w:t>履职能力</w:t>
      </w:r>
      <w:r>
        <w:rPr>
          <w:rFonts w:hint="eastAsia" w:ascii="仿宋_GB2312" w:hAnsi="仿宋_GB2312" w:eastAsia="仿宋_GB2312" w:cs="仿宋_GB2312"/>
          <w:color w:val="333333"/>
          <w:sz w:val="32"/>
          <w:szCs w:val="32"/>
          <w:shd w:val="clear" w:color="auto" w:fill="FFFFFF"/>
          <w:lang w:eastAsia="zh-CN"/>
        </w:rPr>
        <w:t>，为保障</w:t>
      </w:r>
      <w:r>
        <w:rPr>
          <w:rFonts w:hint="eastAsia" w:ascii="仿宋_GB2312" w:hAnsi="仿宋_GB2312" w:eastAsia="仿宋_GB2312" w:cs="仿宋_GB2312"/>
          <w:color w:val="333333"/>
          <w:sz w:val="32"/>
          <w:szCs w:val="32"/>
          <w:shd w:val="clear" w:color="auto" w:fill="FFFFFF"/>
        </w:rPr>
        <w:t>我省价格认定工作</w:t>
      </w:r>
      <w:r>
        <w:rPr>
          <w:rFonts w:hint="eastAsia" w:ascii="仿宋_GB2312" w:hAnsi="仿宋_GB2312" w:eastAsia="仿宋_GB2312" w:cs="仿宋_GB2312"/>
          <w:color w:val="333333"/>
          <w:sz w:val="32"/>
          <w:szCs w:val="32"/>
          <w:shd w:val="clear" w:color="auto" w:fill="FFFFFF"/>
          <w:lang w:eastAsia="zh-CN"/>
        </w:rPr>
        <w:t>高</w:t>
      </w:r>
      <w:r>
        <w:rPr>
          <w:rFonts w:hint="eastAsia" w:ascii="仿宋_GB2312" w:hAnsi="仿宋_GB2312" w:eastAsia="仿宋_GB2312" w:cs="仿宋_GB2312"/>
          <w:color w:val="333333"/>
          <w:sz w:val="32"/>
          <w:szCs w:val="32"/>
          <w:shd w:val="clear" w:color="auto" w:fill="FFFFFF"/>
        </w:rPr>
        <w:t>质量开展打好了基础</w:t>
      </w:r>
      <w:r>
        <w:rPr>
          <w:rFonts w:hint="eastAsia" w:ascii="仿宋_GB2312" w:hAnsi="仿宋_GB2312" w:eastAsia="仿宋_GB2312" w:cs="仿宋_GB2312"/>
          <w:sz w:val="32"/>
          <w:szCs w:val="32"/>
        </w:rPr>
        <w:t>。</w:t>
      </w:r>
      <w:r>
        <w:rPr>
          <w:rFonts w:hint="eastAsia" w:ascii="仿宋_GB2312" w:eastAsia="仿宋_GB2312"/>
          <w:sz w:val="32"/>
          <w:szCs w:val="32"/>
        </w:rPr>
        <w:t>通过对重点、难点案件进行提前介入，派员实地跟踪了解情况，直面矛盾和问题找准症结</w:t>
      </w:r>
      <w:r>
        <w:rPr>
          <w:rFonts w:hint="eastAsia" w:ascii="仿宋_GB2312" w:eastAsia="仿宋_GB2312"/>
          <w:sz w:val="32"/>
          <w:szCs w:val="32"/>
          <w:lang w:eastAsia="zh-CN"/>
        </w:rPr>
        <w:t>、</w:t>
      </w:r>
      <w:r>
        <w:rPr>
          <w:rFonts w:hint="eastAsia" w:ascii="仿宋_GB2312" w:eastAsia="仿宋_GB2312"/>
          <w:sz w:val="32"/>
          <w:szCs w:val="32"/>
        </w:rPr>
        <w:t>加强沟通</w:t>
      </w:r>
      <w:r>
        <w:rPr>
          <w:rFonts w:hint="eastAsia" w:ascii="仿宋_GB2312" w:eastAsia="仿宋_GB2312"/>
          <w:sz w:val="32"/>
          <w:szCs w:val="32"/>
          <w:lang w:eastAsia="zh-CN"/>
        </w:rPr>
        <w:t>、</w:t>
      </w:r>
      <w:r>
        <w:rPr>
          <w:rFonts w:hint="eastAsia" w:ascii="仿宋_GB2312" w:eastAsia="仿宋_GB2312"/>
          <w:sz w:val="32"/>
          <w:szCs w:val="32"/>
        </w:rPr>
        <w:t>理顺情绪，</w:t>
      </w:r>
      <w:r>
        <w:rPr>
          <w:rFonts w:hint="eastAsia" w:ascii="仿宋_GB2312" w:eastAsia="仿宋_GB2312"/>
          <w:color w:val="auto"/>
          <w:sz w:val="32"/>
          <w:szCs w:val="32"/>
          <w:lang w:eastAsia="zh-CN"/>
        </w:rPr>
        <w:t>指导娄底市</w:t>
      </w:r>
      <w:r>
        <w:rPr>
          <w:rFonts w:hint="eastAsia" w:ascii="仿宋_GB2312" w:eastAsia="仿宋_GB2312"/>
          <w:color w:val="auto"/>
          <w:sz w:val="32"/>
          <w:szCs w:val="32"/>
        </w:rPr>
        <w:t>价格认证中心</w:t>
      </w:r>
      <w:r>
        <w:rPr>
          <w:rFonts w:hint="eastAsia" w:ascii="仿宋_GB2312" w:eastAsia="仿宋_GB2312"/>
          <w:color w:val="auto"/>
          <w:sz w:val="32"/>
          <w:szCs w:val="32"/>
          <w:lang w:eastAsia="zh-CN"/>
        </w:rPr>
        <w:t>办理</w:t>
      </w:r>
      <w:r>
        <w:rPr>
          <w:rFonts w:hint="eastAsia" w:ascii="仿宋_GB2312" w:eastAsia="仿宋_GB2312"/>
          <w:color w:val="auto"/>
          <w:sz w:val="32"/>
          <w:szCs w:val="32"/>
          <w:lang w:val="en-US" w:eastAsia="zh-CN"/>
        </w:rPr>
        <w:t>4.17涉黑</w:t>
      </w:r>
      <w:r>
        <w:rPr>
          <w:rFonts w:hint="eastAsia" w:ascii="仿宋_GB2312" w:eastAsia="仿宋_GB2312"/>
          <w:color w:val="auto"/>
          <w:sz w:val="32"/>
          <w:szCs w:val="32"/>
        </w:rPr>
        <w:t>案件相关事务；协调长沙、衡阳多起复核申请，</w:t>
      </w:r>
      <w:r>
        <w:rPr>
          <w:rFonts w:hint="eastAsia" w:ascii="仿宋_GB2312" w:eastAsia="仿宋_GB2312"/>
          <w:color w:val="auto"/>
          <w:sz w:val="32"/>
          <w:szCs w:val="32"/>
          <w:lang w:eastAsia="zh-CN"/>
        </w:rPr>
        <w:t>保持复核案件均在省内办结，无国家中心复核</w:t>
      </w:r>
      <w:r>
        <w:rPr>
          <w:rFonts w:hint="eastAsia" w:ascii="仿宋_GB2312" w:eastAsia="仿宋_GB2312"/>
          <w:color w:val="auto"/>
          <w:sz w:val="32"/>
          <w:szCs w:val="32"/>
        </w:rPr>
        <w:t>。</w:t>
      </w:r>
      <w:r>
        <w:rPr>
          <w:rFonts w:hint="eastAsia" w:ascii="仿宋_GB2312" w:eastAsia="仿宋_GB2312"/>
          <w:color w:val="auto"/>
          <w:sz w:val="32"/>
          <w:szCs w:val="32"/>
          <w:lang w:eastAsia="zh-CN"/>
        </w:rPr>
        <w:t>一年来，我中心</w:t>
      </w:r>
      <w:r>
        <w:rPr>
          <w:rFonts w:hint="eastAsia" w:ascii="仿宋_GB2312" w:eastAsia="仿宋_GB2312"/>
          <w:color w:val="auto"/>
          <w:sz w:val="32"/>
          <w:szCs w:val="32"/>
        </w:rPr>
        <w:t>组织协调全省价格认定系统力量，指导各级价格认定机构，</w:t>
      </w:r>
      <w:r>
        <w:rPr>
          <w:rFonts w:hint="eastAsia" w:ascii="仿宋_GB2312" w:eastAsia="仿宋_GB2312"/>
          <w:color w:val="auto"/>
          <w:sz w:val="32"/>
          <w:szCs w:val="32"/>
          <w:lang w:eastAsia="zh-CN"/>
        </w:rPr>
        <w:t>对</w:t>
      </w:r>
      <w:r>
        <w:rPr>
          <w:rFonts w:hint="eastAsia" w:ascii="仿宋_GB2312" w:eastAsia="仿宋_GB2312"/>
          <w:color w:val="auto"/>
          <w:sz w:val="32"/>
          <w:szCs w:val="32"/>
          <w:lang w:val="en-US" w:eastAsia="zh-CN"/>
        </w:rPr>
        <w:t>93</w:t>
      </w:r>
      <w:r>
        <w:rPr>
          <w:rFonts w:hint="eastAsia" w:ascii="仿宋_GB2312" w:eastAsia="仿宋_GB2312"/>
          <w:color w:val="auto"/>
          <w:sz w:val="32"/>
          <w:szCs w:val="32"/>
        </w:rPr>
        <w:t>件涉纪案件</w:t>
      </w:r>
      <w:r>
        <w:rPr>
          <w:rFonts w:hint="eastAsia" w:ascii="仿宋_GB2312" w:eastAsia="仿宋_GB2312"/>
          <w:color w:val="auto"/>
          <w:sz w:val="32"/>
          <w:szCs w:val="32"/>
          <w:lang w:eastAsia="zh-CN"/>
        </w:rPr>
        <w:t>进行</w:t>
      </w:r>
      <w:r>
        <w:rPr>
          <w:rFonts w:hint="eastAsia" w:ascii="仿宋_GB2312" w:eastAsia="仿宋_GB2312"/>
          <w:color w:val="auto"/>
          <w:sz w:val="32"/>
          <w:szCs w:val="32"/>
        </w:rPr>
        <w:t>价格认定</w:t>
      </w:r>
      <w:r>
        <w:rPr>
          <w:rFonts w:hint="eastAsia" w:ascii="仿宋_GB2312" w:eastAsia="仿宋_GB2312"/>
          <w:color w:val="auto"/>
          <w:sz w:val="32"/>
          <w:szCs w:val="32"/>
          <w:lang w:eastAsia="zh-CN"/>
        </w:rPr>
        <w:t>，树立了价格认定队伍的良好形象。</w:t>
      </w:r>
    </w:p>
    <w:p>
      <w:pPr>
        <w:pStyle w:val="2"/>
        <w:ind w:firstLine="643" w:firstLineChars="200"/>
        <w:rPr>
          <w:rFonts w:hint="default" w:ascii="仿宋" w:hAnsi="仿宋" w:eastAsia="仿宋"/>
          <w:sz w:val="32"/>
          <w:szCs w:val="32"/>
          <w:lang w:val="en-US" w:eastAsia="zh-CN"/>
        </w:rPr>
      </w:pPr>
      <w:r>
        <w:rPr>
          <w:rFonts w:hint="eastAsia" w:ascii="仿宋_GB2312" w:eastAsia="仿宋_GB2312"/>
          <w:b/>
          <w:sz w:val="32"/>
          <w:szCs w:val="32"/>
          <w:lang w:val="en-US" w:eastAsia="zh-CN"/>
        </w:rPr>
        <w:t>3、</w:t>
      </w:r>
      <w:r>
        <w:rPr>
          <w:rFonts w:ascii="仿宋_GB2312" w:eastAsia="仿宋_GB2312"/>
          <w:b/>
          <w:sz w:val="32"/>
          <w:szCs w:val="32"/>
        </w:rPr>
        <w:t>强化内部管理，严格依法办事</w:t>
      </w:r>
      <w:r>
        <w:rPr>
          <w:rFonts w:hint="eastAsia" w:ascii="仿宋_GB2312" w:eastAsia="仿宋_GB2312"/>
          <w:b/>
          <w:sz w:val="32"/>
          <w:szCs w:val="32"/>
        </w:rPr>
        <w:t>。</w:t>
      </w:r>
      <w:r>
        <w:rPr>
          <w:rFonts w:ascii="Times New Roman" w:hAnsi="Times New Roman" w:eastAsia="仿宋_GB2312" w:cs="Times New Roman"/>
          <w:sz w:val="32"/>
          <w:szCs w:val="32"/>
        </w:rPr>
        <w:t>结合工作实践对原有的规章制度进行系统梳理，完善</w:t>
      </w:r>
      <w:r>
        <w:rPr>
          <w:rFonts w:hint="eastAsia" w:ascii="Times New Roman" w:hAnsi="Times New Roman" w:eastAsia="仿宋_GB2312" w:cs="Times New Roman"/>
          <w:sz w:val="32"/>
          <w:szCs w:val="32"/>
          <w:lang w:eastAsia="zh-CN"/>
        </w:rPr>
        <w:t>开展</w:t>
      </w:r>
      <w:r>
        <w:rPr>
          <w:rFonts w:ascii="Times New Roman" w:hAnsi="Times New Roman" w:eastAsia="仿宋_GB2312" w:cs="Times New Roman"/>
          <w:sz w:val="32"/>
          <w:szCs w:val="32"/>
        </w:rPr>
        <w:t>价格认</w:t>
      </w:r>
      <w:r>
        <w:rPr>
          <w:rFonts w:hint="eastAsia" w:ascii="Times New Roman" w:hAnsi="Times New Roman" w:eastAsia="仿宋_GB2312" w:cs="Times New Roman"/>
          <w:sz w:val="32"/>
          <w:szCs w:val="32"/>
          <w:lang w:eastAsia="zh-CN"/>
        </w:rPr>
        <w:t>定工作</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各项</w:t>
      </w:r>
      <w:r>
        <w:rPr>
          <w:rFonts w:ascii="Times New Roman" w:hAnsi="Times New Roman" w:eastAsia="仿宋_GB2312" w:cs="Times New Roman"/>
          <w:sz w:val="32"/>
          <w:szCs w:val="32"/>
        </w:rPr>
        <w:t>规章制度</w:t>
      </w:r>
      <w:r>
        <w:rPr>
          <w:rFonts w:hint="eastAsia" w:ascii="Times New Roman" w:hAnsi="Times New Roman" w:eastAsia="仿宋_GB2312" w:cs="Times New Roman"/>
          <w:sz w:val="32"/>
          <w:szCs w:val="32"/>
          <w:lang w:eastAsia="zh-CN"/>
        </w:rPr>
        <w:t>；加强监督管理，</w:t>
      </w:r>
      <w:r>
        <w:rPr>
          <w:rFonts w:ascii="Times New Roman" w:hAnsi="Times New Roman" w:eastAsia="仿宋_GB2312" w:cs="Times New Roman"/>
          <w:sz w:val="32"/>
          <w:szCs w:val="32"/>
        </w:rPr>
        <w:t>使内部管理工作实现制度化、规范化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聘请律师事务所专业团队作为法律顾问，为我中心业务工作开展提供法律支持。加大宣传力度，广泛宣传价格认证中心的职能、工作性质、工作领域，争取有关部门乃至全社会对价格认证中心工作的认同支持。不断加强与相关部门的协调，经常性地与公、检、法等行政执法机关部门沟通，广泛听取社会各界对价格认证工作的意见。</w:t>
      </w:r>
    </w:p>
    <w:p>
      <w:pPr>
        <w:pStyle w:val="2"/>
        <w:rPr>
          <w:rFonts w:hint="eastAsia" w:ascii="仿宋" w:hAnsi="仿宋" w:eastAsia="仿宋"/>
          <w:sz w:val="32"/>
          <w:szCs w:val="32"/>
        </w:rPr>
      </w:pPr>
    </w:p>
    <w:p>
      <w:pPr>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p>
    <w:p>
      <w:pPr>
        <w:spacing w:line="59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2021年度</w:t>
      </w:r>
      <w:r>
        <w:rPr>
          <w:rFonts w:hint="eastAsia" w:ascii="仿宋_GB2312" w:hAnsi="仿宋_GB2312" w:eastAsia="仿宋_GB2312" w:cs="仿宋_GB2312"/>
          <w:color w:val="000000" w:themeColor="text1"/>
          <w:kern w:val="0"/>
          <w:sz w:val="32"/>
          <w:szCs w:val="32"/>
          <w14:textFill>
            <w14:solidFill>
              <w14:schemeClr w14:val="tx1"/>
            </w14:solidFill>
          </w14:textFill>
        </w:rPr>
        <w:t>部门整体支出绩效评价基础数据表</w:t>
      </w:r>
    </w:p>
    <w:p>
      <w:pPr>
        <w:widowControl/>
        <w:spacing w:line="596"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kern w:val="0"/>
          <w:sz w:val="32"/>
          <w:szCs w:val="32"/>
          <w:lang w:val="en-US" w:eastAsia="zh-CN"/>
        </w:rPr>
        <w:t>2021年度</w:t>
      </w:r>
      <w:r>
        <w:rPr>
          <w:rFonts w:hint="eastAsia" w:ascii="仿宋_GB2312" w:hAnsi="仿宋_GB2312" w:eastAsia="仿宋_GB2312" w:cs="仿宋_GB2312"/>
          <w:color w:val="000000"/>
          <w:kern w:val="0"/>
          <w:sz w:val="32"/>
          <w:szCs w:val="32"/>
        </w:rPr>
        <w:t>部门整体支出绩效自评表</w:t>
      </w:r>
    </w:p>
    <w:p>
      <w:pPr>
        <w:widowControl/>
        <w:spacing w:line="596"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2021年度</w:t>
      </w:r>
      <w:r>
        <w:rPr>
          <w:rFonts w:hint="eastAsia" w:ascii="仿宋_GB2312" w:hAnsi="仿宋_GB2312" w:eastAsia="仿宋_GB2312" w:cs="仿宋_GB2312"/>
          <w:color w:val="000000" w:themeColor="text1"/>
          <w:kern w:val="0"/>
          <w:sz w:val="32"/>
          <w:szCs w:val="32"/>
          <w14:textFill>
            <w14:solidFill>
              <w14:schemeClr w14:val="tx1"/>
            </w14:solidFill>
          </w14:textFill>
        </w:rPr>
        <w:t>项目支出绩效自评表</w:t>
      </w:r>
    </w:p>
    <w:p>
      <w:pPr>
        <w:ind w:firstLine="640" w:firstLineChars="200"/>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湖南省价格认证中心</w:t>
      </w:r>
    </w:p>
    <w:p>
      <w:pPr>
        <w:pStyle w:val="2"/>
        <w:ind w:firstLine="6720" w:firstLineChars="21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二〇二二年五月</w:t>
      </w:r>
    </w:p>
    <w:p>
      <w:pPr>
        <w:pStyle w:val="2"/>
        <w:ind w:firstLine="6720" w:firstLineChars="2100"/>
        <w:rPr>
          <w:rFonts w:hint="eastAsia" w:cs="黑体" w:asciiTheme="minorEastAsia" w:hAnsiTheme="minorEastAsia"/>
          <w:color w:val="000000"/>
          <w:kern w:val="0"/>
          <w:sz w:val="32"/>
          <w:szCs w:val="32"/>
          <w:lang w:val="en-US" w:eastAsia="zh-CN"/>
        </w:rPr>
      </w:pPr>
    </w:p>
    <w:p>
      <w:pPr>
        <w:pStyle w:val="2"/>
        <w:ind w:firstLine="6720" w:firstLineChars="2100"/>
        <w:rPr>
          <w:rFonts w:hint="eastAsia" w:cs="黑体" w:asciiTheme="minorEastAsia" w:hAnsiTheme="minorEastAsia"/>
          <w:color w:val="000000"/>
          <w:kern w:val="0"/>
          <w:sz w:val="32"/>
          <w:szCs w:val="32"/>
          <w:lang w:val="en-US" w:eastAsia="zh-CN"/>
        </w:rPr>
      </w:pPr>
    </w:p>
    <w:p>
      <w:pPr>
        <w:pStyle w:val="2"/>
        <w:ind w:firstLine="6720" w:firstLineChars="2100"/>
        <w:rPr>
          <w:rFonts w:hint="eastAsia" w:cs="黑体" w:asciiTheme="minorEastAsia" w:hAnsiTheme="minorEastAsia"/>
          <w:color w:val="000000"/>
          <w:kern w:val="0"/>
          <w:sz w:val="32"/>
          <w:szCs w:val="32"/>
          <w:lang w:val="en-US" w:eastAsia="zh-CN"/>
        </w:rPr>
      </w:pPr>
    </w:p>
    <w:p>
      <w:pPr>
        <w:pStyle w:val="2"/>
        <w:ind w:firstLine="6720" w:firstLineChars="2100"/>
        <w:rPr>
          <w:rFonts w:hint="eastAsia" w:cs="黑体" w:asciiTheme="minorEastAsia" w:hAnsiTheme="minorEastAsia"/>
          <w:color w:val="000000"/>
          <w:kern w:val="0"/>
          <w:sz w:val="32"/>
          <w:szCs w:val="32"/>
          <w:lang w:val="en-US" w:eastAsia="zh-CN"/>
        </w:rPr>
      </w:pPr>
    </w:p>
    <w:p>
      <w:pPr>
        <w:pStyle w:val="2"/>
        <w:ind w:firstLine="6720" w:firstLineChars="2100"/>
        <w:rPr>
          <w:rFonts w:hint="eastAsia" w:cs="黑体" w:asciiTheme="minorEastAsia" w:hAnsiTheme="minorEastAsia"/>
          <w:color w:val="000000"/>
          <w:kern w:val="0"/>
          <w:sz w:val="32"/>
          <w:szCs w:val="32"/>
          <w:lang w:val="en-US" w:eastAsia="zh-CN"/>
        </w:rPr>
      </w:pPr>
    </w:p>
    <w:p>
      <w:pPr>
        <w:spacing w:line="596" w:lineRule="exact"/>
        <w:rPr>
          <w:rFonts w:ascii="仿宋_GB2312" w:eastAsia="仿宋_GB2312"/>
          <w:color w:val="000000"/>
          <w:sz w:val="32"/>
          <w:szCs w:val="32"/>
        </w:rPr>
      </w:pPr>
      <w:r>
        <w:rPr>
          <w:rFonts w:hint="eastAsia" w:ascii="仿宋_GB2312" w:eastAsia="仿宋_GB2312"/>
          <w:color w:val="000000"/>
          <w:sz w:val="32"/>
          <w:szCs w:val="32"/>
        </w:rPr>
        <w:t>附件1</w:t>
      </w:r>
    </w:p>
    <w:p>
      <w:pPr>
        <w:spacing w:line="596" w:lineRule="exact"/>
        <w:jc w:val="center"/>
        <w:rPr>
          <w:rFonts w:hint="eastAsia" w:eastAsia="仿宋_GB2312"/>
          <w:color w:val="000000"/>
          <w:kern w:val="0"/>
          <w:sz w:val="24"/>
          <w:szCs w:val="24"/>
        </w:rPr>
      </w:pPr>
      <w:r>
        <w:rPr>
          <w:rFonts w:hint="eastAsia" w:eastAsia="方正小标宋_GBK"/>
          <w:color w:val="000000"/>
          <w:kern w:val="0"/>
          <w:sz w:val="36"/>
          <w:szCs w:val="36"/>
        </w:rPr>
        <w:t>2021</w:t>
      </w:r>
      <w:r>
        <w:rPr>
          <w:rFonts w:hint="eastAsia" w:ascii="方正小标宋_GBK" w:eastAsia="方正小标宋_GBK"/>
          <w:color w:val="000000"/>
          <w:kern w:val="0"/>
          <w:sz w:val="36"/>
          <w:szCs w:val="36"/>
        </w:rPr>
        <w:t>年度</w:t>
      </w:r>
      <w:r>
        <w:rPr>
          <w:rFonts w:ascii="方正小标宋_GBK" w:eastAsia="方正小标宋_GBK"/>
          <w:color w:val="000000"/>
          <w:kern w:val="0"/>
          <w:sz w:val="36"/>
          <w:szCs w:val="36"/>
        </w:rPr>
        <w:t>部门整体支出绩效评价基础数据表</w:t>
      </w:r>
      <w:r>
        <w:rPr>
          <w:rFonts w:eastAsia="仿宋_GB2312"/>
          <w:color w:val="000000"/>
          <w:kern w:val="0"/>
          <w:sz w:val="24"/>
          <w:szCs w:val="24"/>
        </w:rPr>
        <w:tab/>
      </w:r>
    </w:p>
    <w:tbl>
      <w:tblPr>
        <w:tblStyle w:val="17"/>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839"/>
        <w:gridCol w:w="965"/>
        <w:gridCol w:w="1063"/>
        <w:gridCol w:w="1102"/>
        <w:gridCol w:w="83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财政供养人员情况</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黑体" w:hAnsi="黑体" w:eastAsia="黑体"/>
                <w:bCs/>
                <w:color w:val="000000"/>
                <w:kern w:val="0"/>
              </w:rPr>
            </w:pPr>
            <w:r>
              <w:rPr>
                <w:rFonts w:hint="eastAsia" w:ascii="黑体" w:hAnsi="黑体" w:eastAsia="黑体"/>
                <w:bCs/>
                <w:color w:val="000000"/>
                <w:kern w:val="0"/>
              </w:rPr>
              <w:t>编制数</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黑体" w:hAnsi="黑体" w:eastAsia="黑体"/>
                <w:bCs/>
                <w:color w:val="000000"/>
                <w:kern w:val="0"/>
              </w:rPr>
            </w:pPr>
            <w:r>
              <w:rPr>
                <w:rFonts w:hint="eastAsia" w:ascii="黑体" w:hAnsi="黑体" w:eastAsia="黑体"/>
                <w:bCs/>
                <w:color w:val="000000"/>
                <w:kern w:val="0"/>
              </w:rPr>
              <w:t>2021年实际在职人数</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黑体" w:hAnsi="黑体" w:eastAsia="黑体"/>
                <w:bCs/>
                <w:color w:val="000000"/>
                <w:kern w:val="0"/>
              </w:rPr>
            </w:pPr>
            <w:r>
              <w:rPr>
                <w:rFonts w:hint="eastAsia" w:ascii="黑体" w:hAnsi="黑体" w:eastAsia="黑体"/>
                <w:bCs/>
                <w:color w:val="000000"/>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kern w:val="0"/>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eastAsia" w:ascii="仿宋_GB2312" w:eastAsia="仿宋_GB2312"/>
                <w:color w:val="000000"/>
                <w:kern w:val="0"/>
                <w:lang w:val="en-US" w:eastAsia="zh-CN"/>
              </w:rPr>
              <w:t>8</w:t>
            </w:r>
            <w:r>
              <w:rPr>
                <w:rFonts w:hint="default" w:ascii="仿宋_GB2312" w:eastAsia="仿宋_GB2312"/>
                <w:color w:val="000000"/>
                <w:kern w:val="0"/>
              </w:rPr>
              <w:t>　</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eastAsia" w:eastAsia="仿宋_GB2312"/>
                <w:color w:val="000000"/>
                <w:kern w:val="0"/>
                <w:lang w:val="en-US" w:eastAsia="zh-CN"/>
              </w:rPr>
            </w:pPr>
            <w:r>
              <w:rPr>
                <w:rFonts w:hint="default" w:ascii="仿宋_GB2312" w:eastAsia="仿宋_GB2312"/>
                <w:color w:val="000000"/>
                <w:kern w:val="0"/>
              </w:rPr>
              <w:t>　</w:t>
            </w:r>
            <w:r>
              <w:rPr>
                <w:rFonts w:hint="eastAsia" w:ascii="仿宋_GB2312" w:eastAsia="仿宋_GB2312"/>
                <w:color w:val="000000"/>
                <w:kern w:val="0"/>
                <w:lang w:val="en-US" w:eastAsia="zh-CN"/>
              </w:rPr>
              <w:t>8</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lang w:val="en-US" w:eastAsia="zh-CN"/>
              </w:rPr>
            </w:pPr>
            <w:r>
              <w:rPr>
                <w:rFonts w:hint="default" w:ascii="仿宋_GB2312" w:eastAsia="仿宋_GB2312"/>
                <w:color w:val="000000"/>
                <w:kern w:val="0"/>
              </w:rPr>
              <w:t>　</w:t>
            </w:r>
            <w:r>
              <w:rPr>
                <w:rFonts w:hint="eastAsia" w:ascii="仿宋_GB2312" w:eastAsia="仿宋_GB2312"/>
                <w:color w:val="000000"/>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经费控制情况</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黑体" w:hAnsi="黑体" w:eastAsia="黑体"/>
                <w:bCs/>
                <w:color w:val="000000"/>
                <w:kern w:val="0"/>
              </w:rPr>
            </w:pPr>
            <w:r>
              <w:rPr>
                <w:rFonts w:hint="eastAsia" w:ascii="黑体" w:hAnsi="黑体" w:eastAsia="黑体"/>
                <w:bCs/>
                <w:color w:val="000000"/>
                <w:kern w:val="0"/>
              </w:rPr>
              <w:t>2020年决算数</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黑体" w:hAnsi="黑体" w:eastAsia="黑体"/>
                <w:bCs/>
                <w:color w:val="000000"/>
                <w:kern w:val="0"/>
              </w:rPr>
            </w:pPr>
            <w:r>
              <w:rPr>
                <w:rFonts w:hint="eastAsia" w:ascii="黑体" w:hAnsi="黑体" w:eastAsia="黑体"/>
                <w:bCs/>
                <w:color w:val="000000"/>
                <w:kern w:val="0"/>
              </w:rPr>
              <w:t>2021年预算数</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黑体" w:hAnsi="黑体" w:eastAsia="黑体"/>
                <w:bCs/>
                <w:color w:val="000000"/>
                <w:kern w:val="0"/>
              </w:rPr>
            </w:pPr>
            <w:r>
              <w:rPr>
                <w:rFonts w:hint="eastAsia" w:ascii="黑体" w:hAnsi="黑体" w:eastAsia="黑体"/>
                <w:bCs/>
                <w:color w:val="000000"/>
                <w:kern w:val="0"/>
              </w:rPr>
              <w:t>2021年决算数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三公经费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5.00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6.00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1</w:t>
            </w:r>
            <w:r>
              <w:rPr>
                <w:rFonts w:hint="default" w:ascii="仿宋_GB2312" w:eastAsia="仿宋_GB2312"/>
                <w:color w:val="000000"/>
                <w:kern w:val="0"/>
              </w:rPr>
              <w:t>、公务用车购置和维护经费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5.00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6.00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w:t>
            </w:r>
            <w:r>
              <w:rPr>
                <w:rFonts w:hint="default" w:ascii="仿宋_GB2312" w:eastAsia="仿宋_GB2312"/>
                <w:color w:val="000000"/>
                <w:kern w:val="0"/>
              </w:rPr>
              <w:t>其中：公车购置</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w:t>
            </w:r>
            <w:r>
              <w:rPr>
                <w:rFonts w:hint="default" w:ascii="仿宋_GB2312" w:eastAsia="仿宋_GB2312"/>
                <w:color w:val="000000"/>
                <w:kern w:val="0"/>
              </w:rPr>
              <w:t>公车运行维护</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5.00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5.00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2</w:t>
            </w:r>
            <w:r>
              <w:rPr>
                <w:rFonts w:hint="default" w:ascii="仿宋_GB2312" w:eastAsia="仿宋_GB2312"/>
                <w:color w:val="000000"/>
                <w:kern w:val="0"/>
              </w:rPr>
              <w:t>、出国经费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3</w:t>
            </w:r>
            <w:r>
              <w:rPr>
                <w:rFonts w:hint="default" w:ascii="仿宋_GB2312" w:eastAsia="仿宋_GB2312"/>
                <w:color w:val="000000"/>
                <w:kern w:val="0"/>
              </w:rPr>
              <w:t>、公务接待</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1.00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项目支出：</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89.16</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46.40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1</w:t>
            </w:r>
            <w:r>
              <w:rPr>
                <w:rFonts w:hint="default" w:ascii="仿宋_GB2312" w:eastAsia="仿宋_GB2312"/>
                <w:color w:val="000000"/>
                <w:kern w:val="0"/>
              </w:rPr>
              <w:t>、业务工作经费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89.16</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46.40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2</w:t>
            </w:r>
            <w:r>
              <w:rPr>
                <w:rFonts w:hint="default" w:ascii="仿宋_GB2312" w:eastAsia="仿宋_GB2312"/>
                <w:color w:val="000000"/>
                <w:kern w:val="0"/>
              </w:rPr>
              <w:t>、运行维护经费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　</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　</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eastAsia="仿宋_GB2312"/>
                <w:color w:val="000000"/>
                <w:kern w:val="0"/>
              </w:rPr>
              <w:t>……</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firstLine="420" w:firstLineChars="200"/>
              <w:jc w:val="left"/>
              <w:rPr>
                <w:rFonts w:hint="default" w:eastAsia="仿宋_GB2312"/>
                <w:color w:val="000000"/>
                <w:kern w:val="0"/>
              </w:rPr>
            </w:pPr>
            <w:r>
              <w:rPr>
                <w:rFonts w:hint="default" w:eastAsia="仿宋_GB2312"/>
                <w:color w:val="000000"/>
                <w:kern w:val="0"/>
              </w:rPr>
              <w:t>3</w:t>
            </w:r>
            <w:r>
              <w:rPr>
                <w:rFonts w:hint="default" w:ascii="仿宋_GB2312" w:eastAsia="仿宋_GB2312"/>
                <w:color w:val="000000"/>
                <w:kern w:val="0"/>
              </w:rPr>
              <w:t>、省级专项资金</w:t>
            </w:r>
          </w:p>
          <w:p>
            <w:pPr>
              <w:keepNext w:val="0"/>
              <w:keepLines w:val="0"/>
              <w:widowControl/>
              <w:suppressLineNumbers w:val="0"/>
              <w:spacing w:before="0" w:beforeAutospacing="0" w:after="0" w:afterAutospacing="0" w:line="260" w:lineRule="exact"/>
              <w:ind w:left="0" w:right="0" w:firstLine="630" w:firstLineChars="300"/>
              <w:jc w:val="left"/>
              <w:rPr>
                <w:rFonts w:hint="default" w:eastAsia="仿宋_GB2312"/>
                <w:color w:val="000000"/>
                <w:kern w:val="0"/>
              </w:rPr>
            </w:pPr>
            <w:r>
              <w:rPr>
                <w:rFonts w:hint="default" w:ascii="仿宋_GB2312" w:eastAsia="仿宋_GB2312"/>
                <w:color w:val="000000"/>
                <w:kern w:val="0"/>
              </w:rPr>
              <w:t>（一个专项一行）</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eastAsia="仿宋_GB2312"/>
                <w:color w:val="000000"/>
                <w:kern w:val="0"/>
              </w:rPr>
              <w:t>……</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公用经费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35.63</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44.08</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w:t>
            </w:r>
            <w:r>
              <w:rPr>
                <w:rFonts w:hint="default" w:ascii="仿宋_GB2312" w:eastAsia="仿宋_GB2312"/>
                <w:color w:val="000000"/>
                <w:kern w:val="0"/>
              </w:rPr>
              <w:t>其中：办公费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4.70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3.00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w:t>
            </w:r>
            <w:r>
              <w:rPr>
                <w:rFonts w:hint="default" w:ascii="仿宋_GB2312" w:eastAsia="仿宋_GB2312"/>
                <w:color w:val="000000"/>
                <w:kern w:val="0"/>
              </w:rPr>
              <w:t>水费、电费、差旅费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2.50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2.80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eastAsia="仿宋_GB2312"/>
                <w:color w:val="000000"/>
                <w:kern w:val="0"/>
              </w:rPr>
              <w:t xml:space="preserve">          </w:t>
            </w:r>
            <w:r>
              <w:rPr>
                <w:rFonts w:hint="default" w:ascii="仿宋_GB2312" w:eastAsia="仿宋_GB2312"/>
                <w:color w:val="000000"/>
                <w:kern w:val="0"/>
              </w:rPr>
              <w:t>会议费、培训费</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0.70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2.10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政府采购金额</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eastAsia="仿宋_GB2312"/>
                <w:color w:val="000000"/>
                <w:kern w:val="0"/>
              </w:rPr>
              <w:t>——</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2.00</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部门基本支出预算调整</w:t>
            </w:r>
            <w:r>
              <w:rPr>
                <w:rFonts w:hint="default" w:eastAsia="仿宋_GB2312"/>
                <w:color w:val="000000"/>
                <w:kern w:val="0"/>
              </w:rPr>
              <w:t xml:space="preserve"> </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eastAsia="仿宋_GB2312"/>
                <w:color w:val="000000"/>
                <w:kern w:val="0"/>
              </w:rPr>
              <w:t>——</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　</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3161"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楼堂馆所控制情况</w:t>
            </w:r>
          </w:p>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w:t>
            </w:r>
            <w:r>
              <w:rPr>
                <w:rFonts w:hint="default" w:eastAsia="仿宋_GB2312"/>
                <w:color w:val="000000"/>
                <w:kern w:val="0"/>
              </w:rPr>
              <w:t>20</w:t>
            </w:r>
            <w:r>
              <w:rPr>
                <w:rFonts w:hint="eastAsia" w:eastAsia="仿宋_GB2312"/>
                <w:color w:val="000000"/>
                <w:kern w:val="0"/>
              </w:rPr>
              <w:t>21</w:t>
            </w:r>
            <w:r>
              <w:rPr>
                <w:rFonts w:hint="default" w:ascii="仿宋_GB2312" w:eastAsia="仿宋_GB2312"/>
                <w:color w:val="000000"/>
                <w:kern w:val="0"/>
              </w:rPr>
              <w:t>年完工项目）</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批复</w:t>
            </w:r>
          </w:p>
          <w:p>
            <w:pPr>
              <w:keepNext w:val="0"/>
              <w:keepLines w:val="0"/>
              <w:widowControl/>
              <w:suppressLineNumbers w:val="0"/>
              <w:spacing w:before="0" w:beforeAutospacing="0" w:after="0" w:afterAutospacing="0" w:line="260" w:lineRule="exact"/>
              <w:ind w:left="0" w:right="0"/>
              <w:jc w:val="center"/>
              <w:rPr>
                <w:rFonts w:hint="eastAsia" w:eastAsia="仿宋_GB2312"/>
                <w:bCs/>
                <w:color w:val="000000"/>
                <w:kern w:val="0"/>
              </w:rPr>
            </w:pPr>
            <w:r>
              <w:rPr>
                <w:rFonts w:hint="default" w:ascii="仿宋_GB2312" w:eastAsia="仿宋_GB2312"/>
                <w:bCs/>
                <w:color w:val="000000"/>
                <w:kern w:val="0"/>
              </w:rPr>
              <w:t>规模</w:t>
            </w:r>
          </w:p>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w:t>
            </w:r>
            <w:r>
              <w:rPr>
                <w:rFonts w:hint="default" w:ascii="Batang" w:hAnsi="Batang" w:eastAsia="Batang"/>
                <w:bCs/>
                <w:color w:val="000000"/>
                <w:kern w:val="0"/>
              </w:rPr>
              <w:t>㎡</w:t>
            </w:r>
            <w:r>
              <w:rPr>
                <w:rFonts w:hint="default" w:ascii="仿宋_GB2312" w:eastAsia="仿宋_GB2312"/>
                <w:bCs/>
                <w:color w:val="000000"/>
                <w:kern w:val="0"/>
              </w:rPr>
              <w:t>）</w:t>
            </w:r>
          </w:p>
        </w:tc>
        <w:tc>
          <w:tcPr>
            <w:tcW w:w="9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实际</w:t>
            </w:r>
          </w:p>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规模（</w:t>
            </w:r>
            <w:r>
              <w:rPr>
                <w:rFonts w:hint="default" w:ascii="Batang" w:hAnsi="Batang" w:eastAsia="Batang"/>
                <w:bCs/>
                <w:color w:val="000000"/>
                <w:kern w:val="0"/>
              </w:rPr>
              <w:t>㎡</w:t>
            </w:r>
            <w:r>
              <w:rPr>
                <w:rFonts w:hint="default" w:ascii="仿宋_GB2312" w:eastAsia="仿宋_GB2312"/>
                <w:bCs/>
                <w:color w:val="000000"/>
                <w:kern w:val="0"/>
              </w:rPr>
              <w:t>）</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规</w:t>
            </w:r>
            <w:r>
              <w:rPr>
                <w:rFonts w:hint="default" w:eastAsia="仿宋_GB2312"/>
                <w:bCs/>
                <w:color w:val="000000"/>
                <w:kern w:val="0"/>
              </w:rPr>
              <w:t xml:space="preserve">  </w:t>
            </w:r>
            <w:r>
              <w:rPr>
                <w:rFonts w:hint="default" w:ascii="仿宋_GB2312" w:eastAsia="仿宋_GB2312"/>
                <w:bCs/>
                <w:color w:val="000000"/>
                <w:kern w:val="0"/>
              </w:rPr>
              <w:t>模</w:t>
            </w:r>
          </w:p>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控制率</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预算</w:t>
            </w:r>
          </w:p>
          <w:p>
            <w:pPr>
              <w:keepNext w:val="0"/>
              <w:keepLines w:val="0"/>
              <w:widowControl/>
              <w:suppressLineNumbers w:val="0"/>
              <w:spacing w:before="0" w:beforeAutospacing="0" w:after="0" w:afterAutospacing="0" w:line="260" w:lineRule="exact"/>
              <w:ind w:left="0" w:right="0"/>
              <w:jc w:val="center"/>
              <w:rPr>
                <w:rFonts w:hint="eastAsia" w:eastAsia="仿宋_GB2312"/>
                <w:bCs/>
                <w:color w:val="000000"/>
                <w:kern w:val="0"/>
              </w:rPr>
            </w:pPr>
            <w:r>
              <w:rPr>
                <w:rFonts w:hint="default" w:ascii="仿宋_GB2312" w:eastAsia="仿宋_GB2312"/>
                <w:bCs/>
                <w:color w:val="000000"/>
                <w:kern w:val="0"/>
              </w:rPr>
              <w:t>投资</w:t>
            </w:r>
          </w:p>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（万元）</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实际投资</w:t>
            </w:r>
            <w:r>
              <w:rPr>
                <w:rFonts w:hint="eastAsia" w:eastAsia="仿宋_GB2312"/>
                <w:bCs/>
                <w:color w:val="000000"/>
                <w:kern w:val="0"/>
              </w:rPr>
              <w:t>(</w:t>
            </w:r>
            <w:r>
              <w:rPr>
                <w:rFonts w:hint="default" w:ascii="仿宋_GB2312" w:eastAsia="仿宋_GB2312"/>
                <w:bCs/>
                <w:color w:val="000000"/>
                <w:kern w:val="0"/>
              </w:rPr>
              <w:t>万元</w:t>
            </w:r>
            <w:r>
              <w:rPr>
                <w:rFonts w:hint="eastAsia" w:eastAsia="仿宋_GB2312"/>
                <w:bCs/>
                <w:color w:val="000000"/>
                <w:kern w:val="0"/>
              </w:rPr>
              <w:t>)</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bCs/>
                <w:color w:val="000000"/>
                <w:kern w:val="0"/>
              </w:rPr>
            </w:pPr>
            <w:r>
              <w:rPr>
                <w:rFonts w:hint="default" w:ascii="仿宋_GB2312" w:eastAsia="仿宋_GB2312"/>
                <w:bCs/>
                <w:color w:val="000000"/>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6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color w:val="000000"/>
                <w:kern w:val="0"/>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　</w:t>
            </w:r>
          </w:p>
        </w:tc>
        <w:tc>
          <w:tcPr>
            <w:tcW w:w="9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　</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　</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　</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　</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eastAsia="仿宋_GB2312"/>
                <w:color w:val="000000"/>
                <w:kern w:val="0"/>
              </w:rPr>
            </w:pPr>
            <w:r>
              <w:rPr>
                <w:rFonts w:hint="default" w:ascii="仿宋_GB2312"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31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default" w:ascii="仿宋_GB2312" w:eastAsia="仿宋_GB2312"/>
                <w:color w:val="000000"/>
                <w:kern w:val="0"/>
              </w:rPr>
              <w:t>厉行节约保障措施</w:t>
            </w:r>
          </w:p>
        </w:tc>
        <w:tc>
          <w:tcPr>
            <w:tcW w:w="56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eastAsia="仿宋_GB2312"/>
                <w:color w:val="000000"/>
                <w:kern w:val="0"/>
              </w:rPr>
            </w:pPr>
            <w:r>
              <w:rPr>
                <w:rFonts w:hint="eastAsia" w:eastAsia="仿宋_GB2312"/>
                <w:color w:val="000000" w:themeColor="text1"/>
                <w:kern w:val="0"/>
                <w:szCs w:val="21"/>
                <w:lang w:eastAsia="zh-CN"/>
                <w14:textFill>
                  <w14:solidFill>
                    <w14:schemeClr w14:val="tx1"/>
                  </w14:solidFill>
                </w14:textFill>
              </w:rPr>
              <w:t>严格按照厉行节约的原则使用资金</w:t>
            </w:r>
            <w:r>
              <w:rPr>
                <w:rFonts w:hint="default" w:ascii="仿宋_GB2312" w:eastAsia="仿宋_GB2312"/>
                <w:color w:val="000000"/>
                <w:kern w:val="0"/>
              </w:rPr>
              <w:t>　</w:t>
            </w:r>
          </w:p>
        </w:tc>
      </w:tr>
    </w:tbl>
    <w:p>
      <w:pPr>
        <w:widowControl/>
        <w:spacing w:before="156" w:beforeLines="50"/>
        <w:ind w:left="708" w:hanging="708" w:hangingChars="322"/>
        <w:jc w:val="left"/>
        <w:rPr>
          <w:rFonts w:ascii="仿宋_GB2312" w:eastAsia="仿宋_GB2312"/>
          <w:color w:val="000000"/>
          <w:kern w:val="0"/>
          <w:sz w:val="22"/>
          <w:szCs w:val="22"/>
        </w:rPr>
      </w:pPr>
      <w:r>
        <w:rPr>
          <w:rFonts w:hint="eastAsia" w:ascii="黑体" w:hAnsi="黑体" w:eastAsia="黑体"/>
          <w:color w:val="000000"/>
          <w:kern w:val="0"/>
          <w:sz w:val="22"/>
          <w:szCs w:val="22"/>
        </w:rPr>
        <w:t>说明</w:t>
      </w:r>
      <w:r>
        <w:rPr>
          <w:rFonts w:ascii="仿宋_GB2312" w:eastAsia="仿宋_GB2312"/>
          <w:color w:val="000000"/>
          <w:kern w:val="0"/>
          <w:sz w:val="22"/>
          <w:szCs w:val="22"/>
        </w:rPr>
        <w:t>：</w:t>
      </w:r>
      <w:r>
        <w:rPr>
          <w:rFonts w:eastAsia="仿宋_GB2312"/>
          <w:color w:val="000000"/>
          <w:kern w:val="0"/>
          <w:sz w:val="22"/>
          <w:szCs w:val="22"/>
        </w:rPr>
        <w:t>“</w:t>
      </w:r>
      <w:r>
        <w:rPr>
          <w:rFonts w:ascii="仿宋_GB2312" w:eastAsia="仿宋_GB2312"/>
          <w:color w:val="000000"/>
          <w:kern w:val="0"/>
          <w:sz w:val="22"/>
          <w:szCs w:val="22"/>
        </w:rPr>
        <w:t>项目支出</w:t>
      </w:r>
      <w:r>
        <w:rPr>
          <w:rFonts w:eastAsia="仿宋_GB2312"/>
          <w:color w:val="000000"/>
          <w:kern w:val="0"/>
          <w:sz w:val="22"/>
          <w:szCs w:val="22"/>
        </w:rPr>
        <w:t>”</w:t>
      </w:r>
      <w:r>
        <w:rPr>
          <w:rFonts w:ascii="仿宋_GB2312" w:eastAsia="仿宋_GB2312"/>
          <w:color w:val="000000"/>
          <w:kern w:val="0"/>
          <w:sz w:val="22"/>
          <w:szCs w:val="22"/>
        </w:rPr>
        <w:t>需要填报基本支出以外的所有项目支出情况，</w:t>
      </w:r>
      <w:r>
        <w:rPr>
          <w:rFonts w:eastAsia="仿宋_GB2312"/>
          <w:color w:val="000000"/>
          <w:kern w:val="0"/>
          <w:sz w:val="22"/>
          <w:szCs w:val="22"/>
        </w:rPr>
        <w:t>“</w:t>
      </w:r>
      <w:r>
        <w:rPr>
          <w:rFonts w:ascii="仿宋_GB2312" w:eastAsia="仿宋_GB2312"/>
          <w:color w:val="000000"/>
          <w:kern w:val="0"/>
          <w:sz w:val="22"/>
          <w:szCs w:val="22"/>
        </w:rPr>
        <w:t>公用经费</w:t>
      </w:r>
      <w:r>
        <w:rPr>
          <w:rFonts w:eastAsia="仿宋_GB2312"/>
          <w:color w:val="000000"/>
          <w:kern w:val="0"/>
          <w:sz w:val="22"/>
          <w:szCs w:val="22"/>
        </w:rPr>
        <w:t>”</w:t>
      </w:r>
      <w:r>
        <w:rPr>
          <w:rFonts w:ascii="仿宋_GB2312" w:eastAsia="仿宋_GB2312"/>
          <w:color w:val="000000"/>
          <w:kern w:val="0"/>
          <w:sz w:val="22"/>
          <w:szCs w:val="22"/>
        </w:rPr>
        <w:t>填报基本支出中的一般商品和服务支出。</w:t>
      </w:r>
    </w:p>
    <w:p>
      <w:pPr>
        <w:pStyle w:val="2"/>
      </w:pPr>
    </w:p>
    <w:p>
      <w:pPr>
        <w:pStyle w:val="2"/>
      </w:pPr>
      <w:r>
        <w:rPr>
          <w:rFonts w:hint="eastAsia" w:eastAsia="仿宋_GB2312"/>
          <w:color w:val="000000" w:themeColor="text1"/>
          <w:kern w:val="0"/>
          <w:sz w:val="22"/>
          <w:lang w:eastAsia="zh-CN"/>
          <w14:textFill>
            <w14:solidFill>
              <w14:schemeClr w14:val="tx1"/>
            </w14:solidFill>
          </w14:textFill>
        </w:rPr>
        <w:t>填报人：</w:t>
      </w:r>
      <w:r>
        <w:rPr>
          <w:rFonts w:hint="eastAsia" w:eastAsia="仿宋_GB2312"/>
          <w:color w:val="000000" w:themeColor="text1"/>
          <w:kern w:val="0"/>
          <w:sz w:val="22"/>
          <w:lang w:val="en-US" w:eastAsia="zh-CN"/>
          <w14:textFill>
            <w14:solidFill>
              <w14:schemeClr w14:val="tx1"/>
            </w14:solidFill>
          </w14:textFill>
        </w:rPr>
        <w:t>周婷   填报日期：2022.4.20  联系电话：89665171   单位负责人签字：</w:t>
      </w:r>
    </w:p>
    <w:p>
      <w:pPr>
        <w:pStyle w:val="2"/>
        <w:rPr>
          <w:rFonts w:hint="default" w:cs="黑体" w:asciiTheme="minorEastAsia" w:hAnsiTheme="minorEastAsia"/>
          <w:color w:val="000000"/>
          <w:kern w:val="0"/>
          <w:sz w:val="32"/>
          <w:szCs w:val="32"/>
          <w:lang w:val="en-US" w:eastAsia="zh-CN"/>
        </w:rPr>
      </w:pPr>
    </w:p>
    <w:p>
      <w:pPr>
        <w:pStyle w:val="2"/>
        <w:rPr>
          <w:rFonts w:hint="default" w:cs="黑体" w:asciiTheme="minorEastAsia" w:hAnsiTheme="minorEastAsia"/>
          <w:color w:val="000000"/>
          <w:kern w:val="0"/>
          <w:sz w:val="32"/>
          <w:szCs w:val="32"/>
          <w:lang w:val="en-US" w:eastAsia="zh-CN"/>
        </w:rPr>
      </w:pPr>
    </w:p>
    <w:p>
      <w:pPr>
        <w:pStyle w:val="2"/>
        <w:ind w:firstLine="626" w:firstLineChars="200"/>
        <w:rPr>
          <w:rFonts w:ascii="仿宋_GB2312" w:eastAsia="仿宋_GB2312"/>
          <w:w w:val="98"/>
          <w:sz w:val="32"/>
          <w:szCs w:val="32"/>
        </w:rPr>
      </w:pPr>
      <w:r>
        <w:rPr>
          <w:rFonts w:hint="eastAsia" w:ascii="仿宋_GB2312" w:eastAsia="仿宋_GB2312"/>
          <w:w w:val="98"/>
          <w:sz w:val="32"/>
          <w:szCs w:val="32"/>
        </w:rPr>
        <w:t>附件</w:t>
      </w:r>
      <w:r>
        <w:rPr>
          <w:rFonts w:hint="eastAsia" w:ascii="仿宋_GB2312" w:hAnsi="Times New Roman" w:eastAsia="仿宋_GB2312"/>
          <w:w w:val="98"/>
          <w:sz w:val="32"/>
          <w:szCs w:val="32"/>
        </w:rPr>
        <w:t>2</w:t>
      </w:r>
    </w:p>
    <w:p>
      <w:pPr>
        <w:widowControl/>
        <w:spacing w:line="596" w:lineRule="exact"/>
        <w:jc w:val="center"/>
        <w:rPr>
          <w:rFonts w:eastAsia="方正小标宋_GBK"/>
          <w:color w:val="000000"/>
          <w:kern w:val="0"/>
          <w:sz w:val="36"/>
          <w:szCs w:val="36"/>
        </w:rPr>
      </w:pPr>
      <w:r>
        <w:rPr>
          <w:rFonts w:hint="eastAsia" w:eastAsia="方正小标宋_GBK"/>
          <w:color w:val="000000"/>
          <w:kern w:val="0"/>
          <w:sz w:val="36"/>
          <w:szCs w:val="36"/>
          <w:lang w:val="en-US" w:eastAsia="zh-CN"/>
        </w:rPr>
        <w:t>2021年度</w:t>
      </w:r>
      <w:r>
        <w:rPr>
          <w:rFonts w:eastAsia="方正小标宋_GBK"/>
          <w:color w:val="000000"/>
          <w:kern w:val="0"/>
          <w:sz w:val="36"/>
          <w:szCs w:val="36"/>
        </w:rPr>
        <w:t>部门整体支出绩效自评表</w:t>
      </w:r>
    </w:p>
    <w:tbl>
      <w:tblPr>
        <w:tblStyle w:val="17"/>
        <w:tblW w:w="10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37"/>
        <w:gridCol w:w="1059"/>
        <w:gridCol w:w="1316"/>
        <w:gridCol w:w="1188"/>
        <w:gridCol w:w="1425"/>
        <w:gridCol w:w="1161"/>
        <w:gridCol w:w="96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省级预算部门名称</w:t>
            </w:r>
          </w:p>
        </w:tc>
        <w:tc>
          <w:tcPr>
            <w:tcW w:w="9588" w:type="dxa"/>
            <w:gridSpan w:val="8"/>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eastAsia="zh-CN"/>
              </w:rPr>
            </w:pPr>
            <w:r>
              <w:rPr>
                <w:rFonts w:hint="eastAsia" w:ascii="宋体" w:hAnsi="宋体"/>
                <w:color w:val="000000"/>
                <w:kern w:val="0"/>
                <w:sz w:val="24"/>
                <w:szCs w:val="24"/>
                <w:lang w:eastAsia="zh-CN"/>
              </w:rPr>
              <w:t>湖南省价格认证中心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年度预</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算申请</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（万元）</w:t>
            </w:r>
          </w:p>
        </w:tc>
        <w:tc>
          <w:tcPr>
            <w:tcW w:w="1137"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p>
        </w:tc>
        <w:tc>
          <w:tcPr>
            <w:tcW w:w="1059"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r>
              <w:rPr>
                <w:rFonts w:hint="default" w:ascii="宋体" w:hAnsi="宋体"/>
                <w:color w:val="000000"/>
                <w:sz w:val="15"/>
                <w:szCs w:val="15"/>
              </w:rPr>
              <w:t>年初预算数</w:t>
            </w:r>
          </w:p>
        </w:tc>
        <w:tc>
          <w:tcPr>
            <w:tcW w:w="2504" w:type="dxa"/>
            <w:gridSpan w:val="2"/>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r>
              <w:rPr>
                <w:rFonts w:hint="default" w:ascii="宋体" w:hAnsi="宋体"/>
                <w:color w:val="000000"/>
                <w:sz w:val="15"/>
                <w:szCs w:val="15"/>
              </w:rPr>
              <w:t>全年预算数</w:t>
            </w:r>
          </w:p>
        </w:tc>
        <w:tc>
          <w:tcPr>
            <w:tcW w:w="1425"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r>
              <w:rPr>
                <w:rFonts w:hint="default" w:ascii="宋体" w:hAnsi="宋体"/>
                <w:color w:val="000000"/>
                <w:sz w:val="15"/>
                <w:szCs w:val="15"/>
              </w:rPr>
              <w:t>全年执行数</w:t>
            </w:r>
          </w:p>
        </w:tc>
        <w:tc>
          <w:tcPr>
            <w:tcW w:w="1161"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r>
              <w:rPr>
                <w:rFonts w:hint="default" w:ascii="宋体" w:hAnsi="宋体"/>
                <w:color w:val="000000"/>
                <w:sz w:val="15"/>
                <w:szCs w:val="15"/>
              </w:rPr>
              <w:t>分值</w:t>
            </w:r>
          </w:p>
        </w:tc>
        <w:tc>
          <w:tcPr>
            <w:tcW w:w="9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r>
              <w:rPr>
                <w:rFonts w:hint="default" w:ascii="宋体" w:hAnsi="宋体"/>
                <w:color w:val="000000"/>
                <w:sz w:val="15"/>
                <w:szCs w:val="15"/>
              </w:rPr>
              <w:t>执行率</w:t>
            </w:r>
          </w:p>
        </w:tc>
        <w:tc>
          <w:tcPr>
            <w:tcW w:w="1340"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r>
              <w:rPr>
                <w:rFonts w:hint="default" w:ascii="宋体" w:hAnsi="宋体"/>
                <w:color w:val="000000"/>
                <w:sz w:val="15"/>
                <w:szCs w:val="15"/>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sz w:val="15"/>
                <w:szCs w:val="15"/>
              </w:rPr>
            </w:pPr>
            <w:r>
              <w:rPr>
                <w:rFonts w:hint="default" w:ascii="宋体" w:hAnsi="宋体"/>
                <w:color w:val="000000"/>
                <w:kern w:val="0"/>
                <w:sz w:val="15"/>
                <w:szCs w:val="15"/>
              </w:rPr>
              <w:t>年度资金总额</w:t>
            </w:r>
          </w:p>
        </w:tc>
        <w:tc>
          <w:tcPr>
            <w:tcW w:w="1059" w:type="dxa"/>
          </w:tcPr>
          <w:p>
            <w:pPr>
              <w:keepNext w:val="0"/>
              <w:keepLines w:val="0"/>
              <w:suppressLineNumbers w:val="0"/>
              <w:spacing w:before="0" w:beforeAutospacing="0" w:after="0" w:afterAutospacing="0"/>
              <w:ind w:left="0" w:right="0"/>
              <w:jc w:val="center"/>
              <w:rPr>
                <w:rFonts w:hint="default" w:eastAsia="宋体"/>
                <w:sz w:val="15"/>
                <w:szCs w:val="15"/>
                <w:lang w:val="en-US" w:eastAsia="zh-CN"/>
              </w:rPr>
            </w:pPr>
            <w:r>
              <w:rPr>
                <w:rFonts w:hint="eastAsia"/>
                <w:sz w:val="15"/>
                <w:szCs w:val="15"/>
                <w:lang w:val="en-US" w:eastAsia="zh-CN"/>
              </w:rPr>
              <w:t>257.47</w:t>
            </w:r>
          </w:p>
        </w:tc>
        <w:tc>
          <w:tcPr>
            <w:tcW w:w="2504" w:type="dxa"/>
            <w:gridSpan w:val="2"/>
          </w:tcPr>
          <w:p>
            <w:pPr>
              <w:keepNext w:val="0"/>
              <w:keepLines w:val="0"/>
              <w:suppressLineNumbers w:val="0"/>
              <w:spacing w:before="0" w:beforeAutospacing="0" w:after="0" w:afterAutospacing="0"/>
              <w:ind w:left="0" w:right="0"/>
              <w:jc w:val="center"/>
              <w:rPr>
                <w:rFonts w:hint="default" w:eastAsia="宋体"/>
                <w:sz w:val="15"/>
                <w:szCs w:val="15"/>
                <w:lang w:val="en-US" w:eastAsia="zh-CN"/>
              </w:rPr>
            </w:pPr>
            <w:r>
              <w:rPr>
                <w:rFonts w:hint="eastAsia"/>
                <w:sz w:val="15"/>
                <w:szCs w:val="15"/>
                <w:lang w:val="en-US" w:eastAsia="zh-CN"/>
              </w:rPr>
              <w:t>257.45</w:t>
            </w:r>
          </w:p>
        </w:tc>
        <w:tc>
          <w:tcPr>
            <w:tcW w:w="1425" w:type="dxa"/>
          </w:tcPr>
          <w:p>
            <w:pPr>
              <w:keepNext w:val="0"/>
              <w:keepLines w:val="0"/>
              <w:suppressLineNumbers w:val="0"/>
              <w:spacing w:before="0" w:beforeAutospacing="0" w:after="0" w:afterAutospacing="0"/>
              <w:ind w:left="0" w:right="0"/>
              <w:jc w:val="center"/>
              <w:rPr>
                <w:rFonts w:hint="default" w:eastAsia="宋体"/>
                <w:sz w:val="15"/>
                <w:szCs w:val="15"/>
                <w:lang w:val="en-US" w:eastAsia="zh-CN"/>
              </w:rPr>
            </w:pPr>
            <w:r>
              <w:rPr>
                <w:rFonts w:hint="eastAsia"/>
                <w:sz w:val="15"/>
                <w:szCs w:val="15"/>
                <w:lang w:val="en-US" w:eastAsia="zh-CN"/>
              </w:rPr>
              <w:t>200.94</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10</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78.05%</w:t>
            </w:r>
          </w:p>
        </w:tc>
        <w:tc>
          <w:tcPr>
            <w:tcW w:w="1340"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4700" w:type="dxa"/>
            <w:gridSpan w:val="4"/>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olor w:val="000000"/>
                <w:kern w:val="0"/>
                <w:sz w:val="15"/>
                <w:szCs w:val="15"/>
                <w:lang w:val="en-US" w:eastAsia="zh-CN"/>
              </w:rPr>
            </w:pPr>
            <w:r>
              <w:rPr>
                <w:rFonts w:hint="default" w:ascii="宋体" w:hAnsi="宋体"/>
                <w:color w:val="000000"/>
                <w:kern w:val="0"/>
                <w:sz w:val="15"/>
                <w:szCs w:val="15"/>
              </w:rPr>
              <w:t>按收入性质分：</w:t>
            </w:r>
            <w:r>
              <w:rPr>
                <w:rFonts w:hint="eastAsia" w:ascii="宋体" w:hAnsi="宋体"/>
                <w:color w:val="000000"/>
                <w:kern w:val="0"/>
                <w:sz w:val="15"/>
                <w:szCs w:val="15"/>
                <w:lang w:val="en-US" w:eastAsia="zh-CN"/>
              </w:rPr>
              <w:t>257.45</w:t>
            </w:r>
          </w:p>
        </w:tc>
        <w:tc>
          <w:tcPr>
            <w:tcW w:w="4888" w:type="dxa"/>
            <w:gridSpan w:val="4"/>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olor w:val="000000"/>
                <w:kern w:val="0"/>
                <w:sz w:val="15"/>
                <w:szCs w:val="15"/>
                <w:lang w:val="en-US" w:eastAsia="zh-CN"/>
              </w:rPr>
            </w:pPr>
            <w:r>
              <w:rPr>
                <w:rFonts w:hint="default" w:ascii="宋体" w:hAnsi="宋体"/>
                <w:color w:val="000000"/>
                <w:kern w:val="0"/>
                <w:sz w:val="15"/>
                <w:szCs w:val="15"/>
              </w:rPr>
              <w:t>按支出性质分：</w:t>
            </w:r>
            <w:r>
              <w:rPr>
                <w:rFonts w:hint="eastAsia" w:ascii="宋体" w:hAnsi="宋体"/>
                <w:color w:val="000000"/>
                <w:kern w:val="0"/>
                <w:sz w:val="15"/>
                <w:szCs w:val="15"/>
                <w:lang w:val="en-US" w:eastAsia="zh-CN"/>
              </w:rPr>
              <w:t>200.94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4700" w:type="dxa"/>
            <w:gridSpan w:val="4"/>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olor w:val="000000"/>
                <w:kern w:val="0"/>
                <w:sz w:val="15"/>
                <w:szCs w:val="15"/>
                <w:lang w:val="en-US" w:eastAsia="zh-CN"/>
              </w:rPr>
            </w:pPr>
            <w:r>
              <w:rPr>
                <w:rFonts w:hint="default" w:ascii="宋体" w:hAnsi="宋体"/>
                <w:color w:val="000000"/>
                <w:kern w:val="0"/>
                <w:sz w:val="15"/>
                <w:szCs w:val="15"/>
              </w:rPr>
              <w:t xml:space="preserve">  其中：  一般公共预算</w:t>
            </w:r>
            <w:r>
              <w:rPr>
                <w:rFonts w:hint="eastAsia" w:ascii="宋体" w:hAnsi="宋体"/>
                <w:color w:val="000000"/>
                <w:kern w:val="0"/>
                <w:sz w:val="15"/>
                <w:szCs w:val="15"/>
                <w:lang w:eastAsia="zh-CN"/>
              </w:rPr>
              <w:t>：</w:t>
            </w:r>
            <w:r>
              <w:rPr>
                <w:rFonts w:hint="eastAsia" w:ascii="宋体" w:hAnsi="宋体"/>
                <w:color w:val="000000"/>
                <w:kern w:val="0"/>
                <w:sz w:val="15"/>
                <w:szCs w:val="15"/>
                <w:lang w:val="en-US" w:eastAsia="zh-CN"/>
              </w:rPr>
              <w:t>257.45</w:t>
            </w:r>
          </w:p>
        </w:tc>
        <w:tc>
          <w:tcPr>
            <w:tcW w:w="4888" w:type="dxa"/>
            <w:gridSpan w:val="4"/>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olor w:val="000000"/>
                <w:kern w:val="0"/>
                <w:sz w:val="15"/>
                <w:szCs w:val="15"/>
                <w:lang w:val="en-US" w:eastAsia="zh-CN"/>
              </w:rPr>
            </w:pPr>
            <w:r>
              <w:rPr>
                <w:rFonts w:hint="default" w:ascii="宋体" w:hAnsi="宋体"/>
                <w:color w:val="000000"/>
                <w:kern w:val="0"/>
                <w:sz w:val="15"/>
                <w:szCs w:val="15"/>
              </w:rPr>
              <w:t>其中：基本支出：</w:t>
            </w:r>
            <w:r>
              <w:rPr>
                <w:rFonts w:hint="eastAsia" w:ascii="宋体" w:hAnsi="宋体"/>
                <w:color w:val="000000"/>
                <w:kern w:val="0"/>
                <w:sz w:val="15"/>
                <w:szCs w:val="15"/>
                <w:lang w:val="en-US" w:eastAsia="zh-CN"/>
              </w:rPr>
              <w:t>170.31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4700" w:type="dxa"/>
            <w:gridSpan w:val="4"/>
            <w:vAlign w:val="center"/>
          </w:tcPr>
          <w:p>
            <w:pPr>
              <w:keepNext w:val="0"/>
              <w:keepLines w:val="0"/>
              <w:widowControl/>
              <w:suppressLineNumbers w:val="0"/>
              <w:spacing w:before="0" w:beforeAutospacing="0" w:after="0" w:afterAutospacing="0" w:line="280" w:lineRule="exact"/>
              <w:ind w:left="0" w:right="0" w:firstLine="600" w:firstLineChars="400"/>
              <w:jc w:val="left"/>
              <w:rPr>
                <w:rFonts w:hint="eastAsia" w:ascii="宋体" w:hAnsi="宋体" w:eastAsia="宋体"/>
                <w:color w:val="000000"/>
                <w:kern w:val="0"/>
                <w:sz w:val="15"/>
                <w:szCs w:val="15"/>
                <w:lang w:val="en-US" w:eastAsia="zh-CN"/>
              </w:rPr>
            </w:pPr>
            <w:r>
              <w:rPr>
                <w:rFonts w:hint="default" w:ascii="宋体" w:hAnsi="宋体"/>
                <w:color w:val="000000"/>
                <w:kern w:val="0"/>
                <w:sz w:val="15"/>
                <w:szCs w:val="15"/>
              </w:rPr>
              <w:t>政府性基金拨款：</w:t>
            </w:r>
            <w:r>
              <w:rPr>
                <w:rFonts w:hint="eastAsia" w:ascii="宋体" w:hAnsi="宋体"/>
                <w:color w:val="000000"/>
                <w:kern w:val="0"/>
                <w:sz w:val="15"/>
                <w:szCs w:val="15"/>
                <w:lang w:val="en-US" w:eastAsia="zh-CN"/>
              </w:rPr>
              <w:t>0</w:t>
            </w:r>
          </w:p>
        </w:tc>
        <w:tc>
          <w:tcPr>
            <w:tcW w:w="4888" w:type="dxa"/>
            <w:gridSpan w:val="4"/>
            <w:vAlign w:val="center"/>
          </w:tcPr>
          <w:p>
            <w:pPr>
              <w:keepNext w:val="0"/>
              <w:keepLines w:val="0"/>
              <w:widowControl/>
              <w:suppressLineNumbers w:val="0"/>
              <w:spacing w:before="0" w:beforeAutospacing="0" w:after="0" w:afterAutospacing="0" w:line="280" w:lineRule="exact"/>
              <w:ind w:left="0" w:right="0" w:firstLine="450" w:firstLineChars="300"/>
              <w:jc w:val="left"/>
              <w:rPr>
                <w:rFonts w:hint="default" w:ascii="宋体" w:hAnsi="宋体" w:eastAsia="宋体"/>
                <w:color w:val="000000"/>
                <w:kern w:val="0"/>
                <w:sz w:val="15"/>
                <w:szCs w:val="15"/>
                <w:lang w:val="en-US" w:eastAsia="zh-CN"/>
              </w:rPr>
            </w:pPr>
            <w:r>
              <w:rPr>
                <w:rFonts w:hint="default" w:ascii="宋体" w:hAnsi="宋体"/>
                <w:color w:val="000000"/>
                <w:kern w:val="0"/>
                <w:sz w:val="15"/>
                <w:szCs w:val="15"/>
              </w:rPr>
              <w:t>项目支出：</w:t>
            </w:r>
            <w:r>
              <w:rPr>
                <w:rFonts w:hint="eastAsia" w:ascii="宋体" w:hAnsi="宋体"/>
                <w:color w:val="000000"/>
                <w:kern w:val="0"/>
                <w:sz w:val="15"/>
                <w:szCs w:val="15"/>
                <w:lang w:val="en-US" w:eastAsia="zh-CN"/>
              </w:rPr>
              <w:t>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4700" w:type="dxa"/>
            <w:gridSpan w:val="4"/>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olor w:val="000000"/>
                <w:kern w:val="0"/>
                <w:sz w:val="15"/>
                <w:szCs w:val="15"/>
                <w:lang w:val="en-US" w:eastAsia="zh-CN"/>
              </w:rPr>
            </w:pPr>
            <w:r>
              <w:rPr>
                <w:rFonts w:hint="default" w:ascii="宋体" w:hAnsi="宋体"/>
                <w:color w:val="000000"/>
                <w:kern w:val="0"/>
                <w:sz w:val="15"/>
                <w:szCs w:val="15"/>
              </w:rPr>
              <w:t>纳入专户管理的非税收入拨款：</w:t>
            </w:r>
            <w:r>
              <w:rPr>
                <w:rFonts w:hint="eastAsia" w:ascii="宋体" w:hAnsi="宋体"/>
                <w:color w:val="000000"/>
                <w:kern w:val="0"/>
                <w:sz w:val="15"/>
                <w:szCs w:val="15"/>
                <w:lang w:val="en-US" w:eastAsia="zh-CN"/>
              </w:rPr>
              <w:t>0</w:t>
            </w:r>
          </w:p>
        </w:tc>
        <w:tc>
          <w:tcPr>
            <w:tcW w:w="4888" w:type="dxa"/>
            <w:gridSpan w:val="4"/>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4700" w:type="dxa"/>
            <w:gridSpan w:val="4"/>
            <w:vAlign w:val="center"/>
          </w:tcPr>
          <w:p>
            <w:pPr>
              <w:keepNext w:val="0"/>
              <w:keepLines w:val="0"/>
              <w:widowControl/>
              <w:suppressLineNumbers w:val="0"/>
              <w:spacing w:before="0" w:beforeAutospacing="0" w:after="0" w:afterAutospacing="0" w:line="280" w:lineRule="exact"/>
              <w:ind w:left="0" w:right="0" w:firstLine="1050" w:firstLineChars="700"/>
              <w:jc w:val="left"/>
              <w:rPr>
                <w:rFonts w:hint="eastAsia" w:ascii="宋体" w:hAnsi="宋体" w:eastAsia="宋体"/>
                <w:color w:val="000000"/>
                <w:kern w:val="0"/>
                <w:sz w:val="15"/>
                <w:szCs w:val="15"/>
                <w:lang w:val="en-US" w:eastAsia="zh-CN"/>
              </w:rPr>
            </w:pPr>
            <w:r>
              <w:rPr>
                <w:rFonts w:hint="default" w:ascii="宋体" w:hAnsi="宋体"/>
                <w:color w:val="000000"/>
                <w:kern w:val="0"/>
                <w:sz w:val="15"/>
                <w:szCs w:val="15"/>
              </w:rPr>
              <w:t>其他资金：</w:t>
            </w:r>
            <w:r>
              <w:rPr>
                <w:rFonts w:hint="eastAsia" w:ascii="宋体" w:hAnsi="宋体"/>
                <w:color w:val="000000"/>
                <w:kern w:val="0"/>
                <w:sz w:val="15"/>
                <w:szCs w:val="15"/>
                <w:lang w:val="en-US" w:eastAsia="zh-CN"/>
              </w:rPr>
              <w:t>0</w:t>
            </w:r>
          </w:p>
        </w:tc>
        <w:tc>
          <w:tcPr>
            <w:tcW w:w="4888" w:type="dxa"/>
            <w:gridSpan w:val="4"/>
            <w:vAlign w:val="center"/>
          </w:tcPr>
          <w:p>
            <w:pPr>
              <w:keepNext w:val="0"/>
              <w:keepLines w:val="0"/>
              <w:widowControl/>
              <w:suppressLineNumbers w:val="0"/>
              <w:spacing w:before="0" w:beforeAutospacing="0" w:after="0" w:afterAutospacing="0" w:line="280" w:lineRule="exact"/>
              <w:ind w:left="0" w:right="0" w:firstLine="450" w:firstLineChars="30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27"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年度总体</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目标</w:t>
            </w:r>
          </w:p>
        </w:tc>
        <w:tc>
          <w:tcPr>
            <w:tcW w:w="4700" w:type="dxa"/>
            <w:gridSpan w:val="4"/>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预期目标</w:t>
            </w:r>
          </w:p>
        </w:tc>
        <w:tc>
          <w:tcPr>
            <w:tcW w:w="4888" w:type="dxa"/>
            <w:gridSpan w:val="4"/>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4700" w:type="dxa"/>
            <w:gridSpan w:val="4"/>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Times New Roman"/>
                <w:color w:val="000000"/>
                <w:kern w:val="0"/>
                <w:sz w:val="15"/>
                <w:szCs w:val="15"/>
                <w:lang w:eastAsia="zh-CN"/>
              </w:rPr>
            </w:pPr>
            <w:r>
              <w:rPr>
                <w:rFonts w:hint="eastAsia" w:ascii="宋体" w:hAnsi="宋体" w:cs="Times New Roman"/>
                <w:color w:val="000000"/>
                <w:kern w:val="0"/>
                <w:sz w:val="15"/>
                <w:szCs w:val="15"/>
                <w:lang w:eastAsia="zh-CN"/>
              </w:rPr>
              <w:t>组织进行全省价格认定系统新进人员岗位培训及价格认定骨干人员继续教育培训，指导本行政区域内各级价格认定机构开展价格认定工作和省级复核案件办理。</w:t>
            </w:r>
          </w:p>
        </w:tc>
        <w:tc>
          <w:tcPr>
            <w:tcW w:w="4888" w:type="dxa"/>
            <w:gridSpan w:val="4"/>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Times New Roman"/>
                <w:color w:val="000000"/>
                <w:kern w:val="0"/>
                <w:sz w:val="15"/>
                <w:szCs w:val="15"/>
                <w:lang w:val="en-US" w:eastAsia="zh-CN"/>
              </w:rPr>
            </w:pPr>
            <w:r>
              <w:rPr>
                <w:rFonts w:hint="eastAsia" w:ascii="宋体" w:hAnsi="宋体" w:cs="Times New Roman"/>
                <w:color w:val="000000"/>
                <w:kern w:val="0"/>
                <w:sz w:val="15"/>
                <w:szCs w:val="15"/>
                <w:lang w:eastAsia="zh-CN"/>
              </w:rPr>
              <w:t>定期完成全省</w:t>
            </w:r>
            <w:r>
              <w:rPr>
                <w:rFonts w:hint="eastAsia" w:ascii="宋体" w:hAnsi="宋体" w:cs="Times New Roman"/>
                <w:color w:val="000000"/>
                <w:kern w:val="0"/>
                <w:sz w:val="15"/>
                <w:szCs w:val="15"/>
                <w:lang w:val="en-US" w:eastAsia="zh-CN"/>
              </w:rPr>
              <w:t>2次培训；按照《湖南省涉案物价格鉴证管理条例》及国家发改委《价格认定规定》要求协助国家机关按时保质完成价格认定及复核工作。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827"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绩</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效</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标</w:t>
            </w:r>
          </w:p>
        </w:tc>
        <w:tc>
          <w:tcPr>
            <w:tcW w:w="1137"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一级指标</w:t>
            </w:r>
          </w:p>
        </w:tc>
        <w:tc>
          <w:tcPr>
            <w:tcW w:w="1059"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二级指标</w:t>
            </w:r>
          </w:p>
        </w:tc>
        <w:tc>
          <w:tcPr>
            <w:tcW w:w="1316"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三级</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指标</w:t>
            </w:r>
          </w:p>
        </w:tc>
        <w:tc>
          <w:tcPr>
            <w:tcW w:w="1188"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年度</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指标值</w:t>
            </w:r>
          </w:p>
        </w:tc>
        <w:tc>
          <w:tcPr>
            <w:tcW w:w="1425"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实际</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完成值</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分值</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得分</w:t>
            </w:r>
          </w:p>
        </w:tc>
        <w:tc>
          <w:tcPr>
            <w:tcW w:w="1340" w:type="dxa"/>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偏差原因分析</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产出指标</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(50分)</w:t>
            </w:r>
          </w:p>
        </w:tc>
        <w:tc>
          <w:tcPr>
            <w:tcW w:w="1059"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数量</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在职人员控制数</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在职人员不超过编制人数</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olor w:val="000000"/>
                <w:kern w:val="0"/>
                <w:sz w:val="15"/>
                <w:szCs w:val="15"/>
                <w:lang w:val="en-US" w:eastAsia="zh-CN"/>
              </w:rPr>
            </w:pPr>
            <w:r>
              <w:rPr>
                <w:rFonts w:hint="default" w:ascii="宋体" w:hAnsi="宋体"/>
                <w:color w:val="000000"/>
                <w:kern w:val="0"/>
                <w:sz w:val="15"/>
                <w:szCs w:val="15"/>
              </w:rPr>
              <w:t>在职人员</w:t>
            </w:r>
            <w:r>
              <w:rPr>
                <w:rFonts w:hint="eastAsia" w:ascii="宋体" w:hAnsi="宋体"/>
                <w:color w:val="000000"/>
                <w:kern w:val="0"/>
                <w:sz w:val="15"/>
                <w:szCs w:val="15"/>
                <w:lang w:eastAsia="zh-CN"/>
              </w:rPr>
              <w:t>未</w:t>
            </w:r>
            <w:r>
              <w:rPr>
                <w:rFonts w:hint="default" w:ascii="宋体" w:hAnsi="宋体"/>
                <w:color w:val="000000"/>
                <w:kern w:val="0"/>
                <w:sz w:val="15"/>
                <w:szCs w:val="15"/>
              </w:rPr>
              <w:t>超过编制人数</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预算调整及执行情况</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预算调整率不超10%，执行不超全年预算</w:t>
            </w:r>
          </w:p>
        </w:tc>
        <w:tc>
          <w:tcPr>
            <w:tcW w:w="1425"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预算调整率</w:t>
            </w:r>
            <w:r>
              <w:rPr>
                <w:rFonts w:hint="eastAsia" w:ascii="宋体" w:hAnsi="宋体"/>
                <w:color w:val="000000"/>
                <w:kern w:val="0"/>
                <w:sz w:val="15"/>
                <w:szCs w:val="15"/>
                <w:lang w:eastAsia="zh-CN"/>
              </w:rPr>
              <w:t>未</w:t>
            </w:r>
            <w:r>
              <w:rPr>
                <w:rFonts w:hint="default" w:ascii="宋体" w:hAnsi="宋体"/>
                <w:color w:val="000000"/>
                <w:kern w:val="0"/>
                <w:sz w:val="15"/>
                <w:szCs w:val="15"/>
              </w:rPr>
              <w:t>超10%，执行</w:t>
            </w:r>
            <w:r>
              <w:rPr>
                <w:rFonts w:hint="eastAsia" w:ascii="宋体" w:hAnsi="宋体"/>
                <w:color w:val="000000"/>
                <w:kern w:val="0"/>
                <w:sz w:val="15"/>
                <w:szCs w:val="15"/>
                <w:lang w:eastAsia="zh-CN"/>
              </w:rPr>
              <w:t>未</w:t>
            </w:r>
            <w:r>
              <w:rPr>
                <w:rFonts w:hint="default" w:ascii="宋体" w:hAnsi="宋体"/>
                <w:color w:val="000000"/>
                <w:kern w:val="0"/>
                <w:sz w:val="15"/>
                <w:szCs w:val="15"/>
              </w:rPr>
              <w:t>超全年预算</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工作任务执行情况</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完成职责内工作及相关工作</w:t>
            </w:r>
          </w:p>
        </w:tc>
        <w:tc>
          <w:tcPr>
            <w:tcW w:w="1425"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完成职责内工作及相关工作</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质量</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财政资金使用合规性</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规范预算开支，</w:t>
            </w:r>
            <w:r>
              <w:rPr>
                <w:rFonts w:hint="default" w:ascii="宋体" w:hAnsi="宋体"/>
                <w:color w:val="000000"/>
                <w:sz w:val="15"/>
                <w:szCs w:val="15"/>
              </w:rPr>
              <w:t>符合国家财经法规和单位财务管理制度规定</w:t>
            </w:r>
          </w:p>
        </w:tc>
        <w:tc>
          <w:tcPr>
            <w:tcW w:w="1425" w:type="dxa"/>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olor w:val="000000"/>
                <w:kern w:val="0"/>
                <w:sz w:val="15"/>
                <w:szCs w:val="15"/>
                <w:lang w:eastAsia="zh-CN"/>
              </w:rPr>
            </w:pPr>
            <w:r>
              <w:rPr>
                <w:rFonts w:hint="eastAsia" w:ascii="宋体" w:hAnsi="宋体"/>
                <w:color w:val="000000"/>
                <w:kern w:val="0"/>
                <w:sz w:val="15"/>
                <w:szCs w:val="15"/>
                <w:lang w:eastAsia="zh-CN"/>
              </w:rPr>
              <w:t>部分预算开支欠规范</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4</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lang w:val="en-US" w:eastAsia="zh-CN"/>
                <w14:textFill>
                  <w14:solidFill>
                    <w14:schemeClr w14:val="tx1"/>
                  </w14:solidFill>
                </w14:textFill>
              </w:rPr>
              <w:t>3</w:t>
            </w:r>
          </w:p>
        </w:tc>
        <w:tc>
          <w:tcPr>
            <w:tcW w:w="1340" w:type="dxa"/>
            <w:vAlign w:val="center"/>
          </w:tcPr>
          <w:p>
            <w:pPr>
              <w:keepNext w:val="0"/>
              <w:keepLines w:val="0"/>
              <w:widowControl/>
              <w:suppressLineNumbers w:val="0"/>
              <w:spacing w:before="0" w:beforeAutospacing="0" w:after="0" w:afterAutospacing="0" w:line="280" w:lineRule="exact"/>
              <w:ind w:left="0" w:right="0"/>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工作有效性及安全性</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不得出现重大事故及投诉</w:t>
            </w:r>
          </w:p>
        </w:tc>
        <w:tc>
          <w:tcPr>
            <w:tcW w:w="1425"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eastAsia" w:ascii="宋体" w:hAnsi="宋体"/>
                <w:color w:val="000000"/>
                <w:kern w:val="0"/>
                <w:sz w:val="15"/>
                <w:szCs w:val="15"/>
                <w:lang w:eastAsia="zh-CN"/>
              </w:rPr>
              <w:t>没</w:t>
            </w:r>
            <w:r>
              <w:rPr>
                <w:rFonts w:hint="default" w:ascii="宋体" w:hAnsi="宋体"/>
                <w:color w:val="000000"/>
                <w:kern w:val="0"/>
                <w:sz w:val="15"/>
                <w:szCs w:val="15"/>
              </w:rPr>
              <w:t>出现重大事故及投诉</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4</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4</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管理制度及安全性</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sz w:val="15"/>
                <w:szCs w:val="15"/>
              </w:rPr>
              <w:t>管理制度得到有效执行</w:t>
            </w:r>
          </w:p>
        </w:tc>
        <w:tc>
          <w:tcPr>
            <w:tcW w:w="1425" w:type="dxa"/>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olor w:val="000000"/>
                <w:kern w:val="0"/>
                <w:sz w:val="15"/>
                <w:szCs w:val="15"/>
                <w:lang w:eastAsia="zh-CN"/>
              </w:rPr>
            </w:pPr>
            <w:r>
              <w:rPr>
                <w:rFonts w:hint="default" w:ascii="宋体" w:hAnsi="宋体"/>
                <w:color w:val="000000"/>
                <w:sz w:val="15"/>
                <w:szCs w:val="15"/>
              </w:rPr>
              <w:t>管理制度</w:t>
            </w:r>
            <w:r>
              <w:rPr>
                <w:rFonts w:hint="eastAsia" w:ascii="宋体" w:hAnsi="宋体"/>
                <w:color w:val="000000"/>
                <w:sz w:val="15"/>
                <w:szCs w:val="15"/>
                <w:lang w:eastAsia="zh-CN"/>
              </w:rPr>
              <w:t>欠完善</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4</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3</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验收合格率</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各项目实施及设备验收合格</w:t>
            </w:r>
          </w:p>
        </w:tc>
        <w:tc>
          <w:tcPr>
            <w:tcW w:w="1425"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各项目实施及设备验收合格</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3</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eastAsia"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3</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时效</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工作效率</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完成全年任务考核</w:t>
            </w:r>
          </w:p>
        </w:tc>
        <w:tc>
          <w:tcPr>
            <w:tcW w:w="1425"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完成全年任务考核</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10</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10</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成本</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公用经费节约</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不超全年预算</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eastAsia" w:ascii="宋体" w:hAnsi="宋体"/>
                <w:color w:val="000000"/>
                <w:kern w:val="0"/>
                <w:sz w:val="15"/>
                <w:szCs w:val="15"/>
                <w:lang w:eastAsia="zh-CN"/>
              </w:rPr>
              <w:t>未</w:t>
            </w:r>
            <w:r>
              <w:rPr>
                <w:rFonts w:hint="default" w:ascii="宋体" w:hAnsi="宋体"/>
                <w:color w:val="000000"/>
                <w:kern w:val="0"/>
                <w:sz w:val="15"/>
                <w:szCs w:val="15"/>
              </w:rPr>
              <w:t>超全年预算</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kern w:val="0"/>
                <w:sz w:val="15"/>
                <w:szCs w:val="15"/>
              </w:rPr>
              <w:t>三公经费节约</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不超全年预算</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eastAsia" w:ascii="宋体" w:hAnsi="宋体"/>
                <w:color w:val="000000"/>
                <w:kern w:val="0"/>
                <w:sz w:val="15"/>
                <w:szCs w:val="15"/>
                <w:lang w:eastAsia="zh-CN"/>
              </w:rPr>
              <w:t>未</w:t>
            </w:r>
            <w:r>
              <w:rPr>
                <w:rFonts w:hint="default" w:ascii="宋体" w:hAnsi="宋体"/>
                <w:color w:val="000000"/>
                <w:kern w:val="0"/>
                <w:sz w:val="15"/>
                <w:szCs w:val="15"/>
              </w:rPr>
              <w:t>超全年预算</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效益指标</w:t>
            </w:r>
          </w:p>
          <w:p>
            <w:pPr>
              <w:keepNext w:val="0"/>
              <w:keepLines w:val="0"/>
              <w:widowControl/>
              <w:suppressLineNumbers w:val="0"/>
              <w:spacing w:before="0" w:beforeAutospacing="0" w:after="0" w:afterAutospacing="0" w:line="280" w:lineRule="exact"/>
              <w:ind w:left="0" w:right="0" w:firstLine="150" w:firstLineChars="100"/>
              <w:jc w:val="left"/>
              <w:rPr>
                <w:rFonts w:hint="default" w:ascii="宋体" w:hAnsi="宋体"/>
                <w:color w:val="000000"/>
                <w:kern w:val="0"/>
                <w:sz w:val="15"/>
                <w:szCs w:val="15"/>
              </w:rPr>
            </w:pPr>
            <w:r>
              <w:rPr>
                <w:rFonts w:hint="default" w:ascii="宋体" w:hAnsi="宋体"/>
                <w:color w:val="000000"/>
                <w:kern w:val="0"/>
                <w:sz w:val="15"/>
                <w:szCs w:val="15"/>
              </w:rPr>
              <w:t>（</w:t>
            </w:r>
            <w:r>
              <w:rPr>
                <w:rFonts w:hint="eastAsia" w:ascii="宋体" w:hAnsi="宋体"/>
                <w:color w:val="000000"/>
                <w:kern w:val="0"/>
                <w:sz w:val="15"/>
                <w:szCs w:val="15"/>
                <w:lang w:val="en-US" w:eastAsia="zh-CN"/>
              </w:rPr>
              <w:t>3</w:t>
            </w:r>
            <w:r>
              <w:rPr>
                <w:rFonts w:hint="default" w:ascii="宋体" w:hAnsi="宋体"/>
                <w:color w:val="000000"/>
                <w:kern w:val="0"/>
                <w:sz w:val="15"/>
                <w:szCs w:val="15"/>
              </w:rPr>
              <w:t>0分）　</w:t>
            </w:r>
          </w:p>
        </w:tc>
        <w:tc>
          <w:tcPr>
            <w:tcW w:w="1059"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经济效</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益指标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保持投资额度增长</w:t>
            </w:r>
          </w:p>
        </w:tc>
        <w:tc>
          <w:tcPr>
            <w:tcW w:w="1188"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稳步上升</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稳步上升</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促进全省经济发展</w:t>
            </w:r>
          </w:p>
        </w:tc>
        <w:tc>
          <w:tcPr>
            <w:tcW w:w="1188"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效果良好</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效果良好</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社会效</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益指标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highlight w:val="yellow"/>
              </w:rPr>
            </w:pPr>
            <w:r>
              <w:rPr>
                <w:rFonts w:hint="default" w:ascii="宋体" w:hAnsi="宋体"/>
                <w:color w:val="000000"/>
                <w:kern w:val="0"/>
                <w:sz w:val="15"/>
                <w:szCs w:val="15"/>
              </w:rPr>
              <w:t>直接或间接带动相关产业发展</w:t>
            </w:r>
          </w:p>
        </w:tc>
        <w:tc>
          <w:tcPr>
            <w:tcW w:w="1188"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highlight w:val="yellow"/>
              </w:rPr>
            </w:pPr>
            <w:r>
              <w:rPr>
                <w:rFonts w:hint="default" w:ascii="宋体" w:hAnsi="宋体"/>
                <w:color w:val="000000"/>
                <w:kern w:val="0"/>
                <w:sz w:val="15"/>
                <w:szCs w:val="15"/>
              </w:rPr>
              <w:t>效果良好</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Times New Roman"/>
                <w:color w:val="000000"/>
                <w:kern w:val="0"/>
                <w:sz w:val="15"/>
                <w:szCs w:val="15"/>
                <w:highlight w:val="yellow"/>
                <w:lang w:val="en-US" w:eastAsia="zh-CN" w:bidi="ar-SA"/>
              </w:rPr>
            </w:pPr>
            <w:r>
              <w:rPr>
                <w:rFonts w:hint="default" w:ascii="宋体" w:hAnsi="宋体"/>
                <w:color w:val="000000"/>
                <w:kern w:val="0"/>
                <w:sz w:val="15"/>
                <w:szCs w:val="15"/>
              </w:rPr>
              <w:t>效果良好</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highlight w:val="yellow"/>
              </w:rPr>
            </w:pPr>
            <w:r>
              <w:rPr>
                <w:rFonts w:hint="default" w:ascii="宋体" w:hAnsi="宋体"/>
                <w:color w:val="000000"/>
                <w:kern w:val="0"/>
                <w:sz w:val="15"/>
                <w:szCs w:val="15"/>
              </w:rPr>
              <w:t>推动网上办事，提高行政效率</w:t>
            </w:r>
          </w:p>
        </w:tc>
        <w:tc>
          <w:tcPr>
            <w:tcW w:w="1188"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highlight w:val="yellow"/>
              </w:rPr>
            </w:pPr>
            <w:r>
              <w:rPr>
                <w:rFonts w:hint="default" w:ascii="宋体" w:hAnsi="宋体"/>
                <w:color w:val="000000"/>
                <w:kern w:val="0"/>
                <w:sz w:val="15"/>
                <w:szCs w:val="15"/>
              </w:rPr>
              <w:t>效果良好</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Times New Roman"/>
                <w:color w:val="000000"/>
                <w:kern w:val="0"/>
                <w:sz w:val="15"/>
                <w:szCs w:val="15"/>
                <w:highlight w:val="yellow"/>
                <w:lang w:val="en-US" w:eastAsia="zh-CN" w:bidi="ar-SA"/>
              </w:rPr>
            </w:pPr>
            <w:r>
              <w:rPr>
                <w:rFonts w:hint="default" w:ascii="宋体" w:hAnsi="宋体"/>
                <w:color w:val="000000"/>
                <w:kern w:val="0"/>
                <w:sz w:val="15"/>
                <w:szCs w:val="15"/>
              </w:rPr>
              <w:t>效果良好</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生态效</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益指标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highlight w:val="yellow"/>
              </w:rPr>
            </w:pPr>
            <w:r>
              <w:rPr>
                <w:rFonts w:hint="default" w:ascii="宋体" w:hAnsi="宋体"/>
                <w:color w:val="000000"/>
                <w:kern w:val="0"/>
                <w:sz w:val="15"/>
                <w:szCs w:val="15"/>
              </w:rPr>
              <w:t>加快推进生态文明建设</w:t>
            </w:r>
          </w:p>
        </w:tc>
        <w:tc>
          <w:tcPr>
            <w:tcW w:w="1188"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highlight w:val="yellow"/>
              </w:rPr>
            </w:pPr>
            <w:r>
              <w:rPr>
                <w:rFonts w:hint="default" w:ascii="宋体" w:hAnsi="宋体"/>
                <w:color w:val="000000"/>
                <w:kern w:val="0"/>
                <w:sz w:val="15"/>
                <w:szCs w:val="15"/>
              </w:rPr>
              <w:t>效果良好</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Times New Roman"/>
                <w:color w:val="000000"/>
                <w:kern w:val="0"/>
                <w:sz w:val="15"/>
                <w:szCs w:val="15"/>
                <w:highlight w:val="yellow"/>
                <w:lang w:val="en-US" w:eastAsia="zh-CN" w:bidi="ar-SA"/>
              </w:rPr>
            </w:pPr>
            <w:r>
              <w:rPr>
                <w:rFonts w:hint="default" w:ascii="宋体" w:hAnsi="宋体"/>
                <w:color w:val="000000"/>
                <w:kern w:val="0"/>
                <w:sz w:val="15"/>
                <w:szCs w:val="15"/>
              </w:rPr>
              <w:t>效果良好</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eastAsia" w:ascii="宋体" w:hAnsi="宋体"/>
                <w:color w:val="000000"/>
                <w:kern w:val="0"/>
                <w:sz w:val="15"/>
                <w:szCs w:val="15"/>
                <w:lang w:val="en-US" w:eastAsia="zh-CN"/>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p>
        </w:tc>
        <w:tc>
          <w:tcPr>
            <w:tcW w:w="113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可持续影响</w:t>
            </w:r>
          </w:p>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对国家及社会群众带来的后续影响</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为国家及社会群众带来深远的影响</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为国家及社会群众带来深远的影响</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eastAsia" w:ascii="宋体" w:hAnsi="宋体"/>
                <w:color w:val="000000"/>
                <w:kern w:val="0"/>
                <w:sz w:val="15"/>
                <w:szCs w:val="15"/>
                <w:lang w:val="en-US" w:eastAsia="zh-CN"/>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827" w:type="dxa"/>
            <w:vMerge w:val="continue"/>
            <w:vAlign w:val="center"/>
          </w:tcPr>
          <w:p>
            <w:pPr>
              <w:keepNext w:val="0"/>
              <w:keepLines w:val="0"/>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137"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满意度指标</w:t>
            </w:r>
          </w:p>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（10分）</w:t>
            </w:r>
          </w:p>
        </w:tc>
        <w:tc>
          <w:tcPr>
            <w:tcW w:w="1059"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服务对象满意度指标</w:t>
            </w:r>
          </w:p>
        </w:tc>
        <w:tc>
          <w:tcPr>
            <w:tcW w:w="1316" w:type="dxa"/>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olor w:val="000000"/>
                <w:kern w:val="0"/>
                <w:sz w:val="15"/>
                <w:szCs w:val="15"/>
              </w:rPr>
            </w:pPr>
            <w:r>
              <w:rPr>
                <w:rFonts w:hint="default" w:ascii="宋体" w:hAnsi="宋体"/>
                <w:color w:val="000000"/>
                <w:kern w:val="0"/>
                <w:sz w:val="15"/>
                <w:szCs w:val="15"/>
              </w:rPr>
              <w:t>为党和国家服务满意情况</w:t>
            </w:r>
          </w:p>
        </w:tc>
        <w:tc>
          <w:tcPr>
            <w:tcW w:w="1188" w:type="dxa"/>
            <w:vAlign w:val="center"/>
          </w:tcPr>
          <w:p>
            <w:pPr>
              <w:keepNext w:val="0"/>
              <w:keepLines w:val="0"/>
              <w:widowControl/>
              <w:suppressLineNumbers w:val="0"/>
              <w:spacing w:before="0" w:beforeAutospacing="0" w:after="0" w:afterAutospacing="0" w:line="240" w:lineRule="exact"/>
              <w:ind w:left="0" w:right="0"/>
              <w:rPr>
                <w:rFonts w:hint="default" w:ascii="宋体" w:hAnsi="宋体"/>
                <w:color w:val="000000"/>
                <w:kern w:val="0"/>
                <w:sz w:val="15"/>
                <w:szCs w:val="15"/>
              </w:rPr>
            </w:pPr>
            <w:r>
              <w:rPr>
                <w:rFonts w:hint="default" w:ascii="宋体" w:hAnsi="宋体"/>
                <w:color w:val="000000"/>
                <w:kern w:val="0"/>
                <w:sz w:val="15"/>
                <w:szCs w:val="15"/>
              </w:rPr>
              <w:t>国家或政府认可情况</w:t>
            </w:r>
          </w:p>
        </w:tc>
        <w:tc>
          <w:tcPr>
            <w:tcW w:w="1425"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olor w:val="000000"/>
                <w:kern w:val="0"/>
                <w:sz w:val="15"/>
                <w:szCs w:val="15"/>
                <w:lang w:eastAsia="zh-CN"/>
              </w:rPr>
            </w:pPr>
            <w:r>
              <w:rPr>
                <w:rFonts w:hint="eastAsia" w:ascii="宋体" w:hAnsi="宋体"/>
                <w:color w:val="000000"/>
                <w:kern w:val="0"/>
                <w:sz w:val="15"/>
                <w:szCs w:val="15"/>
                <w:lang w:eastAsia="zh-CN"/>
              </w:rPr>
              <w:t>得到委托机关认可</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137"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059" w:type="dxa"/>
            <w:vMerge w:val="continue"/>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c>
          <w:tcPr>
            <w:tcW w:w="1316" w:type="dxa"/>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15"/>
                <w:szCs w:val="15"/>
              </w:rPr>
            </w:pPr>
            <w:r>
              <w:rPr>
                <w:rFonts w:hint="default" w:ascii="宋体" w:hAnsi="宋体"/>
                <w:color w:val="000000"/>
                <w:kern w:val="0"/>
                <w:sz w:val="13"/>
                <w:szCs w:val="13"/>
              </w:rPr>
              <w:t>社会群众满意情况</w:t>
            </w:r>
          </w:p>
        </w:tc>
        <w:tc>
          <w:tcPr>
            <w:tcW w:w="1188" w:type="dxa"/>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15"/>
                <w:szCs w:val="15"/>
              </w:rPr>
            </w:pPr>
            <w:r>
              <w:rPr>
                <w:rFonts w:hint="default" w:ascii="宋体" w:hAnsi="宋体"/>
                <w:color w:val="000000"/>
                <w:kern w:val="0"/>
                <w:sz w:val="15"/>
                <w:szCs w:val="15"/>
              </w:rPr>
              <w:t>95%以上</w:t>
            </w:r>
          </w:p>
        </w:tc>
        <w:tc>
          <w:tcPr>
            <w:tcW w:w="1425"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5"/>
                <w:szCs w:val="15"/>
              </w:rPr>
            </w:pPr>
            <w:r>
              <w:rPr>
                <w:rFonts w:hint="default" w:ascii="宋体" w:hAnsi="宋体"/>
                <w:color w:val="000000"/>
                <w:kern w:val="0"/>
                <w:sz w:val="15"/>
                <w:szCs w:val="15"/>
              </w:rPr>
              <w:t>95%以上</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5</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s="Times New Roman"/>
                <w:color w:val="000000"/>
                <w:kern w:val="0"/>
                <w:sz w:val="15"/>
                <w:szCs w:val="15"/>
                <w:lang w:val="en-US" w:eastAsia="zh-CN" w:bidi="ar-SA"/>
              </w:rPr>
            </w:pPr>
            <w:r>
              <w:rPr>
                <w:rFonts w:hint="default" w:ascii="宋体" w:hAnsi="宋体"/>
                <w:color w:val="000000"/>
                <w:kern w:val="0"/>
                <w:sz w:val="15"/>
                <w:szCs w:val="15"/>
              </w:rPr>
              <w:t>5</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52" w:type="dxa"/>
            <w:gridSpan w:val="6"/>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color w:val="000000"/>
                <w:kern w:val="0"/>
                <w:sz w:val="15"/>
                <w:szCs w:val="15"/>
              </w:rPr>
            </w:pPr>
            <w:r>
              <w:rPr>
                <w:rFonts w:hint="default" w:ascii="宋体" w:hAnsi="宋体"/>
                <w:color w:val="000000"/>
                <w:kern w:val="0"/>
                <w:sz w:val="15"/>
                <w:szCs w:val="15"/>
              </w:rPr>
              <w:t>总分</w:t>
            </w:r>
          </w:p>
        </w:tc>
        <w:tc>
          <w:tcPr>
            <w:tcW w:w="1161"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100</w:t>
            </w:r>
          </w:p>
        </w:tc>
        <w:tc>
          <w:tcPr>
            <w:tcW w:w="962"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宋体"/>
                <w:color w:val="000000"/>
                <w:kern w:val="0"/>
                <w:sz w:val="15"/>
                <w:szCs w:val="15"/>
                <w:lang w:val="en-US" w:eastAsia="zh-CN"/>
              </w:rPr>
            </w:pPr>
            <w:r>
              <w:rPr>
                <w:rFonts w:hint="eastAsia" w:ascii="宋体" w:hAnsi="宋体"/>
                <w:color w:val="000000"/>
                <w:kern w:val="0"/>
                <w:sz w:val="15"/>
                <w:szCs w:val="15"/>
                <w:lang w:val="en-US" w:eastAsia="zh-CN"/>
              </w:rPr>
              <w:t>95.8</w:t>
            </w:r>
          </w:p>
        </w:tc>
        <w:tc>
          <w:tcPr>
            <w:tcW w:w="1340" w:type="dxa"/>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olor w:val="000000"/>
                <w:kern w:val="0"/>
                <w:sz w:val="15"/>
                <w:szCs w:val="15"/>
              </w:rPr>
            </w:pPr>
          </w:p>
        </w:tc>
      </w:tr>
    </w:tbl>
    <w:p>
      <w:pPr>
        <w:pStyle w:val="2"/>
        <w:ind w:firstLine="440" w:firstLineChars="200"/>
        <w:rPr>
          <w:rFonts w:hint="default" w:eastAsia="仿宋_GB2312"/>
          <w:color w:val="000000" w:themeColor="text1"/>
          <w:kern w:val="0"/>
          <w:sz w:val="22"/>
          <w:lang w:val="en-US" w:eastAsia="zh-CN"/>
          <w14:textFill>
            <w14:solidFill>
              <w14:schemeClr w14:val="tx1"/>
            </w14:solidFill>
          </w14:textFill>
        </w:rPr>
        <w:sectPr>
          <w:footerReference r:id="rId4" w:type="default"/>
          <w:pgSz w:w="11906" w:h="16838"/>
          <w:pgMar w:top="567" w:right="567" w:bottom="567" w:left="567" w:header="851" w:footer="1134" w:gutter="0"/>
          <w:cols w:space="0" w:num="1"/>
          <w:rtlGutter w:val="0"/>
          <w:docGrid w:type="lines" w:linePitch="312" w:charSpace="0"/>
        </w:sectPr>
      </w:pPr>
      <w:r>
        <w:rPr>
          <w:rFonts w:hint="eastAsia" w:eastAsia="仿宋_GB2312"/>
          <w:color w:val="000000" w:themeColor="text1"/>
          <w:kern w:val="0"/>
          <w:sz w:val="22"/>
          <w:lang w:eastAsia="zh-CN"/>
          <w14:textFill>
            <w14:solidFill>
              <w14:schemeClr w14:val="tx1"/>
            </w14:solidFill>
          </w14:textFill>
        </w:rPr>
        <w:t>填报人：</w:t>
      </w:r>
      <w:r>
        <w:rPr>
          <w:rFonts w:hint="eastAsia" w:eastAsia="仿宋_GB2312"/>
          <w:color w:val="000000" w:themeColor="text1"/>
          <w:kern w:val="0"/>
          <w:sz w:val="22"/>
          <w:lang w:val="en-US" w:eastAsia="zh-CN"/>
          <w14:textFill>
            <w14:solidFill>
              <w14:schemeClr w14:val="tx1"/>
            </w14:solidFill>
          </w14:textFill>
        </w:rPr>
        <w:t>周婷      填报日期：2022.4.20    联系电话：89665171     单位负责人签字：</w:t>
      </w:r>
    </w:p>
    <w:p>
      <w:pPr>
        <w:rPr>
          <w:rFonts w:ascii="仿宋_GB2312" w:hAnsi="仿宋_GB2312" w:eastAsia="仿宋_GB2312" w:cs="仿宋_GB2312"/>
          <w:color w:val="000000" w:themeColor="text1"/>
          <w:w w:val="98"/>
          <w:sz w:val="32"/>
          <w:szCs w:val="32"/>
          <w14:textFill>
            <w14:solidFill>
              <w14:schemeClr w14:val="tx1"/>
            </w14:solidFill>
          </w14:textFill>
        </w:rPr>
      </w:pPr>
      <w:r>
        <w:rPr>
          <w:rFonts w:ascii="仿宋_GB2312" w:hAnsi="仿宋_GB2312" w:eastAsia="仿宋_GB2312" w:cs="仿宋_GB2312"/>
          <w:color w:val="000000" w:themeColor="text1"/>
          <w:w w:val="98"/>
          <w:sz w:val="32"/>
          <w:szCs w:val="32"/>
          <w14:textFill>
            <w14:solidFill>
              <w14:schemeClr w14:val="tx1"/>
            </w14:solidFill>
          </w14:textFill>
        </w:rPr>
        <w:t>附件</w:t>
      </w:r>
      <w:r>
        <w:rPr>
          <w:rFonts w:hint="eastAsia" w:ascii="仿宋_GB2312" w:hAnsi="仿宋_GB2312" w:eastAsia="仿宋_GB2312" w:cs="仿宋_GB2312"/>
          <w:color w:val="000000" w:themeColor="text1"/>
          <w:w w:val="98"/>
          <w:sz w:val="32"/>
          <w:szCs w:val="32"/>
          <w14:textFill>
            <w14:solidFill>
              <w14:schemeClr w14:val="tx1"/>
            </w14:solidFill>
          </w14:textFill>
        </w:rPr>
        <w:t>3</w:t>
      </w:r>
    </w:p>
    <w:p>
      <w:pPr>
        <w:widowControl/>
        <w:spacing w:line="596" w:lineRule="exact"/>
        <w:jc w:val="center"/>
        <w:rPr>
          <w:rFonts w:eastAsia="方正小标宋_GBK"/>
          <w:color w:val="000000" w:themeColor="text1"/>
          <w:kern w:val="0"/>
          <w:sz w:val="36"/>
          <w:szCs w:val="36"/>
          <w14:textFill>
            <w14:solidFill>
              <w14:schemeClr w14:val="tx1"/>
            </w14:solidFill>
          </w14:textFill>
        </w:rPr>
      </w:pPr>
      <w:r>
        <w:rPr>
          <w:rFonts w:hint="eastAsia" w:eastAsia="方正小标宋_GBK"/>
          <w:color w:val="000000" w:themeColor="text1"/>
          <w:kern w:val="0"/>
          <w:sz w:val="36"/>
          <w:szCs w:val="36"/>
          <w:lang w:val="en-US" w:eastAsia="zh-CN"/>
          <w14:textFill>
            <w14:solidFill>
              <w14:schemeClr w14:val="tx1"/>
            </w14:solidFill>
          </w14:textFill>
        </w:rPr>
        <w:t>2021年度</w:t>
      </w:r>
      <w:r>
        <w:rPr>
          <w:rFonts w:eastAsia="方正小标宋_GBK"/>
          <w:color w:val="000000" w:themeColor="text1"/>
          <w:kern w:val="0"/>
          <w:sz w:val="36"/>
          <w:szCs w:val="36"/>
          <w14:textFill>
            <w14:solidFill>
              <w14:schemeClr w14:val="tx1"/>
            </w14:solidFill>
          </w14:textFill>
        </w:rPr>
        <w:t>项目支出绩效自评表</w:t>
      </w:r>
    </w:p>
    <w:tbl>
      <w:tblPr>
        <w:tblStyle w:val="17"/>
        <w:tblW w:w="9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097"/>
        <w:gridCol w:w="958"/>
        <w:gridCol w:w="301"/>
        <w:gridCol w:w="1125"/>
        <w:gridCol w:w="1134"/>
        <w:gridCol w:w="709"/>
        <w:gridCol w:w="89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项目支</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出</w:t>
            </w:r>
            <w:r>
              <w:rPr>
                <w:rFonts w:hint="default" w:eastAsia="仿宋_GB2312"/>
                <w:color w:val="000000" w:themeColor="text1"/>
                <w:kern w:val="0"/>
                <w:szCs w:val="21"/>
                <w14:textFill>
                  <w14:solidFill>
                    <w14:schemeClr w14:val="tx1"/>
                  </w14:solidFill>
                </w14:textFill>
              </w:rPr>
              <w:t>名称</w:t>
            </w:r>
          </w:p>
        </w:tc>
        <w:tc>
          <w:tcPr>
            <w:tcW w:w="8798" w:type="dxa"/>
            <w:gridSpan w:val="9"/>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业务工作经费（价格认证专项经费）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主管部门</w:t>
            </w:r>
          </w:p>
        </w:tc>
        <w:tc>
          <w:tcPr>
            <w:tcW w:w="4876" w:type="dxa"/>
            <w:gridSpan w:val="5"/>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湖南省发展和改革委员会</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实施单位</w:t>
            </w:r>
          </w:p>
        </w:tc>
        <w:tc>
          <w:tcPr>
            <w:tcW w:w="2788" w:type="dxa"/>
            <w:gridSpan w:val="3"/>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湖南省价格认证中心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项目资金</w:t>
            </w:r>
            <w:r>
              <w:rPr>
                <w:rFonts w:hint="default" w:eastAsia="仿宋_GB2312"/>
                <w:color w:val="000000" w:themeColor="text1"/>
                <w:kern w:val="0"/>
                <w:szCs w:val="21"/>
                <w14:textFill>
                  <w14:solidFill>
                    <w14:schemeClr w14:val="tx1"/>
                  </w14:solidFill>
                </w14:textFill>
              </w:rPr>
              <w:t>（万元）</w:t>
            </w:r>
          </w:p>
        </w:tc>
        <w:tc>
          <w:tcPr>
            <w:tcW w:w="2492" w:type="dxa"/>
            <w:gridSpan w:val="2"/>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p>
        </w:tc>
        <w:tc>
          <w:tcPr>
            <w:tcW w:w="1259" w:type="dxa"/>
            <w:gridSpan w:val="2"/>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年</w:t>
            </w:r>
            <w:r>
              <w:rPr>
                <w:rFonts w:hint="eastAsia" w:eastAsia="仿宋_GB2312"/>
                <w:color w:val="000000" w:themeColor="text1"/>
                <w:szCs w:val="21"/>
                <w14:textFill>
                  <w14:solidFill>
                    <w14:schemeClr w14:val="tx1"/>
                  </w14:solidFill>
                </w14:textFill>
              </w:rPr>
              <w:t xml:space="preserve">  </w:t>
            </w:r>
            <w:r>
              <w:rPr>
                <w:rFonts w:hint="default" w:eastAsia="仿宋_GB2312"/>
                <w:color w:val="000000" w:themeColor="text1"/>
                <w:szCs w:val="21"/>
                <w14:textFill>
                  <w14:solidFill>
                    <w14:schemeClr w14:val="tx1"/>
                  </w14:solidFill>
                </w14:textFill>
              </w:rPr>
              <w:t>初</w:t>
            </w:r>
          </w:p>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预算数</w:t>
            </w:r>
          </w:p>
        </w:tc>
        <w:tc>
          <w:tcPr>
            <w:tcW w:w="1125"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eastAsia"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全</w:t>
            </w:r>
            <w:r>
              <w:rPr>
                <w:rFonts w:hint="eastAsia" w:eastAsia="仿宋_GB2312"/>
                <w:color w:val="000000" w:themeColor="text1"/>
                <w:szCs w:val="21"/>
                <w14:textFill>
                  <w14:solidFill>
                    <w14:schemeClr w14:val="tx1"/>
                  </w14:solidFill>
                </w14:textFill>
              </w:rPr>
              <w:t xml:space="preserve">  </w:t>
            </w:r>
            <w:r>
              <w:rPr>
                <w:rFonts w:hint="default" w:eastAsia="仿宋_GB2312"/>
                <w:color w:val="000000" w:themeColor="text1"/>
                <w:szCs w:val="21"/>
                <w14:textFill>
                  <w14:solidFill>
                    <w14:schemeClr w14:val="tx1"/>
                  </w14:solidFill>
                </w14:textFill>
              </w:rPr>
              <w:t>年</w:t>
            </w:r>
          </w:p>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预算数</w:t>
            </w:r>
          </w:p>
        </w:tc>
        <w:tc>
          <w:tcPr>
            <w:tcW w:w="1134"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全</w:t>
            </w:r>
            <w:r>
              <w:rPr>
                <w:rFonts w:hint="eastAsia" w:eastAsia="仿宋_GB2312"/>
                <w:color w:val="000000" w:themeColor="text1"/>
                <w:szCs w:val="21"/>
                <w14:textFill>
                  <w14:solidFill>
                    <w14:schemeClr w14:val="tx1"/>
                  </w14:solidFill>
                </w14:textFill>
              </w:rPr>
              <w:t xml:space="preserve">  </w:t>
            </w:r>
            <w:r>
              <w:rPr>
                <w:rFonts w:hint="default" w:eastAsia="仿宋_GB2312"/>
                <w:color w:val="000000" w:themeColor="text1"/>
                <w:szCs w:val="21"/>
                <w14:textFill>
                  <w14:solidFill>
                    <w14:schemeClr w14:val="tx1"/>
                  </w14:solidFill>
                </w14:textFill>
              </w:rPr>
              <w:t>年</w:t>
            </w:r>
          </w:p>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执行数</w:t>
            </w:r>
          </w:p>
        </w:tc>
        <w:tc>
          <w:tcPr>
            <w:tcW w:w="709"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分值</w:t>
            </w:r>
          </w:p>
        </w:tc>
        <w:tc>
          <w:tcPr>
            <w:tcW w:w="898"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执行率</w:t>
            </w:r>
          </w:p>
        </w:tc>
        <w:tc>
          <w:tcPr>
            <w:tcW w:w="1181"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14:textFill>
                  <w14:solidFill>
                    <w14:schemeClr w14:val="tx1"/>
                  </w14:solidFill>
                </w14:textFill>
              </w:rPr>
            </w:pPr>
            <w:r>
              <w:rPr>
                <w:rFonts w:hint="default" w:eastAsia="仿宋_GB2312"/>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2492" w:type="dxa"/>
            <w:gridSpan w:val="2"/>
            <w:shd w:val="clear" w:color="auto" w:fill="auto"/>
            <w:vAlign w:val="center"/>
          </w:tcPr>
          <w:p>
            <w:pPr>
              <w:keepNext w:val="0"/>
              <w:keepLines w:val="0"/>
              <w:suppressLineNumbers w:val="0"/>
              <w:spacing w:before="0" w:beforeAutospacing="0" w:after="0" w:afterAutospacing="0" w:line="280" w:lineRule="exact"/>
              <w:ind w:left="0" w:right="0"/>
              <w:jc w:val="both"/>
              <w:rPr>
                <w:rFonts w:hint="default" w:eastAsia="仿宋_GB2312"/>
                <w:color w:val="000000" w:themeColor="text1"/>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年度资金总额</w:t>
            </w:r>
          </w:p>
        </w:tc>
        <w:tc>
          <w:tcPr>
            <w:tcW w:w="1259" w:type="dxa"/>
            <w:gridSpan w:val="2"/>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46.40</w:t>
            </w:r>
          </w:p>
        </w:tc>
        <w:tc>
          <w:tcPr>
            <w:tcW w:w="1125"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46.38</w:t>
            </w:r>
          </w:p>
        </w:tc>
        <w:tc>
          <w:tcPr>
            <w:tcW w:w="1134"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30.63</w:t>
            </w:r>
          </w:p>
        </w:tc>
        <w:tc>
          <w:tcPr>
            <w:tcW w:w="709"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10</w:t>
            </w:r>
          </w:p>
        </w:tc>
        <w:tc>
          <w:tcPr>
            <w:tcW w:w="898"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66.04%</w:t>
            </w:r>
          </w:p>
        </w:tc>
        <w:tc>
          <w:tcPr>
            <w:tcW w:w="1181"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2492"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其中：当年财政拨款</w:t>
            </w:r>
          </w:p>
        </w:tc>
        <w:tc>
          <w:tcPr>
            <w:tcW w:w="125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37.50</w:t>
            </w:r>
          </w:p>
        </w:tc>
        <w:tc>
          <w:tcPr>
            <w:tcW w:w="1125"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37.50</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21.75</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both"/>
              <w:rPr>
                <w:rFonts w:hint="default" w:eastAsia="仿宋_GB2312"/>
                <w:color w:val="000000" w:themeColor="text1"/>
                <w:kern w:val="0"/>
                <w:szCs w:val="21"/>
                <w:lang w:val="en-US" w:eastAsia="zh-CN"/>
                <w14:textFill>
                  <w14:solidFill>
                    <w14:schemeClr w14:val="tx1"/>
                  </w14:solidFill>
                </w14:textFill>
              </w:rPr>
            </w:pP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exact"/>
          <w:jc w:val="center"/>
        </w:trPr>
        <w:tc>
          <w:tcPr>
            <w:tcW w:w="1080"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2492" w:type="dxa"/>
            <w:gridSpan w:val="2"/>
            <w:shd w:val="clear" w:color="auto" w:fill="auto"/>
            <w:vAlign w:val="center"/>
          </w:tcPr>
          <w:p>
            <w:pPr>
              <w:keepNext w:val="0"/>
              <w:keepLines w:val="0"/>
              <w:widowControl/>
              <w:suppressLineNumbers w:val="0"/>
              <w:spacing w:before="0" w:beforeAutospacing="0" w:after="0" w:afterAutospacing="0" w:line="280" w:lineRule="exact"/>
              <w:ind w:left="0" w:right="0" w:firstLine="630" w:firstLineChars="300"/>
              <w:jc w:val="left"/>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上年结转资金</w:t>
            </w:r>
          </w:p>
        </w:tc>
        <w:tc>
          <w:tcPr>
            <w:tcW w:w="125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8.90</w:t>
            </w:r>
          </w:p>
        </w:tc>
        <w:tc>
          <w:tcPr>
            <w:tcW w:w="1125"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8.88</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8.88</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both"/>
              <w:rPr>
                <w:rFonts w:hint="default" w:eastAsia="仿宋_GB2312"/>
                <w:color w:val="000000" w:themeColor="text1"/>
                <w:kern w:val="0"/>
                <w:szCs w:val="21"/>
                <w:lang w:val="en-US" w:eastAsia="zh-CN"/>
                <w14:textFill>
                  <w14:solidFill>
                    <w14:schemeClr w14:val="tx1"/>
                  </w14:solidFill>
                </w14:textFill>
              </w:rPr>
            </w:pP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exact"/>
          <w:jc w:val="center"/>
        </w:trPr>
        <w:tc>
          <w:tcPr>
            <w:tcW w:w="1080"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2492" w:type="dxa"/>
            <w:gridSpan w:val="2"/>
            <w:shd w:val="clear" w:color="auto" w:fill="auto"/>
            <w:vAlign w:val="center"/>
          </w:tcPr>
          <w:p>
            <w:pPr>
              <w:keepNext w:val="0"/>
              <w:keepLines w:val="0"/>
              <w:widowControl/>
              <w:suppressLineNumbers w:val="0"/>
              <w:spacing w:before="0" w:beforeAutospacing="0" w:after="0" w:afterAutospacing="0" w:line="280" w:lineRule="exact"/>
              <w:ind w:left="0" w:right="0" w:firstLine="630" w:firstLineChars="300"/>
              <w:jc w:val="left"/>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其他资金</w:t>
            </w:r>
          </w:p>
        </w:tc>
        <w:tc>
          <w:tcPr>
            <w:tcW w:w="125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p>
        </w:tc>
        <w:tc>
          <w:tcPr>
            <w:tcW w:w="1125"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lang w:val="en-US" w:eastAsia="zh-CN"/>
                <w14:textFill>
                  <w14:solidFill>
                    <w14:schemeClr w14:val="tx1"/>
                  </w14:solidFill>
                </w14:textFill>
              </w:rPr>
            </w:pP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firstLine="630" w:firstLineChars="300"/>
              <w:jc w:val="left"/>
              <w:rPr>
                <w:rFonts w:hint="default" w:eastAsia="仿宋_GB2312"/>
                <w:color w:val="000000" w:themeColor="text1"/>
                <w:kern w:val="0"/>
                <w:szCs w:val="21"/>
                <w14:textFill>
                  <w14:solidFill>
                    <w14:schemeClr w14:val="tx1"/>
                  </w14:solidFill>
                </w14:textFill>
              </w:rPr>
            </w:pP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firstLine="630" w:firstLineChars="300"/>
              <w:jc w:val="left"/>
              <w:rPr>
                <w:rFonts w:hint="default" w:eastAsia="仿宋_GB2312"/>
                <w:color w:val="000000" w:themeColor="text1"/>
                <w:kern w:val="0"/>
                <w:szCs w:val="21"/>
                <w14:textFill>
                  <w14:solidFill>
                    <w14:schemeClr w14:val="tx1"/>
                  </w14:solidFill>
                </w14:textFill>
              </w:rPr>
            </w:pP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firstLine="630" w:firstLineChars="300"/>
              <w:jc w:val="left"/>
              <w:rPr>
                <w:rFonts w:hint="default"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exact"/>
          <w:jc w:val="center"/>
        </w:trPr>
        <w:tc>
          <w:tcPr>
            <w:tcW w:w="1080" w:type="dxa"/>
            <w:vMerge w:val="restart"/>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年度总体目</w:t>
            </w:r>
            <w:r>
              <w:rPr>
                <w:rFonts w:hint="eastAsia" w:eastAsia="仿宋_GB2312"/>
                <w:color w:val="000000" w:themeColor="text1"/>
                <w:kern w:val="0"/>
                <w:szCs w:val="21"/>
                <w14:textFill>
                  <w14:solidFill>
                    <w14:schemeClr w14:val="tx1"/>
                  </w14:solidFill>
                </w14:textFill>
              </w:rPr>
              <w:t xml:space="preserve">   </w:t>
            </w:r>
            <w:r>
              <w:rPr>
                <w:rFonts w:hint="default" w:eastAsia="仿宋_GB2312"/>
                <w:color w:val="000000" w:themeColor="text1"/>
                <w:kern w:val="0"/>
                <w:szCs w:val="21"/>
                <w14:textFill>
                  <w14:solidFill>
                    <w14:schemeClr w14:val="tx1"/>
                  </w14:solidFill>
                </w14:textFill>
              </w:rPr>
              <w:t>标</w:t>
            </w:r>
          </w:p>
        </w:tc>
        <w:tc>
          <w:tcPr>
            <w:tcW w:w="4876" w:type="dxa"/>
            <w:gridSpan w:val="5"/>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预期目标</w:t>
            </w:r>
          </w:p>
        </w:tc>
        <w:tc>
          <w:tcPr>
            <w:tcW w:w="3922" w:type="dxa"/>
            <w:gridSpan w:val="4"/>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exact"/>
          <w:jc w:val="center"/>
        </w:trPr>
        <w:tc>
          <w:tcPr>
            <w:tcW w:w="1080"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4876" w:type="dxa"/>
            <w:gridSpan w:val="5"/>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r>
              <w:rPr>
                <w:rFonts w:hint="eastAsia" w:ascii="宋体" w:hAnsi="宋体" w:cs="Times New Roman"/>
                <w:color w:val="000000"/>
                <w:kern w:val="0"/>
                <w:sz w:val="15"/>
                <w:szCs w:val="15"/>
                <w:lang w:eastAsia="zh-CN"/>
              </w:rPr>
              <w:t>组织进行全省价格认定系统新进人员岗位培训及价格认定骨干人员继续教育培训，指导本行政区域内各级价格认定机构开展价格认定工作和省级复核案件办理。</w:t>
            </w:r>
          </w:p>
        </w:tc>
        <w:tc>
          <w:tcPr>
            <w:tcW w:w="3922" w:type="dxa"/>
            <w:gridSpan w:val="4"/>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r>
              <w:rPr>
                <w:rFonts w:hint="eastAsia" w:ascii="宋体" w:hAnsi="宋体" w:cs="Times New Roman"/>
                <w:color w:val="000000"/>
                <w:kern w:val="0"/>
                <w:sz w:val="15"/>
                <w:szCs w:val="15"/>
                <w:lang w:eastAsia="zh-CN"/>
              </w:rPr>
              <w:t>定期完成全省</w:t>
            </w:r>
            <w:r>
              <w:rPr>
                <w:rFonts w:hint="eastAsia" w:ascii="宋体" w:hAnsi="宋体" w:cs="Times New Roman"/>
                <w:color w:val="000000"/>
                <w:kern w:val="0"/>
                <w:sz w:val="15"/>
                <w:szCs w:val="15"/>
                <w:lang w:val="en-US" w:eastAsia="zh-CN"/>
              </w:rPr>
              <w:t>2次培训；按照《湖南省涉案物价格鉴证管理条例》及国家发改委《价格认定规定》要求协助国家机关按时保质完成价格认定及复核工作。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080" w:type="dxa"/>
            <w:vMerge w:val="restart"/>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绩</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效</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指</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标</w:t>
            </w:r>
          </w:p>
        </w:tc>
        <w:tc>
          <w:tcPr>
            <w:tcW w:w="1395"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一级指标</w:t>
            </w: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二级指标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三级</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指标</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年度</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指标值</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实际</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完成值</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分值</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得分</w:t>
            </w:r>
          </w:p>
        </w:tc>
        <w:tc>
          <w:tcPr>
            <w:tcW w:w="1181" w:type="dxa"/>
            <w:shd w:val="clear" w:color="auto" w:fill="auto"/>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偏差原因</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分析及</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restart"/>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产出指标</w:t>
            </w:r>
          </w:p>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(50分)</w:t>
            </w:r>
          </w:p>
        </w:tc>
        <w:tc>
          <w:tcPr>
            <w:tcW w:w="1097" w:type="dxa"/>
            <w:vMerge w:val="restart"/>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数量</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指标1：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定期完成</w:t>
            </w: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2次培训</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集中完成</w:t>
            </w: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1次培训</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8</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疫情原因减少参加培训人员的范围</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109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指标</w:t>
            </w: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2：</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购置办公用品</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按规定采购</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质量</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指标</w:t>
            </w: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根据《价格认定行为规范》的规定按时保质完成价格认定案件工作。</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根据《价格认定行为规范》的规定按时保质完成价格认定案件工作。</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15</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15</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时效</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指标</w:t>
            </w: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完成全年任务考核</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完成全年任务考核</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14:textFill>
                  <w14:solidFill>
                    <w14:schemeClr w14:val="tx1"/>
                  </w14:solidFill>
                </w14:textFill>
              </w:rPr>
              <w:t>10</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1097" w:type="dxa"/>
            <w:vMerge w:val="restart"/>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成本指标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指标1：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公用经费支出</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不超预算</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1097"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指标</w:t>
            </w: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2：</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三公经费支出</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不超预算</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restart"/>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效益指标</w:t>
            </w:r>
          </w:p>
          <w:p>
            <w:pPr>
              <w:keepNext w:val="0"/>
              <w:keepLines w:val="0"/>
              <w:widowControl/>
              <w:suppressLineNumbers w:val="0"/>
              <w:spacing w:before="0" w:beforeAutospacing="0" w:after="0" w:afterAutospacing="0" w:line="280" w:lineRule="exact"/>
              <w:ind w:left="0" w:right="0" w:firstLine="210" w:firstLineChars="100"/>
              <w:jc w:val="left"/>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lang w:val="en-US" w:eastAsia="zh-CN"/>
                <w14:textFill>
                  <w14:solidFill>
                    <w14:schemeClr w14:val="tx1"/>
                  </w14:solidFill>
                </w14:textFill>
              </w:rPr>
              <w:t>4</w:t>
            </w:r>
            <w:r>
              <w:rPr>
                <w:rFonts w:hint="default" w:eastAsia="仿宋_GB2312"/>
                <w:color w:val="000000" w:themeColor="text1"/>
                <w:kern w:val="0"/>
                <w:szCs w:val="21"/>
                <w14:textFill>
                  <w14:solidFill>
                    <w14:schemeClr w14:val="tx1"/>
                  </w14:solidFill>
                </w14:textFill>
              </w:rPr>
              <w:t>0分）　</w:t>
            </w: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经济</w:t>
            </w:r>
            <w:r>
              <w:rPr>
                <w:rFonts w:hint="eastAsia" w:ascii="仿宋_GB2312" w:hAnsi="仿宋_GB2312" w:eastAsia="仿宋_GB2312" w:cs="仿宋_GB2312"/>
                <w:color w:val="000000" w:themeColor="text1"/>
                <w:kern w:val="0"/>
                <w:sz w:val="15"/>
                <w:szCs w:val="15"/>
                <w14:textFill>
                  <w14:solidFill>
                    <w14:schemeClr w14:val="tx1"/>
                  </w14:solidFill>
                </w14:textFill>
              </w:rPr>
              <w:t>效</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益指标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指标1：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firstLine="210" w:firstLineChars="100"/>
              <w:jc w:val="left"/>
              <w:rPr>
                <w:rFonts w:hint="default" w:eastAsia="仿宋_GB2312"/>
                <w:color w:val="000000" w:themeColor="text1"/>
                <w:kern w:val="0"/>
                <w:szCs w:val="21"/>
                <w14:textFill>
                  <w14:solidFill>
                    <w14:schemeClr w14:val="tx1"/>
                  </w14:solidFill>
                </w14:textFill>
              </w:rPr>
            </w:pP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社会效</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益指标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指标1：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firstLine="210" w:firstLineChars="100"/>
              <w:jc w:val="left"/>
              <w:rPr>
                <w:rFonts w:hint="default" w:eastAsia="仿宋_GB2312"/>
                <w:color w:val="000000" w:themeColor="text1"/>
                <w:kern w:val="0"/>
                <w:szCs w:val="21"/>
                <w14:textFill>
                  <w14:solidFill>
                    <w14:schemeClr w14:val="tx1"/>
                  </w14:solidFill>
                </w14:textFill>
              </w:rPr>
            </w:pP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生态</w:t>
            </w:r>
            <w:r>
              <w:rPr>
                <w:rFonts w:hint="eastAsia" w:ascii="仿宋_GB2312" w:hAnsi="仿宋_GB2312" w:eastAsia="仿宋_GB2312" w:cs="仿宋_GB2312"/>
                <w:color w:val="000000" w:themeColor="text1"/>
                <w:kern w:val="0"/>
                <w:sz w:val="15"/>
                <w:szCs w:val="15"/>
                <w14:textFill>
                  <w14:solidFill>
                    <w14:schemeClr w14:val="tx1"/>
                  </w14:solidFill>
                </w14:textFill>
              </w:rPr>
              <w:t>效</w:t>
            </w: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益指标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指标1：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keepNext w:val="0"/>
              <w:keepLines w:val="0"/>
              <w:widowControl/>
              <w:suppressLineNumbers w:val="0"/>
              <w:spacing w:before="0" w:beforeAutospacing="0" w:after="0" w:afterAutospacing="0" w:line="280" w:lineRule="exact"/>
              <w:ind w:left="0" w:right="0" w:firstLine="210" w:firstLineChars="100"/>
              <w:jc w:val="left"/>
              <w:rPr>
                <w:rFonts w:hint="default" w:eastAsia="仿宋_GB2312"/>
                <w:color w:val="000000" w:themeColor="text1"/>
                <w:kern w:val="0"/>
                <w:szCs w:val="21"/>
                <w14:textFill>
                  <w14:solidFill>
                    <w14:schemeClr w14:val="tx1"/>
                  </w14:solidFill>
                </w14:textFill>
              </w:rPr>
            </w:pP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eastAsia="zh-CN"/>
                <w14:textFill>
                  <w14:solidFill>
                    <w14:schemeClr w14:val="tx1"/>
                  </w14:solidFill>
                </w14:textFill>
              </w:rPr>
              <w:t>可持续影响</w:t>
            </w:r>
            <w:r>
              <w:rPr>
                <w:rFonts w:hint="eastAsia" w:ascii="仿宋_GB2312" w:hAnsi="仿宋_GB2312" w:eastAsia="仿宋_GB2312" w:cs="仿宋_GB2312"/>
                <w:color w:val="000000" w:themeColor="text1"/>
                <w:kern w:val="0"/>
                <w:sz w:val="15"/>
                <w:szCs w:val="15"/>
                <w14:textFill>
                  <w14:solidFill>
                    <w14:schemeClr w14:val="tx1"/>
                  </w14:solidFill>
                </w14:textFill>
              </w:rPr>
              <w:t>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指标1：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效果良好</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5</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080" w:type="dxa"/>
            <w:vMerge w:val="continue"/>
            <w:shd w:val="clear" w:color="auto" w:fill="auto"/>
            <w:vAlign w:val="center"/>
          </w:tcPr>
          <w:p>
            <w:pPr>
              <w:keepNext w:val="0"/>
              <w:keepLines w:val="0"/>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p>
        </w:tc>
        <w:tc>
          <w:tcPr>
            <w:tcW w:w="1395"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满意度指标</w:t>
            </w:r>
            <w:r>
              <w:rPr>
                <w:rFonts w:hint="eastAsia" w:eastAsia="仿宋_GB2312"/>
                <w:color w:val="000000" w:themeColor="text1"/>
                <w:kern w:val="0"/>
                <w:szCs w:val="21"/>
                <w:lang w:eastAsia="zh-CN"/>
                <w14:textFill>
                  <w14:solidFill>
                    <w14:schemeClr w14:val="tx1"/>
                  </w14:solidFill>
                </w14:textFill>
              </w:rPr>
              <w:t>（</w:t>
            </w:r>
            <w:r>
              <w:rPr>
                <w:rFonts w:hint="eastAsia" w:eastAsia="仿宋_GB2312"/>
                <w:color w:val="000000" w:themeColor="text1"/>
                <w:kern w:val="0"/>
                <w:szCs w:val="21"/>
                <w:lang w:val="en-US" w:eastAsia="zh-CN"/>
                <w14:textFill>
                  <w14:solidFill>
                    <w14:schemeClr w14:val="tx1"/>
                  </w14:solidFill>
                </w14:textFill>
              </w:rPr>
              <w:t>10分</w:t>
            </w:r>
            <w:r>
              <w:rPr>
                <w:rFonts w:hint="eastAsia" w:eastAsia="仿宋_GB2312"/>
                <w:color w:val="000000" w:themeColor="text1"/>
                <w:kern w:val="0"/>
                <w:szCs w:val="21"/>
                <w:lang w:eastAsia="zh-CN"/>
                <w14:textFill>
                  <w14:solidFill>
                    <w14:schemeClr w14:val="tx1"/>
                  </w14:solidFill>
                </w14:textFill>
              </w:rPr>
              <w:t>）</w:t>
            </w:r>
          </w:p>
        </w:tc>
        <w:tc>
          <w:tcPr>
            <w:tcW w:w="1097"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服务对象满意度指标</w:t>
            </w:r>
          </w:p>
        </w:tc>
        <w:tc>
          <w:tcPr>
            <w:tcW w:w="958"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指标1：</w:t>
            </w:r>
          </w:p>
        </w:tc>
        <w:tc>
          <w:tcPr>
            <w:tcW w:w="1426"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满意95%以上</w:t>
            </w:r>
          </w:p>
        </w:tc>
        <w:tc>
          <w:tcPr>
            <w:tcW w:w="1134"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满意95%以上</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kern w:val="0"/>
                <w:sz w:val="15"/>
                <w:szCs w:val="15"/>
                <w:lang w:val="en-US" w:eastAsia="zh-CN"/>
                <w14:textFill>
                  <w14:solidFill>
                    <w14:schemeClr w14:val="tx1"/>
                  </w14:solidFill>
                </w14:textFill>
              </w:rPr>
              <w:t>10</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7090" w:type="dxa"/>
            <w:gridSpan w:val="7"/>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总分</w:t>
            </w:r>
          </w:p>
        </w:tc>
        <w:tc>
          <w:tcPr>
            <w:tcW w:w="709"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FF0000"/>
                <w:kern w:val="0"/>
                <w:szCs w:val="21"/>
                <w:lang w:val="en-US" w:eastAsia="zh-CN"/>
              </w:rPr>
            </w:pPr>
            <w:r>
              <w:rPr>
                <w:rFonts w:hint="default" w:eastAsia="仿宋_GB2312"/>
                <w:color w:val="000000" w:themeColor="text1"/>
                <w:kern w:val="0"/>
                <w:szCs w:val="21"/>
                <w:lang w:val="en-US" w:eastAsia="zh-CN"/>
                <w14:textFill>
                  <w14:solidFill>
                    <w14:schemeClr w14:val="tx1"/>
                  </w14:solidFill>
                </w14:textFill>
              </w:rPr>
              <w:t>100</w:t>
            </w:r>
          </w:p>
        </w:tc>
        <w:tc>
          <w:tcPr>
            <w:tcW w:w="898"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FF0000"/>
                <w:kern w:val="0"/>
                <w:szCs w:val="21"/>
                <w:lang w:val="en-US" w:eastAsia="zh-CN"/>
              </w:rPr>
            </w:pPr>
            <w:r>
              <w:rPr>
                <w:rFonts w:hint="eastAsia" w:eastAsia="仿宋_GB2312"/>
                <w:color w:val="auto"/>
                <w:kern w:val="0"/>
                <w:szCs w:val="21"/>
                <w:lang w:val="en-US" w:eastAsia="zh-CN"/>
              </w:rPr>
              <w:t>94.6</w:t>
            </w:r>
          </w:p>
        </w:tc>
        <w:tc>
          <w:tcPr>
            <w:tcW w:w="1181" w:type="dxa"/>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eastAsia="仿宋_GB2312"/>
                <w:color w:val="000000" w:themeColor="text1"/>
                <w:kern w:val="0"/>
                <w:szCs w:val="21"/>
                <w14:textFill>
                  <w14:solidFill>
                    <w14:schemeClr w14:val="tx1"/>
                  </w14:solidFill>
                </w14:textFill>
              </w:rPr>
            </w:pPr>
            <w:r>
              <w:rPr>
                <w:rFonts w:hint="default" w:eastAsia="仿宋_GB2312"/>
                <w:color w:val="000000" w:themeColor="text1"/>
                <w:kern w:val="0"/>
                <w:szCs w:val="21"/>
                <w14:textFill>
                  <w14:solidFill>
                    <w14:schemeClr w14:val="tx1"/>
                  </w14:solidFill>
                </w14:textFill>
              </w:rPr>
              <w:t>　</w:t>
            </w:r>
          </w:p>
        </w:tc>
      </w:tr>
    </w:tbl>
    <w:p>
      <w:pPr>
        <w:widowControl/>
        <w:spacing w:line="260" w:lineRule="exact"/>
        <w:jc w:val="left"/>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eastAsia="zh-CN"/>
        </w:rPr>
        <w:t>备注：一个一级项目支出一张表。鉴于</w:t>
      </w:r>
      <w:r>
        <w:rPr>
          <w:rFonts w:hint="eastAsia" w:ascii="仿宋_GB2312" w:hAnsi="Times New Roman" w:eastAsia="仿宋_GB2312" w:cs="Times New Roman"/>
          <w:color w:val="000000"/>
          <w:kern w:val="0"/>
          <w:sz w:val="22"/>
          <w:szCs w:val="22"/>
          <w:lang w:val="en-US" w:eastAsia="zh-CN"/>
        </w:rPr>
        <w:t>2022年开展省级专项资金三年（2019-2021年）整体绩效评价，故本次可以不填报该自评表。</w:t>
      </w:r>
    </w:p>
    <w:p>
      <w:pPr>
        <w:widowControl/>
        <w:spacing w:line="260" w:lineRule="exact"/>
        <w:jc w:val="left"/>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eastAsia="zh-CN"/>
        </w:rPr>
        <w:t>填报人：</w:t>
      </w:r>
      <w:r>
        <w:rPr>
          <w:rFonts w:hint="eastAsia" w:ascii="仿宋_GB2312" w:hAnsi="Times New Roman" w:eastAsia="仿宋_GB2312" w:cs="Times New Roman"/>
          <w:color w:val="000000"/>
          <w:kern w:val="0"/>
          <w:sz w:val="22"/>
          <w:szCs w:val="22"/>
          <w:lang w:val="en-US" w:eastAsia="zh-CN"/>
        </w:rPr>
        <w:t>周婷  填报日期：2022.4.</w:t>
      </w:r>
      <w:r>
        <w:rPr>
          <w:rFonts w:hint="eastAsia" w:ascii="仿宋_GB2312" w:eastAsia="仿宋_GB2312" w:cs="Times New Roman"/>
          <w:color w:val="000000"/>
          <w:kern w:val="0"/>
          <w:sz w:val="22"/>
          <w:szCs w:val="22"/>
          <w:lang w:val="en-US" w:eastAsia="zh-CN"/>
        </w:rPr>
        <w:t>20</w:t>
      </w:r>
      <w:r>
        <w:rPr>
          <w:rFonts w:hint="eastAsia" w:ascii="仿宋_GB2312" w:hAnsi="Times New Roman" w:eastAsia="仿宋_GB2312" w:cs="Times New Roman"/>
          <w:color w:val="000000"/>
          <w:kern w:val="0"/>
          <w:sz w:val="22"/>
          <w:szCs w:val="22"/>
          <w:lang w:val="en-US" w:eastAsia="zh-CN"/>
        </w:rPr>
        <w:t xml:space="preserve">   联系电话：89665171    单位负责人签字：</w:t>
      </w:r>
    </w:p>
    <w:p/>
    <w:p>
      <w:pPr>
        <w:pStyle w:val="2"/>
        <w:rPr>
          <w:rFonts w:hint="default" w:cs="黑体" w:asciiTheme="minorEastAsia" w:hAnsiTheme="minorEastAsia"/>
          <w:color w:val="000000"/>
          <w:kern w:val="0"/>
          <w:sz w:val="32"/>
          <w:szCs w:val="32"/>
          <w:lang w:val="en-US" w:eastAsia="zh-CN"/>
        </w:rPr>
      </w:pPr>
    </w:p>
    <w:sectPr>
      <w:footerReference r:id="rId5" w:type="default"/>
      <w:pgSz w:w="11906" w:h="16838"/>
      <w:pgMar w:top="567" w:right="1531" w:bottom="283"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20" w:firstLine="280" w:firstLineChars="1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30</w:t>
    </w:r>
    <w:r>
      <w:rPr>
        <w:sz w:val="28"/>
        <w:szCs w:val="28"/>
      </w:rPr>
      <w:fldChar w:fldCharType="end"/>
    </w:r>
    <w:r>
      <w:rPr>
        <w:sz w:val="28"/>
        <w:szCs w:val="28"/>
      </w:rPr>
      <w:t xml:space="preserve"> —</w: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jc w:val="right"/>
      <w:rPr>
        <w:sz w:val="28"/>
        <w:szCs w:val="28"/>
      </w:rPr>
    </w:pPr>
    <w:r>
      <w:rPr>
        <w:sz w:val="28"/>
        <w:szCs w:val="28"/>
      </w:rPr>
      <w:t>—</w:t>
    </w:r>
    <w:sdt>
      <w:sdtPr>
        <w:rPr>
          <w:sz w:val="28"/>
          <w:szCs w:val="28"/>
        </w:rPr>
        <w:id w:val="1219174429"/>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lang w:val="zh-CN"/>
          </w:rPr>
          <w:fldChar w:fldCharType="end"/>
        </w:r>
        <w:r>
          <w:rPr>
            <w:sz w:val="28"/>
            <w:szCs w:val="28"/>
            <w:lang w:val="zh-CN"/>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jc w:val="right"/>
      <w:rPr>
        <w:sz w:val="28"/>
        <w:szCs w:val="28"/>
      </w:rPr>
    </w:pPr>
    <w:r>
      <w:rPr>
        <w:sz w:val="28"/>
        <w:szCs w:val="28"/>
      </w:rPr>
      <w:t>—</w:t>
    </w:r>
    <w:sdt>
      <w:sdtPr>
        <w:rPr>
          <w:sz w:val="28"/>
          <w:szCs w:val="28"/>
        </w:rPr>
        <w:id w:val="1219174429"/>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lang w:val="zh-CN"/>
          </w:rPr>
          <w:fldChar w:fldCharType="end"/>
        </w:r>
        <w:r>
          <w:rPr>
            <w:sz w:val="28"/>
            <w:szCs w:val="28"/>
            <w:lang w:val="zh-CN"/>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1BC67"/>
    <w:multiLevelType w:val="singleLevel"/>
    <w:tmpl w:val="7CC1BC67"/>
    <w:lvl w:ilvl="0" w:tentative="0">
      <w:start w:val="2"/>
      <w:numFmt w:val="decimal"/>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MjViYzVlMzBhMjg1ZjRiMmVhYmQxN2JiN2U2YTc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55052"/>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9E4ED3"/>
    <w:rsid w:val="01CA3F1A"/>
    <w:rsid w:val="03A21BC5"/>
    <w:rsid w:val="03A25040"/>
    <w:rsid w:val="044C50BA"/>
    <w:rsid w:val="04C50721"/>
    <w:rsid w:val="05DD7BCD"/>
    <w:rsid w:val="06D33389"/>
    <w:rsid w:val="088879FF"/>
    <w:rsid w:val="0C0130A4"/>
    <w:rsid w:val="0D511890"/>
    <w:rsid w:val="0F131078"/>
    <w:rsid w:val="125D4693"/>
    <w:rsid w:val="12B502CE"/>
    <w:rsid w:val="144B2C98"/>
    <w:rsid w:val="16DC6EB2"/>
    <w:rsid w:val="18D21A1B"/>
    <w:rsid w:val="193D3E2A"/>
    <w:rsid w:val="19E00326"/>
    <w:rsid w:val="19E72A34"/>
    <w:rsid w:val="1A602C12"/>
    <w:rsid w:val="1A7E20B1"/>
    <w:rsid w:val="1E327376"/>
    <w:rsid w:val="1EB31B66"/>
    <w:rsid w:val="1FD46237"/>
    <w:rsid w:val="225170BE"/>
    <w:rsid w:val="23AF1846"/>
    <w:rsid w:val="24AC1BD7"/>
    <w:rsid w:val="25657CCD"/>
    <w:rsid w:val="276854B7"/>
    <w:rsid w:val="27A504B9"/>
    <w:rsid w:val="27A609CD"/>
    <w:rsid w:val="27D74B17"/>
    <w:rsid w:val="281A0EA7"/>
    <w:rsid w:val="28557E76"/>
    <w:rsid w:val="29AF1D67"/>
    <w:rsid w:val="2A224043"/>
    <w:rsid w:val="2A5F29FA"/>
    <w:rsid w:val="2A840B6B"/>
    <w:rsid w:val="2AE87743"/>
    <w:rsid w:val="2B0611F2"/>
    <w:rsid w:val="2B103174"/>
    <w:rsid w:val="331B62FF"/>
    <w:rsid w:val="347668BE"/>
    <w:rsid w:val="34897199"/>
    <w:rsid w:val="37C3427F"/>
    <w:rsid w:val="37F02623"/>
    <w:rsid w:val="383C4522"/>
    <w:rsid w:val="386A108F"/>
    <w:rsid w:val="3A1A4D37"/>
    <w:rsid w:val="3CB70574"/>
    <w:rsid w:val="3D277D41"/>
    <w:rsid w:val="3F616A2A"/>
    <w:rsid w:val="3F715E97"/>
    <w:rsid w:val="3F760C61"/>
    <w:rsid w:val="3FD17C46"/>
    <w:rsid w:val="4004626D"/>
    <w:rsid w:val="40ED7A4F"/>
    <w:rsid w:val="41250A26"/>
    <w:rsid w:val="414A0CE0"/>
    <w:rsid w:val="42230263"/>
    <w:rsid w:val="42232706"/>
    <w:rsid w:val="42905120"/>
    <w:rsid w:val="42A30CD6"/>
    <w:rsid w:val="42F6258D"/>
    <w:rsid w:val="434C6851"/>
    <w:rsid w:val="43AD6FEF"/>
    <w:rsid w:val="44CE2C42"/>
    <w:rsid w:val="44FC39B7"/>
    <w:rsid w:val="475D1823"/>
    <w:rsid w:val="47943022"/>
    <w:rsid w:val="47D1729C"/>
    <w:rsid w:val="48306B84"/>
    <w:rsid w:val="48B01D2B"/>
    <w:rsid w:val="492E7EB7"/>
    <w:rsid w:val="4AF53017"/>
    <w:rsid w:val="4BC114B6"/>
    <w:rsid w:val="4C2A6DF6"/>
    <w:rsid w:val="4E2206AA"/>
    <w:rsid w:val="4FA17635"/>
    <w:rsid w:val="50CD13C2"/>
    <w:rsid w:val="518A011B"/>
    <w:rsid w:val="520B6FE7"/>
    <w:rsid w:val="52377DDC"/>
    <w:rsid w:val="5277467D"/>
    <w:rsid w:val="529E3A37"/>
    <w:rsid w:val="54DE4E87"/>
    <w:rsid w:val="54ED6E78"/>
    <w:rsid w:val="56170A77"/>
    <w:rsid w:val="5681115C"/>
    <w:rsid w:val="575514D5"/>
    <w:rsid w:val="57D815CF"/>
    <w:rsid w:val="588A1183"/>
    <w:rsid w:val="598F7928"/>
    <w:rsid w:val="5A2A74AD"/>
    <w:rsid w:val="5FBE3797"/>
    <w:rsid w:val="626722B3"/>
    <w:rsid w:val="64AB13D7"/>
    <w:rsid w:val="64C4731D"/>
    <w:rsid w:val="64C907A4"/>
    <w:rsid w:val="64C946A1"/>
    <w:rsid w:val="680B2738"/>
    <w:rsid w:val="6812738E"/>
    <w:rsid w:val="69BA413D"/>
    <w:rsid w:val="69DD23A3"/>
    <w:rsid w:val="69E05264"/>
    <w:rsid w:val="6ACC2947"/>
    <w:rsid w:val="6C6A77E5"/>
    <w:rsid w:val="6CF7668E"/>
    <w:rsid w:val="6D59418A"/>
    <w:rsid w:val="6F3F341C"/>
    <w:rsid w:val="71080E6A"/>
    <w:rsid w:val="71184B14"/>
    <w:rsid w:val="7408071F"/>
    <w:rsid w:val="75331653"/>
    <w:rsid w:val="76B06B11"/>
    <w:rsid w:val="782D0D9A"/>
    <w:rsid w:val="786B24E4"/>
    <w:rsid w:val="78951722"/>
    <w:rsid w:val="7A7255A6"/>
    <w:rsid w:val="7B7F5B42"/>
    <w:rsid w:val="7BF51B6F"/>
    <w:rsid w:val="7C945F76"/>
    <w:rsid w:val="7C9B7337"/>
    <w:rsid w:val="7CA25186"/>
    <w:rsid w:val="7E8B4E88"/>
    <w:rsid w:val="7F322590"/>
    <w:rsid w:val="9FE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ascii="宋体" w:hAnsi="宋体"/>
      <w:kern w:val="0"/>
      <w:sz w:val="24"/>
    </w:rPr>
  </w:style>
  <w:style w:type="paragraph" w:styleId="3">
    <w:name w:val="index 5"/>
    <w:basedOn w:val="1"/>
    <w:next w:val="1"/>
    <w:qFormat/>
    <w:uiPriority w:val="0"/>
    <w:pPr>
      <w:ind w:left="1680"/>
    </w:pPr>
  </w:style>
  <w:style w:type="paragraph" w:styleId="4">
    <w:name w:val="Balloon Text"/>
    <w:basedOn w:val="1"/>
    <w:link w:val="22"/>
    <w:semiHidden/>
    <w:unhideWhenUsed/>
    <w:qFormat/>
    <w:uiPriority w:val="99"/>
    <w:rPr>
      <w:sz w:val="18"/>
      <w:szCs w:val="18"/>
    </w:rPr>
  </w:style>
  <w:style w:type="paragraph" w:styleId="5">
    <w:name w:val="footer"/>
    <w:basedOn w:val="1"/>
    <w:next w:val="3"/>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9">
    <w:name w:val="FollowedHyperlink"/>
    <w:basedOn w:val="8"/>
    <w:semiHidden/>
    <w:unhideWhenUsed/>
    <w:qFormat/>
    <w:uiPriority w:val="99"/>
    <w:rPr>
      <w:color w:val="313131"/>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13131"/>
      <w:u w:val="none"/>
    </w:rPr>
  </w:style>
  <w:style w:type="character" w:styleId="15">
    <w:name w:val="HTML Code"/>
    <w:basedOn w:val="8"/>
    <w:semiHidden/>
    <w:unhideWhenUsed/>
    <w:qFormat/>
    <w:uiPriority w:val="99"/>
    <w:rPr>
      <w:rFonts w:ascii="微软雅黑" w:hAnsi="微软雅黑" w:eastAsia="微软雅黑" w:cs="微软雅黑"/>
      <w:sz w:val="21"/>
      <w:szCs w:val="21"/>
    </w:rPr>
  </w:style>
  <w:style w:type="character" w:styleId="16">
    <w:name w:val="HTML Cite"/>
    <w:basedOn w:val="8"/>
    <w:semiHidden/>
    <w:unhideWhenUsed/>
    <w:qFormat/>
    <w:uiPriority w:val="99"/>
  </w:style>
  <w:style w:type="character" w:customStyle="1" w:styleId="18">
    <w:name w:val="页眉 Char"/>
    <w:basedOn w:val="8"/>
    <w:link w:val="6"/>
    <w:qFormat/>
    <w:uiPriority w:val="99"/>
    <w:rPr>
      <w:sz w:val="18"/>
      <w:szCs w:val="18"/>
    </w:rPr>
  </w:style>
  <w:style w:type="character" w:customStyle="1" w:styleId="19">
    <w:name w:val="页脚 Char"/>
    <w:basedOn w:val="8"/>
    <w:link w:val="5"/>
    <w:qFormat/>
    <w:uiPriority w:val="99"/>
    <w:rPr>
      <w:sz w:val="18"/>
      <w:szCs w:val="18"/>
    </w:rPr>
  </w:style>
  <w:style w:type="paragraph" w:customStyle="1" w:styleId="2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1">
    <w:name w:val="List Paragraph"/>
    <w:basedOn w:val="1"/>
    <w:qFormat/>
    <w:uiPriority w:val="34"/>
    <w:pPr>
      <w:ind w:firstLine="420" w:firstLineChars="200"/>
    </w:pPr>
  </w:style>
  <w:style w:type="character" w:customStyle="1" w:styleId="22">
    <w:name w:val="批注框文本 Char"/>
    <w:basedOn w:val="8"/>
    <w:link w:val="4"/>
    <w:semiHidden/>
    <w:qFormat/>
    <w:uiPriority w:val="99"/>
    <w:rPr>
      <w:sz w:val="18"/>
      <w:szCs w:val="18"/>
    </w:rPr>
  </w:style>
  <w:style w:type="paragraph" w:customStyle="1" w:styleId="23">
    <w:name w:val="列出段落2"/>
    <w:basedOn w:val="1"/>
    <w:unhideWhenUsed/>
    <w:qFormat/>
    <w:uiPriority w:val="99"/>
    <w:pPr>
      <w:ind w:firstLine="420" w:firstLineChars="200"/>
    </w:pPr>
  </w:style>
  <w:style w:type="paragraph" w:customStyle="1" w:styleId="24">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 w:type="character" w:customStyle="1" w:styleId="25">
    <w:name w:val="dropselect_box"/>
    <w:basedOn w:val="8"/>
    <w:qFormat/>
    <w:uiPriority w:val="0"/>
  </w:style>
  <w:style w:type="character" w:customStyle="1" w:styleId="26">
    <w:name w:val="dropselect_box1"/>
    <w:basedOn w:val="8"/>
    <w:qFormat/>
    <w:uiPriority w:val="0"/>
    <w:rPr>
      <w:bdr w:val="single" w:color="E2E2E2" w:sz="6" w:space="0"/>
    </w:rPr>
  </w:style>
  <w:style w:type="character" w:customStyle="1" w:styleId="27">
    <w:name w:val="hj-easyread-speakerprocesser-position-action-ico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12765</Words>
  <Characters>14525</Characters>
  <Lines>69</Lines>
  <Paragraphs>19</Paragraphs>
  <TotalTime>4</TotalTime>
  <ScaleCrop>false</ScaleCrop>
  <LinksUpToDate>false</LinksUpToDate>
  <CharactersWithSpaces>16015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朱佳妮</cp:lastModifiedBy>
  <cp:lastPrinted>2022-09-14T10:51:00Z</cp:lastPrinted>
  <dcterms:modified xsi:type="dcterms:W3CDTF">2024-07-23T00:48:36Z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313CFB3E11474BC7B6A05708578A975B</vt:lpwstr>
  </property>
</Properties>
</file>