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2024</w:t>
      </w:r>
      <w:r>
        <w:rPr>
          <w:rFonts w:ascii="方正小标宋_GBK" w:eastAsia="方正小标宋_GBK"/>
          <w:bCs/>
          <w:kern w:val="0"/>
          <w:sz w:val="44"/>
          <w:szCs w:val="44"/>
        </w:rPr>
        <w:t>年</w:t>
      </w:r>
      <w:r>
        <w:rPr>
          <w:rFonts w:eastAsia="方正小标宋简体"/>
          <w:bCs/>
          <w:kern w:val="0"/>
          <w:sz w:val="42"/>
          <w:szCs w:val="42"/>
        </w:rPr>
        <w:t>湖南省价格认证中心</w:t>
      </w:r>
      <w:r>
        <w:rPr>
          <w:rFonts w:ascii="方正小标宋_GBK" w:eastAsia="方正小标宋_GBK"/>
          <w:bCs/>
          <w:kern w:val="0"/>
          <w:sz w:val="44"/>
          <w:szCs w:val="44"/>
        </w:rPr>
        <w:t>单位预算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目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/>
          <w:bCs/>
          <w:kern w:val="0"/>
          <w:sz w:val="32"/>
          <w:szCs w:val="32"/>
        </w:rPr>
        <w:t>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t>第一部分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方正小标宋_GBK"/>
          <w:b/>
          <w:bCs/>
          <w:kern w:val="0"/>
          <w:sz w:val="32"/>
          <w:szCs w:val="32"/>
        </w:rPr>
        <w:t>2024</w:t>
      </w:r>
      <w:r>
        <w:rPr>
          <w:rFonts w:ascii="仿宋_GB2312" w:eastAsia="仿宋_GB2312"/>
          <w:b/>
          <w:bCs/>
          <w:kern w:val="0"/>
          <w:sz w:val="32"/>
          <w:szCs w:val="32"/>
        </w:rPr>
        <w:t>年单位预算说明</w:t>
      </w:r>
    </w:p>
    <w:p>
      <w:pPr>
        <w:widowControl/>
        <w:autoSpaceDE w:val="0"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  <w:szCs w:val="32"/>
        </w:rPr>
        <w:t>2024</w:t>
      </w:r>
      <w:r>
        <w:rPr>
          <w:rFonts w:ascii="仿宋_GB2312" w:eastAsia="仿宋_GB2312"/>
          <w:b/>
          <w:bCs/>
          <w:kern w:val="0"/>
          <w:sz w:val="32"/>
          <w:szCs w:val="32"/>
        </w:rPr>
        <w:t>年单位预算表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、收支总表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、收入总表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、支出总表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、支出预算分类汇总表（按政府预算经济分类）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、支出预算分类汇总表（按部门预算经济分类）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、财政拨款收支总表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、一般公共预算支出表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人员经费（工资福利支出）（按政府预算经济分类）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人员经费（工资福利支出）（按部门预算经济分类）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人员经费（对个人和家庭的补助）（按政府预算经济分类）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人员经费（对个人和家庭的补助）（按部门预算经济分类）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公用经费（商品和服务支出）（按政府预算经济分类）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公用经费（商品和服务支出）（按部门预算经济分类）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、一般公共预算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经费支出表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、政府性基金预算支出表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ascii="仿宋_GB2312" w:eastAsia="仿宋_GB2312"/>
          <w:sz w:val="32"/>
          <w:szCs w:val="32"/>
        </w:rPr>
        <w:t>、政府性基金预算支出分类汇总表（按政府预算经济分类）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、政府性基金预算支出分类汇总表（按部门预算经济分类）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、国有资本经营预算支出表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、财政专户管理资金预算支出表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、省级专项资金预算汇总表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ascii="仿宋_GB2312" w:eastAsia="仿宋_GB2312"/>
          <w:sz w:val="32"/>
          <w:szCs w:val="32"/>
        </w:rPr>
        <w:t>、省级专项资金绩效目标表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、其他</w:t>
      </w:r>
      <w:r>
        <w:rPr>
          <w:rFonts w:hint="eastAsia" w:ascii="仿宋_GB2312" w:eastAsia="仿宋_GB2312"/>
          <w:sz w:val="32"/>
          <w:szCs w:val="32"/>
          <w:lang w:eastAsia="zh-CN"/>
        </w:rPr>
        <w:t>资金</w:t>
      </w:r>
      <w:r>
        <w:rPr>
          <w:rFonts w:ascii="仿宋_GB2312" w:eastAsia="仿宋_GB2312"/>
          <w:sz w:val="32"/>
          <w:szCs w:val="32"/>
        </w:rPr>
        <w:t>绩效目标表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ascii="仿宋_GB2312" w:eastAsia="仿宋_GB2312"/>
          <w:sz w:val="32"/>
          <w:szCs w:val="32"/>
        </w:rPr>
        <w:t>、部门整体支出绩效目标表</w:t>
      </w: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both"/>
        <w:rPr>
          <w:rFonts w:ascii="方正小标宋_GBK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ascii="方正小标宋_GBK" w:eastAsia="方正小标宋_GBK"/>
          <w:bCs/>
          <w:kern w:val="0"/>
          <w:sz w:val="36"/>
          <w:szCs w:val="36"/>
        </w:rPr>
        <w:t>第一部分</w:t>
      </w:r>
      <w:r>
        <w:rPr>
          <w:rFonts w:eastAsia="方正小标宋_GBK"/>
          <w:bCs/>
          <w:kern w:val="0"/>
          <w:sz w:val="36"/>
          <w:szCs w:val="36"/>
        </w:rPr>
        <w:t xml:space="preserve"> </w:t>
      </w:r>
      <w:r>
        <w:rPr>
          <w:rFonts w:hint="eastAsia" w:eastAsia="方正小标宋_GBK"/>
          <w:bCs/>
          <w:kern w:val="0"/>
          <w:sz w:val="36"/>
          <w:szCs w:val="36"/>
        </w:rPr>
        <w:t>2024</w:t>
      </w:r>
      <w:r>
        <w:rPr>
          <w:rFonts w:ascii="方正小标宋_GBK" w:eastAsia="方正小标宋_GBK"/>
          <w:bCs/>
          <w:kern w:val="0"/>
          <w:sz w:val="36"/>
          <w:szCs w:val="36"/>
        </w:rPr>
        <w:t>年单位预算说明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</w:p>
    <w:p>
      <w:pPr>
        <w:autoSpaceDE w:val="0"/>
        <w:spacing w:line="60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一、单位基本概况</w:t>
      </w:r>
    </w:p>
    <w:p>
      <w:pPr>
        <w:overflowPunct w:val="0"/>
        <w:snapToGrid w:val="0"/>
        <w:spacing w:line="596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（一）职能职责。</w:t>
      </w:r>
    </w:p>
    <w:p>
      <w:pPr>
        <w:overflowPunct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湖南省价格认证中心于2001年6月经省编委湘编办函〔2001〕48号批复成立,现为省发改委直属公益一类事业单位。</w:t>
      </w:r>
    </w:p>
    <w:p>
      <w:pPr>
        <w:overflowPunct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湖南省涉案物价格鉴证管理条例》及国家发改委《价格认定规定》相关规定，价格认证中心主要职能是：经有关国家机关提出，协助对纪检监察、司法、行政工作中（涉嫌违纪案件，涉嫌刑事案件，行政诉讼、复议及处罚案件，行政征收、征用及执法活动，国家赔偿、补偿事项，法律法规规定的其他情形）所涉及的价格不明或者价格有争议的实行市场调节价的有形产品、无形资产和各类有偿服务，进行市场合理价格水平确认；本行政区域内价格认定复核事项；其他价格认定工作相关社会服务。</w:t>
      </w:r>
    </w:p>
    <w:p>
      <w:pPr>
        <w:numPr>
          <w:ilvl w:val="0"/>
          <w:numId w:val="1"/>
        </w:numPr>
        <w:overflowPunct w:val="0"/>
        <w:spacing w:line="596" w:lineRule="exact"/>
        <w:ind w:firstLine="630" w:firstLineChars="196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机构设置。</w:t>
      </w:r>
    </w:p>
    <w:p>
      <w:pPr>
        <w:numPr>
          <w:ilvl w:val="0"/>
          <w:numId w:val="0"/>
        </w:numPr>
        <w:overflowPunct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中心现设有综合科、财务科、认定科、复核科四个科室。</w:t>
      </w:r>
    </w:p>
    <w:p>
      <w:pPr>
        <w:autoSpaceDE w:val="0"/>
        <w:spacing w:line="60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二、预算单位构成</w:t>
      </w:r>
    </w:p>
    <w:p>
      <w:pPr>
        <w:numPr>
          <w:ilvl w:val="0"/>
          <w:numId w:val="0"/>
        </w:numPr>
        <w:overflowPunct w:val="0"/>
        <w:spacing w:line="596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本单位</w:t>
      </w:r>
      <w:r>
        <w:rPr>
          <w:rFonts w:eastAsia="仿宋_GB2312"/>
          <w:color w:val="auto"/>
          <w:sz w:val="32"/>
          <w:szCs w:val="32"/>
        </w:rPr>
        <w:t>无</w:t>
      </w:r>
      <w:r>
        <w:rPr>
          <w:rFonts w:hint="eastAsia" w:ascii="仿宋_GB2312" w:eastAsia="仿宋_GB2312"/>
          <w:color w:val="auto"/>
          <w:sz w:val="32"/>
          <w:szCs w:val="32"/>
        </w:rPr>
        <w:t>下属</w:t>
      </w:r>
      <w:r>
        <w:rPr>
          <w:rFonts w:ascii="仿宋_GB2312" w:eastAsia="仿宋_GB2312"/>
          <w:color w:val="auto"/>
          <w:sz w:val="32"/>
          <w:szCs w:val="32"/>
        </w:rPr>
        <w:t>预算单位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</w:t>
      </w:r>
      <w:r>
        <w:rPr>
          <w:rFonts w:ascii="仿宋_GB2312" w:eastAsia="仿宋_GB2312"/>
          <w:color w:val="auto"/>
          <w:sz w:val="32"/>
          <w:szCs w:val="32"/>
        </w:rPr>
        <w:t>纳入编制范围的预算单位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只</w:t>
      </w:r>
      <w:r>
        <w:rPr>
          <w:rFonts w:ascii="仿宋_GB2312" w:eastAsia="仿宋_GB2312"/>
          <w:color w:val="auto"/>
          <w:sz w:val="32"/>
          <w:szCs w:val="32"/>
        </w:rPr>
        <w:t>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单位本级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因此本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预算仅含本级预算。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三</w:t>
      </w:r>
      <w:r>
        <w:rPr>
          <w:rFonts w:ascii="黑体" w:hAnsi="黑体" w:eastAsia="黑体"/>
          <w:bCs/>
          <w:kern w:val="0"/>
          <w:sz w:val="32"/>
          <w:szCs w:val="32"/>
        </w:rPr>
        <w:t>、单位收支总体情况</w:t>
      </w:r>
    </w:p>
    <w:p>
      <w:pPr>
        <w:autoSpaceDE w:val="0"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</w:rPr>
        <w:t>（一）收入预算：</w:t>
      </w:r>
      <w:r>
        <w:rPr>
          <w:rFonts w:ascii="仿宋_GB2312"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u w:val="none"/>
        </w:rPr>
        <w:t>2024</w:t>
      </w:r>
      <w:r>
        <w:rPr>
          <w:rFonts w:ascii="仿宋_GB2312" w:eastAsia="仿宋_GB2312"/>
          <w:color w:val="auto"/>
          <w:sz w:val="32"/>
          <w:szCs w:val="32"/>
          <w:u w:val="none"/>
        </w:rPr>
        <w:t>年本单位收入预算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309.13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万元，其中，一般公共预算拨款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309.13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万元，政府性基金预算拨款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万元，国有资本经营预算拨款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万元，纳入专户管理的非税收入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万元。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收入较去年增加</w:t>
      </w:r>
      <w:r>
        <w:rPr>
          <w:rFonts w:hint="eastAsia" w:eastAsia="仿宋_GB2312"/>
          <w:b/>
          <w:color w:val="auto"/>
          <w:sz w:val="32"/>
          <w:szCs w:val="32"/>
          <w:u w:val="none"/>
          <w:lang w:val="en-US" w:eastAsia="zh-CN"/>
        </w:rPr>
        <w:t>20.32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万元，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主要原因：一是人</w:t>
      </w:r>
      <w:r>
        <w:rPr>
          <w:rFonts w:hint="eastAsia" w:ascii="Times New Roman" w:hAnsi="Times New Roman" w:eastAsia="仿宋_GB2312"/>
          <w:b/>
          <w:kern w:val="2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经费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eastAsia="zh-CN"/>
        </w:rPr>
        <w:t>增加了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val="en-US" w:eastAsia="zh-CN"/>
        </w:rPr>
        <w:t>40.56万元，二是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上年结转结余资金</w:t>
      </w:r>
      <w:r>
        <w:rPr>
          <w:rFonts w:hint="eastAsia" w:eastAsia="仿宋_GB2312"/>
          <w:b/>
          <w:kern w:val="2"/>
          <w:sz w:val="32"/>
          <w:szCs w:val="32"/>
          <w:lang w:eastAsia="zh-CN"/>
        </w:rPr>
        <w:t>减少</w:t>
      </w:r>
      <w:r>
        <w:rPr>
          <w:rFonts w:hint="eastAsia" w:eastAsia="仿宋_GB2312"/>
          <w:b/>
          <w:kern w:val="2"/>
          <w:sz w:val="32"/>
          <w:szCs w:val="32"/>
          <w:lang w:val="en-US" w:eastAsia="zh-CN"/>
        </w:rPr>
        <w:t>20.24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万元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。</w:t>
      </w:r>
    </w:p>
    <w:p>
      <w:pPr>
        <w:autoSpaceDE w:val="0"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u w:val="none"/>
        </w:rPr>
        <w:t>2024</w:t>
      </w:r>
      <w:r>
        <w:rPr>
          <w:rFonts w:ascii="仿宋_GB2312" w:eastAsia="仿宋_GB2312"/>
          <w:color w:val="auto"/>
          <w:sz w:val="32"/>
          <w:szCs w:val="32"/>
          <w:u w:val="none"/>
        </w:rPr>
        <w:t>年本单位支出预算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309.13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万元，其中，一般公共服务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251.43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</w:t>
      </w:r>
      <w:r>
        <w:rPr>
          <w:rFonts w:eastAsia="仿宋_GB2312"/>
          <w:color w:val="auto"/>
          <w:sz w:val="32"/>
          <w:szCs w:val="32"/>
          <w:u w:val="none"/>
        </w:rPr>
        <w:t>社会保障和就业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42.90</w:t>
      </w:r>
      <w:r>
        <w:rPr>
          <w:rFonts w:eastAsia="仿宋_GB2312"/>
          <w:color w:val="auto"/>
          <w:sz w:val="32"/>
          <w:szCs w:val="32"/>
          <w:u w:val="none"/>
        </w:rPr>
        <w:t>万元，住房保障14.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eastAsia="仿宋_GB2312"/>
          <w:color w:val="auto"/>
          <w:sz w:val="32"/>
          <w:szCs w:val="32"/>
          <w:u w:val="none"/>
        </w:rPr>
        <w:t>0万元</w:t>
      </w:r>
      <w:r>
        <w:rPr>
          <w:rFonts w:ascii="仿宋_GB2312" w:eastAsia="仿宋_GB2312"/>
          <w:color w:val="auto"/>
          <w:sz w:val="32"/>
          <w:szCs w:val="32"/>
          <w:u w:val="none"/>
        </w:rPr>
        <w:t>。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支出较去年增加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val="en-US" w:eastAsia="zh-CN"/>
        </w:rPr>
        <w:t>20.32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万元，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主要原因：一是人</w:t>
      </w:r>
      <w:r>
        <w:rPr>
          <w:rFonts w:hint="eastAsia" w:ascii="Times New Roman" w:hAnsi="Times New Roman" w:eastAsia="仿宋_GB2312"/>
          <w:b/>
          <w:kern w:val="2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经费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eastAsia="zh-CN"/>
        </w:rPr>
        <w:t>增加了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val="en-US" w:eastAsia="zh-CN"/>
        </w:rPr>
        <w:t>40.56万元，二是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上年结转结余资金</w:t>
      </w:r>
      <w:r>
        <w:rPr>
          <w:rFonts w:hint="eastAsia" w:eastAsia="仿宋_GB2312"/>
          <w:b/>
          <w:kern w:val="2"/>
          <w:sz w:val="32"/>
          <w:szCs w:val="32"/>
          <w:lang w:eastAsia="zh-CN"/>
        </w:rPr>
        <w:t>减少</w:t>
      </w:r>
      <w:r>
        <w:rPr>
          <w:rFonts w:hint="eastAsia" w:eastAsia="仿宋_GB2312"/>
          <w:b/>
          <w:kern w:val="2"/>
          <w:sz w:val="32"/>
          <w:szCs w:val="32"/>
          <w:lang w:val="en-US" w:eastAsia="zh-CN"/>
        </w:rPr>
        <w:t>20.24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万元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。</w:t>
      </w:r>
    </w:p>
    <w:p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、一般公共预算拨款支出</w:t>
      </w:r>
    </w:p>
    <w:p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2024</w:t>
      </w:r>
      <w:r>
        <w:rPr>
          <w:rFonts w:ascii="仿宋_GB2312" w:eastAsia="仿宋_GB2312"/>
          <w:sz w:val="32"/>
          <w:szCs w:val="32"/>
          <w:u w:val="none"/>
        </w:rPr>
        <w:t>年本单位一般公共预算拨款支出预算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309.13</w:t>
      </w:r>
      <w:r>
        <w:rPr>
          <w:rFonts w:ascii="仿宋_GB2312" w:eastAsia="仿宋_GB2312"/>
          <w:sz w:val="32"/>
          <w:szCs w:val="32"/>
          <w:u w:val="none"/>
        </w:rPr>
        <w:t>万元，其中，一般公共服务支出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251.43</w:t>
      </w:r>
      <w:r>
        <w:rPr>
          <w:rFonts w:ascii="仿宋_GB2312" w:eastAsia="仿宋_GB2312"/>
          <w:sz w:val="32"/>
          <w:szCs w:val="32"/>
          <w:u w:val="none"/>
        </w:rPr>
        <w:t>万元，占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81.33</w:t>
      </w:r>
      <w:r>
        <w:rPr>
          <w:rFonts w:eastAsia="仿宋_GB2312"/>
          <w:sz w:val="32"/>
          <w:szCs w:val="32"/>
          <w:u w:val="none"/>
        </w:rPr>
        <w:t xml:space="preserve"> %</w:t>
      </w:r>
      <w:r>
        <w:rPr>
          <w:rFonts w:ascii="仿宋_GB2312" w:eastAsia="仿宋_GB2312"/>
          <w:sz w:val="32"/>
          <w:szCs w:val="32"/>
          <w:u w:val="none"/>
        </w:rPr>
        <w:t>；</w:t>
      </w:r>
      <w:r>
        <w:rPr>
          <w:rFonts w:eastAsia="仿宋_GB2312"/>
          <w:sz w:val="32"/>
          <w:szCs w:val="32"/>
          <w:u w:val="none"/>
        </w:rPr>
        <w:t>社会保障和就业支出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42.90</w:t>
      </w:r>
      <w:r>
        <w:rPr>
          <w:rFonts w:eastAsia="仿宋_GB2312"/>
          <w:sz w:val="32"/>
          <w:szCs w:val="32"/>
          <w:u w:val="none"/>
        </w:rPr>
        <w:t>万元，占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13.88</w:t>
      </w:r>
      <w:r>
        <w:rPr>
          <w:rFonts w:eastAsia="仿宋_GB2312"/>
          <w:sz w:val="32"/>
          <w:szCs w:val="32"/>
          <w:u w:val="none"/>
        </w:rPr>
        <w:t>%；住房保障支出14.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</w:t>
      </w:r>
      <w:r>
        <w:rPr>
          <w:rFonts w:eastAsia="仿宋_GB2312"/>
          <w:sz w:val="32"/>
          <w:szCs w:val="32"/>
          <w:u w:val="none"/>
        </w:rPr>
        <w:t>0万元，占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4.79</w:t>
      </w:r>
      <w:r>
        <w:rPr>
          <w:rFonts w:eastAsia="仿宋_GB2312"/>
          <w:sz w:val="32"/>
          <w:szCs w:val="32"/>
          <w:u w:val="none"/>
        </w:rPr>
        <w:t>%。</w:t>
      </w:r>
      <w:r>
        <w:rPr>
          <w:rFonts w:ascii="仿宋_GB2312" w:eastAsia="仿宋_GB2312"/>
          <w:sz w:val="32"/>
          <w:szCs w:val="32"/>
          <w:u w:val="none"/>
        </w:rPr>
        <w:t>具体安排情况如下：</w:t>
      </w:r>
    </w:p>
    <w:p>
      <w:pPr>
        <w:autoSpaceDE w:val="0"/>
        <w:spacing w:line="600" w:lineRule="exact"/>
        <w:ind w:firstLine="643" w:firstLineChars="200"/>
        <w:jc w:val="left"/>
        <w:rPr>
          <w:rFonts w:eastAsia="黑体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  <w:u w:val="none"/>
        </w:rPr>
        <w:t>（一）基本支出：</w:t>
      </w:r>
      <w:r>
        <w:rPr>
          <w:rFonts w:hint="eastAsia" w:eastAsia="仿宋_GB2312"/>
          <w:sz w:val="32"/>
          <w:szCs w:val="32"/>
          <w:u w:val="none"/>
        </w:rPr>
        <w:t>2024</w:t>
      </w:r>
      <w:r>
        <w:rPr>
          <w:rFonts w:ascii="仿宋_GB2312" w:eastAsia="仿宋_GB2312"/>
          <w:sz w:val="32"/>
          <w:szCs w:val="32"/>
          <w:u w:val="none"/>
        </w:rPr>
        <w:t>年本单位基本支出预算数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250.13</w:t>
      </w:r>
      <w:r>
        <w:rPr>
          <w:rFonts w:ascii="仿宋_GB2312" w:eastAsia="仿宋_GB2312"/>
          <w:sz w:val="32"/>
          <w:szCs w:val="32"/>
          <w:u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autoSpaceDE w:val="0"/>
        <w:spacing w:line="600" w:lineRule="exact"/>
        <w:ind w:firstLine="643" w:firstLineChars="200"/>
        <w:jc w:val="left"/>
        <w:rPr>
          <w:rFonts w:eastAsia="仿宋_GB2312"/>
          <w:color w:val="auto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  <w:u w:val="none"/>
        </w:rPr>
        <w:t>（二）项目支出：</w:t>
      </w:r>
      <w:r>
        <w:rPr>
          <w:rFonts w:hint="eastAsia" w:eastAsia="仿宋_GB2312"/>
          <w:sz w:val="32"/>
          <w:szCs w:val="32"/>
          <w:u w:val="none"/>
        </w:rPr>
        <w:t>2024</w:t>
      </w:r>
      <w:r>
        <w:rPr>
          <w:rFonts w:ascii="仿宋_GB2312" w:eastAsia="仿宋_GB2312"/>
          <w:sz w:val="32"/>
          <w:szCs w:val="32"/>
          <w:u w:val="none"/>
        </w:rPr>
        <w:t>年本单位项目支出预算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59.00</w:t>
      </w:r>
      <w:r>
        <w:rPr>
          <w:rFonts w:ascii="仿宋_GB2312" w:eastAsia="仿宋_GB2312"/>
          <w:sz w:val="32"/>
          <w:szCs w:val="32"/>
          <w:u w:val="none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/>
          <w:color w:val="auto"/>
          <w:sz w:val="32"/>
          <w:szCs w:val="32"/>
          <w:u w:val="none"/>
        </w:rPr>
        <w:t>专项业务费</w:t>
      </w:r>
      <w:r>
        <w:rPr>
          <w:rFonts w:ascii="仿宋_GB2312" w:eastAsia="仿宋_GB2312"/>
          <w:color w:val="auto"/>
          <w:sz w:val="32"/>
          <w:szCs w:val="32"/>
          <w:u w:val="none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21.12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</w:t>
      </w:r>
      <w:r>
        <w:rPr>
          <w:rFonts w:eastAsia="仿宋_GB2312"/>
          <w:color w:val="auto"/>
          <w:sz w:val="32"/>
          <w:szCs w:val="32"/>
          <w:u w:val="none"/>
        </w:rPr>
        <w:t>主要用于价格认证专项经费支出</w:t>
      </w:r>
      <w:r>
        <w:rPr>
          <w:rFonts w:ascii="仿宋_GB2312" w:eastAsia="仿宋_GB2312"/>
          <w:color w:val="auto"/>
          <w:sz w:val="32"/>
          <w:szCs w:val="32"/>
          <w:u w:val="none"/>
        </w:rPr>
        <w:t>；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其他事业发展资金</w:t>
      </w:r>
      <w:r>
        <w:rPr>
          <w:rFonts w:ascii="仿宋_GB2312" w:eastAsia="仿宋_GB2312"/>
          <w:color w:val="auto"/>
          <w:sz w:val="32"/>
          <w:szCs w:val="32"/>
          <w:u w:val="none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37.88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万元，主要用于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价格认定和价格争议纠纷调解工作经费</w:t>
      </w:r>
      <w:r>
        <w:rPr>
          <w:rFonts w:ascii="仿宋_GB2312" w:eastAsia="仿宋_GB2312"/>
          <w:color w:val="auto"/>
          <w:sz w:val="32"/>
          <w:szCs w:val="32"/>
          <w:u w:val="none"/>
        </w:rPr>
        <w:t>等方面。</w:t>
      </w:r>
    </w:p>
    <w:p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、政府性基金预算支出</w:t>
      </w:r>
    </w:p>
    <w:p>
      <w:pPr>
        <w:overflowPunct w:val="0"/>
        <w:spacing w:line="596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2024年本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无政府性基金安排的支出。</w:t>
      </w:r>
    </w:p>
    <w:p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、其他重要事项的情况说明</w:t>
      </w:r>
    </w:p>
    <w:p>
      <w:pPr>
        <w:autoSpaceDE w:val="0"/>
        <w:spacing w:line="60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（一）运行经费：</w:t>
      </w:r>
      <w:r>
        <w:rPr>
          <w:rFonts w:hint="eastAsia" w:eastAsia="仿宋_GB2312"/>
          <w:sz w:val="32"/>
          <w:szCs w:val="32"/>
        </w:rPr>
        <w:t>2024</w:t>
      </w:r>
      <w:r>
        <w:rPr>
          <w:rFonts w:ascii="仿宋_GB2312" w:eastAsia="仿宋_GB2312"/>
          <w:sz w:val="32"/>
          <w:szCs w:val="32"/>
        </w:rPr>
        <w:t>年本单位运行经费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44.08</w:t>
      </w:r>
      <w:r>
        <w:rPr>
          <w:rFonts w:ascii="仿宋_GB2312" w:eastAsia="仿宋_GB2312"/>
          <w:sz w:val="32"/>
          <w:szCs w:val="32"/>
        </w:rPr>
        <w:t>万元，比上年预算持平。</w:t>
      </w:r>
    </w:p>
    <w:p>
      <w:pPr>
        <w:autoSpaceDE w:val="0"/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</w:t>
      </w:r>
      <w:r>
        <w:rPr>
          <w:rFonts w:eastAsia="楷体_GB2312"/>
          <w:b/>
          <w:sz w:val="32"/>
          <w:szCs w:val="32"/>
        </w:rPr>
        <w:t>“</w:t>
      </w:r>
      <w:r>
        <w:rPr>
          <w:rFonts w:ascii="楷体_GB2312" w:eastAsia="楷体_GB2312"/>
          <w:b/>
          <w:sz w:val="32"/>
          <w:szCs w:val="32"/>
        </w:rPr>
        <w:t>三公</w:t>
      </w:r>
      <w:r>
        <w:rPr>
          <w:rFonts w:eastAsia="楷体_GB2312"/>
          <w:b/>
          <w:sz w:val="32"/>
          <w:szCs w:val="32"/>
        </w:rPr>
        <w:t>”</w:t>
      </w:r>
      <w:r>
        <w:rPr>
          <w:rFonts w:ascii="楷体_GB2312" w:eastAsia="楷体_GB2312"/>
          <w:b/>
          <w:sz w:val="32"/>
          <w:szCs w:val="32"/>
        </w:rPr>
        <w:t>经费预算：</w:t>
      </w:r>
      <w:r>
        <w:rPr>
          <w:rFonts w:hint="eastAsia" w:eastAsia="仿宋_GB2312"/>
          <w:sz w:val="32"/>
          <w:szCs w:val="32"/>
        </w:rPr>
        <w:t>2024</w:t>
      </w:r>
      <w:r>
        <w:rPr>
          <w:rFonts w:ascii="仿宋_GB2312" w:eastAsia="仿宋_GB2312"/>
          <w:sz w:val="32"/>
          <w:szCs w:val="32"/>
        </w:rPr>
        <w:t>年本单位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经费预算数</w:t>
      </w:r>
      <w:r>
        <w:rPr>
          <w:rFonts w:ascii="仿宋_GB2312" w:eastAsia="仿宋_GB2312"/>
          <w:color w:val="auto"/>
          <w:sz w:val="32"/>
          <w:szCs w:val="32"/>
        </w:rPr>
        <w:t>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万元，其中，公务接待费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万元），因公出国（境）费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</w:rPr>
        <w:t>2024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经费预算较上年减少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29</w:t>
      </w:r>
      <w:r>
        <w:rPr>
          <w:rFonts w:ascii="仿宋_GB2312"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val="en-US" w:eastAsia="zh-CN"/>
        </w:rPr>
        <w:t>减少了</w:t>
      </w:r>
      <w:r>
        <w:rPr>
          <w:rFonts w:eastAsia="仿宋_GB2312"/>
          <w:sz w:val="32"/>
          <w:szCs w:val="32"/>
        </w:rPr>
        <w:t>公务用车购置费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3"/>
        <w:shd w:val="clear" w:color="auto" w:fill="FFFFFF"/>
        <w:overflowPunct w:val="0"/>
        <w:spacing w:line="596" w:lineRule="exact"/>
        <w:ind w:firstLine="643" w:firstLineChars="200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楷体_GB2312" w:eastAsia="楷体_GB2312"/>
          <w:b/>
          <w:sz w:val="32"/>
          <w:szCs w:val="32"/>
          <w:u w:val="none"/>
        </w:rPr>
        <w:t>（三）一般性支出情况：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</w:rPr>
        <w:t>2024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年本单位会议费预算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2.1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万元，拟召开</w:t>
      </w:r>
      <w:r>
        <w:rPr>
          <w:rFonts w:hint="eastAsia" w:eastAsia="仿宋_GB2312"/>
          <w:color w:val="auto"/>
          <w:kern w:val="0"/>
          <w:sz w:val="32"/>
          <w:szCs w:val="32"/>
          <w:u w:val="none"/>
        </w:rPr>
        <w:t>3次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会议，人数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105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人，内容为</w:t>
      </w:r>
      <w:r>
        <w:rPr>
          <w:rFonts w:hint="eastAsia" w:eastAsia="仿宋_GB2312"/>
          <w:color w:val="auto"/>
          <w:kern w:val="0"/>
          <w:sz w:val="32"/>
          <w:szCs w:val="32"/>
          <w:u w:val="none"/>
        </w:rPr>
        <w:t>年度工作布置会（年初）、年中工作进度跟进会和年终工作总结会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；培训费预算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15.50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万元，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eastAsia="zh-CN"/>
        </w:rPr>
        <w:t>拟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开展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2次业务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培训，人数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300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人，</w:t>
      </w:r>
      <w:r>
        <w:rPr>
          <w:rFonts w:eastAsia="仿宋_GB2312"/>
          <w:kern w:val="0"/>
          <w:sz w:val="32"/>
          <w:szCs w:val="32"/>
          <w:u w:val="none"/>
        </w:rPr>
        <w:t>内容</w:t>
      </w:r>
      <w:r>
        <w:rPr>
          <w:rFonts w:hint="eastAsia" w:eastAsia="仿宋_GB2312"/>
          <w:kern w:val="0"/>
          <w:sz w:val="32"/>
          <w:szCs w:val="32"/>
          <w:u w:val="none"/>
        </w:rPr>
        <w:t>分别为</w:t>
      </w:r>
      <w:r>
        <w:rPr>
          <w:rFonts w:hint="eastAsia" w:eastAsia="仿宋_GB2312"/>
          <w:sz w:val="32"/>
          <w:szCs w:val="32"/>
          <w:u w:val="none"/>
        </w:rPr>
        <w:t>新进人员业务培训班和价格认定人员继续教育培训班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；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无举办节庆、晚会、论坛、赛事活动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autoSpaceDE w:val="0"/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（四）政府采购情况：</w:t>
      </w:r>
      <w:r>
        <w:rPr>
          <w:rFonts w:hint="eastAsia" w:eastAsia="仿宋_GB2312"/>
          <w:sz w:val="32"/>
          <w:szCs w:val="32"/>
        </w:rPr>
        <w:t>2024</w:t>
      </w:r>
      <w:r>
        <w:rPr>
          <w:rFonts w:ascii="仿宋_GB2312" w:eastAsia="仿宋_GB2312"/>
          <w:sz w:val="32"/>
          <w:szCs w:val="32"/>
        </w:rPr>
        <w:t>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sz w:val="32"/>
          <w:szCs w:val="32"/>
          <w:u w:val="none"/>
        </w:rPr>
        <w:t>万元，其中，货物类采购预算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sz w:val="32"/>
          <w:szCs w:val="32"/>
          <w:u w:val="none"/>
        </w:rPr>
        <w:t>万元；工程类采购预算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万元。</w:t>
      </w:r>
    </w:p>
    <w:p>
      <w:pPr>
        <w:autoSpaceDE w:val="0"/>
        <w:spacing w:line="600" w:lineRule="exact"/>
        <w:ind w:firstLine="643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（五）国有资产占用使用及新增资产配置情况：</w:t>
      </w:r>
      <w:r>
        <w:rPr>
          <w:rFonts w:ascii="仿宋_GB2312" w:eastAsia="仿宋_GB2312"/>
          <w:sz w:val="32"/>
          <w:szCs w:val="32"/>
        </w:rPr>
        <w:t>截至</w:t>
      </w:r>
      <w:r>
        <w:rPr>
          <w:rFonts w:hint="eastAsia"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月底，本单位</w:t>
      </w:r>
      <w:r>
        <w:rPr>
          <w:rFonts w:ascii="仿宋_GB2312"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仿宋_GB2312"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仿宋_GB2312" w:eastAsia="仿宋_GB2312"/>
          <w:bCs/>
          <w:color w:val="auto"/>
          <w:kern w:val="0"/>
          <w:sz w:val="32"/>
          <w:szCs w:val="32"/>
        </w:rPr>
        <w:t>辆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（其中有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1辆车已上交机关事务局，且正在办理报废处置手续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ascii="仿宋_GB2312" w:eastAsia="仿宋_GB2312"/>
          <w:bCs/>
          <w:color w:val="auto"/>
          <w:kern w:val="0"/>
          <w:sz w:val="32"/>
          <w:szCs w:val="32"/>
        </w:rPr>
        <w:t>；</w:t>
      </w:r>
      <w:r>
        <w:rPr>
          <w:rFonts w:ascii="仿宋_GB2312" w:eastAsia="仿宋_GB2312"/>
          <w:bCs/>
          <w:kern w:val="0"/>
          <w:sz w:val="32"/>
          <w:szCs w:val="32"/>
        </w:rPr>
        <w:t>单位价值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100</w:t>
      </w:r>
      <w:r>
        <w:rPr>
          <w:rFonts w:ascii="仿宋_GB2312" w:eastAsia="仿宋_GB2312"/>
          <w:bCs/>
          <w:kern w:val="0"/>
          <w:sz w:val="32"/>
          <w:szCs w:val="32"/>
        </w:rPr>
        <w:t>万元以上设备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台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（不含车辆）</w:t>
      </w:r>
      <w:r>
        <w:rPr>
          <w:rFonts w:ascii="仿宋_GB2312" w:eastAsia="仿宋_GB2312"/>
          <w:bCs/>
          <w:kern w:val="0"/>
          <w:sz w:val="32"/>
          <w:szCs w:val="32"/>
        </w:rPr>
        <w:t>。</w:t>
      </w:r>
      <w:r>
        <w:rPr>
          <w:rFonts w:hint="eastAsia" w:eastAsia="仿宋_GB2312"/>
          <w:bCs/>
          <w:kern w:val="0"/>
          <w:sz w:val="32"/>
          <w:szCs w:val="32"/>
        </w:rPr>
        <w:t>2024</w:t>
      </w:r>
      <w:r>
        <w:rPr>
          <w:rFonts w:ascii="仿宋_GB2312" w:eastAsia="仿宋_GB2312"/>
          <w:bCs/>
          <w:kern w:val="0"/>
          <w:sz w:val="32"/>
          <w:szCs w:val="32"/>
        </w:rPr>
        <w:t>年拟新增配置公务用车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辆；新增配备单位价值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100</w:t>
      </w:r>
      <w:r>
        <w:rPr>
          <w:rFonts w:ascii="仿宋_GB2312" w:eastAsia="仿宋_GB2312"/>
          <w:bCs/>
          <w:kern w:val="0"/>
          <w:sz w:val="32"/>
          <w:szCs w:val="32"/>
        </w:rPr>
        <w:t>万元以上设备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</w:rPr>
        <w:t>台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（不含车辆）</w:t>
      </w:r>
      <w:r>
        <w:rPr>
          <w:rFonts w:ascii="仿宋_GB2312" w:eastAsia="仿宋_GB2312"/>
          <w:bCs/>
          <w:kern w:val="0"/>
          <w:sz w:val="32"/>
          <w:szCs w:val="32"/>
        </w:rPr>
        <w:t>。</w:t>
      </w:r>
    </w:p>
    <w:p>
      <w:pPr>
        <w:autoSpaceDE w:val="0"/>
        <w:spacing w:line="600" w:lineRule="exact"/>
        <w:ind w:firstLine="643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ascii="楷体_GB2312"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ascii="仿宋_GB2312" w:eastAsia="仿宋_GB2312"/>
          <w:bCs/>
          <w:kern w:val="0"/>
          <w:sz w:val="32"/>
          <w:szCs w:val="32"/>
        </w:rPr>
        <w:t>本单位所有支出实行绩效目标管理。纳入</w:t>
      </w:r>
      <w:r>
        <w:rPr>
          <w:rFonts w:hint="eastAsia" w:eastAsia="仿宋_GB2312"/>
          <w:bCs/>
          <w:kern w:val="0"/>
          <w:sz w:val="32"/>
          <w:szCs w:val="32"/>
        </w:rPr>
        <w:t>2024</w:t>
      </w:r>
      <w:r>
        <w:rPr>
          <w:rFonts w:ascii="仿宋_GB2312" w:eastAsia="仿宋_GB2312"/>
          <w:bCs/>
          <w:kern w:val="0"/>
          <w:sz w:val="32"/>
          <w:szCs w:val="32"/>
        </w:rPr>
        <w:t>年单位整体支出绩效目标的金额为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309.13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万元，其中，基本支出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250.13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万元，项目支出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59.00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万元，</w:t>
      </w:r>
      <w:r>
        <w:rPr>
          <w:rFonts w:ascii="仿宋_GB2312" w:eastAsia="仿宋_GB2312"/>
          <w:bCs/>
          <w:kern w:val="0"/>
          <w:sz w:val="32"/>
          <w:szCs w:val="32"/>
        </w:rPr>
        <w:t>具体绩效目标详见报表。</w:t>
      </w:r>
    </w:p>
    <w:p>
      <w:pPr>
        <w:autoSpaceDE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、名词解释</w:t>
      </w:r>
    </w:p>
    <w:p>
      <w:pPr>
        <w:autoSpaceDE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autoSpaceDE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县）财政预算管理的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第二部分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年单位预算表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ADAF6"/>
    <w:multiLevelType w:val="singleLevel"/>
    <w:tmpl w:val="95AADA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MjViYzVlMzBhMjg1ZjRiMmVhYmQxN2JiN2U2YTcifQ=="/>
  </w:docVars>
  <w:rsids>
    <w:rsidRoot w:val="001B56CA"/>
    <w:rsid w:val="001B56CA"/>
    <w:rsid w:val="0096033A"/>
    <w:rsid w:val="00C17B75"/>
    <w:rsid w:val="01E07299"/>
    <w:rsid w:val="04E543E1"/>
    <w:rsid w:val="05C85DB0"/>
    <w:rsid w:val="082500FC"/>
    <w:rsid w:val="0B470389"/>
    <w:rsid w:val="0DA43871"/>
    <w:rsid w:val="10855BDB"/>
    <w:rsid w:val="126D4B79"/>
    <w:rsid w:val="14726477"/>
    <w:rsid w:val="18CE3E98"/>
    <w:rsid w:val="192F0DDA"/>
    <w:rsid w:val="1C194053"/>
    <w:rsid w:val="1EA52162"/>
    <w:rsid w:val="1EC04283"/>
    <w:rsid w:val="1FB90D87"/>
    <w:rsid w:val="21E87D78"/>
    <w:rsid w:val="2446648F"/>
    <w:rsid w:val="25E42F4C"/>
    <w:rsid w:val="27767BD4"/>
    <w:rsid w:val="27C60B5C"/>
    <w:rsid w:val="2A97058D"/>
    <w:rsid w:val="2C9517E3"/>
    <w:rsid w:val="2E5C3FC8"/>
    <w:rsid w:val="2FED0C50"/>
    <w:rsid w:val="318C280E"/>
    <w:rsid w:val="31AC0DC2"/>
    <w:rsid w:val="337B3785"/>
    <w:rsid w:val="36527A5E"/>
    <w:rsid w:val="376143FD"/>
    <w:rsid w:val="391F53C4"/>
    <w:rsid w:val="3DAD3E12"/>
    <w:rsid w:val="3E5D6D56"/>
    <w:rsid w:val="3E6F5651"/>
    <w:rsid w:val="3EC4200B"/>
    <w:rsid w:val="42B21FB1"/>
    <w:rsid w:val="43237484"/>
    <w:rsid w:val="441D5B50"/>
    <w:rsid w:val="45101210"/>
    <w:rsid w:val="45991206"/>
    <w:rsid w:val="477871D2"/>
    <w:rsid w:val="48F13107"/>
    <w:rsid w:val="4A2512BA"/>
    <w:rsid w:val="4B4E2A92"/>
    <w:rsid w:val="4B4F3723"/>
    <w:rsid w:val="4B8B339F"/>
    <w:rsid w:val="4DC5064E"/>
    <w:rsid w:val="525564B4"/>
    <w:rsid w:val="53172865"/>
    <w:rsid w:val="53560736"/>
    <w:rsid w:val="539A6875"/>
    <w:rsid w:val="557D12D8"/>
    <w:rsid w:val="568D48D7"/>
    <w:rsid w:val="59C41D0D"/>
    <w:rsid w:val="59E545C2"/>
    <w:rsid w:val="5D3F66DF"/>
    <w:rsid w:val="5E6374F3"/>
    <w:rsid w:val="5F813A91"/>
    <w:rsid w:val="60D94755"/>
    <w:rsid w:val="622B0FE0"/>
    <w:rsid w:val="62402CDD"/>
    <w:rsid w:val="62436329"/>
    <w:rsid w:val="62626B0C"/>
    <w:rsid w:val="631F28F3"/>
    <w:rsid w:val="65FF07B9"/>
    <w:rsid w:val="66B27F22"/>
    <w:rsid w:val="66C7577B"/>
    <w:rsid w:val="675F28DA"/>
    <w:rsid w:val="68E63EB3"/>
    <w:rsid w:val="690251E8"/>
    <w:rsid w:val="6A7D1190"/>
    <w:rsid w:val="6ED104F6"/>
    <w:rsid w:val="6F5B1156"/>
    <w:rsid w:val="72331F17"/>
    <w:rsid w:val="7524023C"/>
    <w:rsid w:val="75B50E95"/>
    <w:rsid w:val="75B848AE"/>
    <w:rsid w:val="78CE60D3"/>
    <w:rsid w:val="79086948"/>
    <w:rsid w:val="79F9310E"/>
    <w:rsid w:val="7B4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470</Words>
  <Characters>2682</Characters>
  <Lines>22</Lines>
  <Paragraphs>6</Paragraphs>
  <TotalTime>15</TotalTime>
  <ScaleCrop>false</ScaleCrop>
  <LinksUpToDate>false</LinksUpToDate>
  <CharactersWithSpaces>3146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2024-02-01T08:31:00Z</dcterms:created>
  <dc:creator>周婷</dc:creator>
  <cp:lastModifiedBy>周婷</cp:lastModifiedBy>
  <cp:lastPrinted>2024-02-23T07:23:00Z</cp:lastPrinted>
  <dcterms:modified xsi:type="dcterms:W3CDTF">2024-02-27T07:50:17Z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B64F6995A9AC49549EDC4F0666D2875C_12</vt:lpwstr>
  </property>
</Properties>
</file>