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left"/>
        <w:rPr>
          <w:rFonts w:ascii="仿宋_GB2312" w:hAnsi="Times New Roman" w:eastAsia="仿宋_GB2312" w:cs="Times New Roman"/>
          <w:color w:val="000000" w:themeColor="text1"/>
          <w:sz w:val="32"/>
          <w:szCs w:val="32"/>
          <w14:textFill>
            <w14:solidFill>
              <w14:schemeClr w14:val="tx1"/>
            </w14:solidFill>
          </w14:textFill>
        </w:rPr>
      </w:pPr>
      <w:bookmarkStart w:id="0" w:name="_Toc54618574"/>
      <w:r>
        <w:rPr>
          <w:rFonts w:ascii="Times New Roman" w:hAnsi="Times New Roman" w:eastAsia="黑体" w:cs="Times New Roman"/>
          <w:color w:val="000000" w:themeColor="text1"/>
          <w:spacing w:val="16"/>
          <w:sz w:val="28"/>
          <w:szCs w:val="28"/>
          <w14:textFill>
            <w14:solidFill>
              <w14:schemeClr w14:val="tx1"/>
            </w14:solidFill>
          </w14:textFill>
        </w:rPr>
        <w:t xml:space="preserve">      </w:t>
      </w:r>
      <w:r>
        <w:rPr>
          <w:rFonts w:hint="eastAsia" w:ascii="Times New Roman" w:hAnsi="Times New Roman" w:eastAsia="黑体" w:cs="Times New Roman"/>
          <w:color w:val="000000" w:themeColor="text1"/>
          <w:spacing w:val="16"/>
          <w:sz w:val="28"/>
          <w:szCs w:val="28"/>
          <w14:textFill>
            <w14:solidFill>
              <w14:schemeClr w14:val="tx1"/>
            </w14:solidFill>
          </w14:textFill>
        </w:rPr>
        <w:t xml:space="preserve">                  </w:t>
      </w:r>
      <w:r>
        <w:rPr>
          <w:rFonts w:ascii="Times New Roman" w:hAnsi="Times New Roman" w:eastAsia="黑体" w:cs="Times New Roman"/>
          <w:color w:val="000000" w:themeColor="text1"/>
          <w:spacing w:val="16"/>
          <w:sz w:val="28"/>
          <w:szCs w:val="28"/>
          <w14:textFill>
            <w14:solidFill>
              <w14:schemeClr w14:val="tx1"/>
            </w14:solidFill>
          </w14:textFill>
        </w:rPr>
        <w:t xml:space="preserve">                               </w:t>
      </w:r>
      <w:r>
        <w:rPr>
          <w:rFonts w:hint="eastAsia" w:ascii="仿宋_GB2312" w:hAnsi="Times New Roman" w:eastAsia="仿宋_GB2312" w:cs="Times New Roman"/>
          <w:color w:val="000000" w:themeColor="text1"/>
          <w:sz w:val="32"/>
          <w:szCs w:val="32"/>
          <w14:textFill>
            <w14:solidFill>
              <w14:schemeClr w14:val="tx1"/>
            </w14:solidFill>
          </w14:textFill>
        </w:rPr>
        <w:t xml:space="preserve">                                           </w:t>
      </w:r>
    </w:p>
    <w:p>
      <w:pPr>
        <w:spacing w:line="596" w:lineRule="exact"/>
        <w:jc w:val="left"/>
        <w:rPr>
          <w:rFonts w:ascii="仿宋_GB2312" w:hAnsi="Times New Roman" w:eastAsia="仿宋_GB2312" w:cs="Times New Roman"/>
          <w:color w:val="000000" w:themeColor="text1"/>
          <w:sz w:val="32"/>
          <w:szCs w:val="32"/>
          <w14:textFill>
            <w14:solidFill>
              <w14:schemeClr w14:val="tx1"/>
            </w14:solidFill>
          </w14:textFill>
        </w:rPr>
      </w:pPr>
    </w:p>
    <w:p>
      <w:pPr>
        <w:spacing w:line="900" w:lineRule="exact"/>
        <w:jc w:val="center"/>
        <w:rPr>
          <w:rFonts w:ascii="Times New Roman" w:hAnsi="Times New Roman" w:eastAsia="方正小标宋_GBK" w:cs="Times New Roman"/>
          <w:color w:val="000000" w:themeColor="text1"/>
          <w:sz w:val="50"/>
          <w:szCs w:val="50"/>
          <w14:textFill>
            <w14:solidFill>
              <w14:schemeClr w14:val="tx1"/>
            </w14:solidFill>
          </w14:textFill>
        </w:rPr>
      </w:pPr>
      <w:r>
        <w:rPr>
          <w:rFonts w:ascii="Times New Roman" w:hAnsi="Times New Roman" w:eastAsia="方正小标宋_GBK" w:cs="Times New Roman"/>
          <w:color w:val="000000" w:themeColor="text1"/>
          <w:sz w:val="50"/>
          <w:szCs w:val="50"/>
          <w14:textFill>
            <w14:solidFill>
              <w14:schemeClr w14:val="tx1"/>
            </w14:solidFill>
          </w14:textFill>
        </w:rPr>
        <w:t>湖南省国民经济和社会发展第十四个</w:t>
      </w:r>
    </w:p>
    <w:p>
      <w:pPr>
        <w:spacing w:line="900" w:lineRule="exact"/>
        <w:jc w:val="center"/>
        <w:rPr>
          <w:rFonts w:ascii="Times New Roman" w:hAnsi="Times New Roman" w:eastAsia="方正小标宋_GBK" w:cs="Times New Roman"/>
          <w:color w:val="000000" w:themeColor="text1"/>
          <w:spacing w:val="-8"/>
          <w:sz w:val="50"/>
          <w:szCs w:val="50"/>
          <w14:textFill>
            <w14:solidFill>
              <w14:schemeClr w14:val="tx1"/>
            </w14:solidFill>
          </w14:textFill>
        </w:rPr>
      </w:pPr>
      <w:r>
        <w:rPr>
          <w:rFonts w:ascii="Times New Roman" w:hAnsi="Times New Roman" w:eastAsia="方正小标宋_GBK" w:cs="Times New Roman"/>
          <w:color w:val="000000" w:themeColor="text1"/>
          <w:spacing w:val="-8"/>
          <w:sz w:val="50"/>
          <w:szCs w:val="50"/>
          <w14:textFill>
            <w14:solidFill>
              <w14:schemeClr w14:val="tx1"/>
            </w14:solidFill>
          </w14:textFill>
        </w:rPr>
        <w:t>五年规划和二〇三五年远景目标纲要</w:t>
      </w: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pacing w:val="-8"/>
          <w:sz w:val="32"/>
          <w:szCs w:val="32"/>
          <w14:textFill>
            <w14:solidFill>
              <w14:schemeClr w14:val="tx1"/>
            </w14:solidFill>
          </w14:textFill>
        </w:rPr>
      </w:pPr>
      <w:r>
        <w:rPr>
          <w:rFonts w:ascii="Times New Roman" w:hAnsi="Times New Roman" w:eastAsia="楷体_GB2312" w:cs="Times New Roman"/>
          <w:color w:val="000000" w:themeColor="text1"/>
          <w:spacing w:val="-8"/>
          <w:sz w:val="32"/>
          <w:szCs w:val="32"/>
          <w14:textFill>
            <w14:solidFill>
              <w14:schemeClr w14:val="tx1"/>
            </w14:solidFill>
          </w14:textFill>
        </w:rPr>
        <w:t>（</w:t>
      </w:r>
      <w:r>
        <w:rPr>
          <w:rFonts w:hint="eastAsia" w:ascii="Times New Roman" w:hAnsi="Times New Roman" w:eastAsia="楷体_GB2312" w:cs="Times New Roman"/>
          <w:color w:val="000000" w:themeColor="text1"/>
          <w:spacing w:val="-8"/>
          <w:sz w:val="32"/>
          <w:szCs w:val="32"/>
          <w14:textFill>
            <w14:solidFill>
              <w14:schemeClr w14:val="tx1"/>
            </w14:solidFill>
          </w14:textFill>
        </w:rPr>
        <w:t>2021年1月29日湖南省第十三届人民代表大会第四次会议批准</w:t>
      </w:r>
      <w:r>
        <w:rPr>
          <w:rFonts w:ascii="Times New Roman" w:hAnsi="Times New Roman" w:eastAsia="楷体_GB2312" w:cs="Times New Roman"/>
          <w:color w:val="000000" w:themeColor="text1"/>
          <w:spacing w:val="-8"/>
          <w:sz w:val="32"/>
          <w:szCs w:val="32"/>
          <w14:textFill>
            <w14:solidFill>
              <w14:schemeClr w14:val="tx1"/>
            </w14:solidFill>
          </w14:textFill>
        </w:rPr>
        <w:t xml:space="preserve">） </w:t>
      </w: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871" w:right="1531" w:bottom="1531" w:left="1588" w:header="851" w:footer="1304" w:gutter="0"/>
          <w:pgNumType w:start="1"/>
          <w:cols w:space="425" w:num="1"/>
          <w:docGrid w:type="lines" w:linePitch="312" w:charSpace="0"/>
        </w:sectPr>
      </w:pPr>
      <w:r>
        <w:rPr>
          <w:rFonts w:ascii="Times New Roman" w:hAnsi="Times New Roman" w:eastAsia="楷体_GB2312" w:cs="Times New Roman"/>
          <w:color w:val="000000" w:themeColor="text1"/>
          <w:sz w:val="36"/>
          <w:szCs w:val="36"/>
          <w14:textFill>
            <w14:solidFill>
              <w14:schemeClr w14:val="tx1"/>
            </w14:solidFill>
          </w14:textFill>
        </w:rPr>
        <w:t>2021年</w:t>
      </w:r>
      <w:r>
        <w:rPr>
          <w:rFonts w:hint="eastAsia" w:ascii="Times New Roman" w:hAnsi="Times New Roman" w:eastAsia="楷体_GB2312" w:cs="Times New Roman"/>
          <w:color w:val="000000" w:themeColor="text1"/>
          <w:sz w:val="36"/>
          <w:szCs w:val="36"/>
          <w14:textFill>
            <w14:solidFill>
              <w14:schemeClr w14:val="tx1"/>
            </w14:solidFill>
          </w14:textFill>
        </w:rPr>
        <w:t>3</w:t>
      </w:r>
      <w:r>
        <w:rPr>
          <w:rFonts w:ascii="Times New Roman" w:hAnsi="Times New Roman" w:eastAsia="楷体_GB2312" w:cs="Times New Roman"/>
          <w:color w:val="000000" w:themeColor="text1"/>
          <w:sz w:val="36"/>
          <w:szCs w:val="36"/>
          <w14:textFill>
            <w14:solidFill>
              <w14:schemeClr w14:val="tx1"/>
            </w14:solidFill>
          </w14:textFill>
        </w:rPr>
        <w:t>月</w:t>
      </w: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sectPr>
          <w:footerReference r:id="rId6" w:type="default"/>
          <w:footerReference r:id="rId7" w:type="even"/>
          <w:pgSz w:w="11906" w:h="16838"/>
          <w:pgMar w:top="1871" w:right="1531" w:bottom="1531" w:left="1588" w:header="851" w:footer="1304" w:gutter="0"/>
          <w:cols w:space="425" w:num="1"/>
          <w:docGrid w:type="lines" w:linePitch="312" w:charSpace="0"/>
        </w:sectPr>
      </w:pP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r>
        <w:rPr>
          <w:rFonts w:ascii="Times New Roman" w:hAnsi="Times New Roman" w:eastAsia="方正小标宋_GBK" w:cs="Times New Roman"/>
          <w:color w:val="000000" w:themeColor="text1"/>
          <w:sz w:val="42"/>
          <w:szCs w:val="42"/>
          <w14:textFill>
            <w14:solidFill>
              <w14:schemeClr w14:val="tx1"/>
            </w14:solidFill>
          </w14:textFill>
        </w:rPr>
        <w:t>目  录</w:t>
      </w: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p>
    <w:p>
      <w:pPr>
        <w:pStyle w:val="17"/>
        <w:tabs>
          <w:tab w:val="right" w:leader="dot" w:pos="8777"/>
        </w:tabs>
        <w:spacing w:line="480" w:lineRule="exact"/>
        <w:rPr>
          <w:rFonts w:ascii="Times New Roman" w:hAnsi="Times New Roman" w:cs="Times New Roman"/>
          <w:sz w:val="28"/>
          <w:szCs w:val="28"/>
        </w:rPr>
      </w:pPr>
      <w:r>
        <w:rPr>
          <w:rFonts w:ascii="Times New Roman" w:hAnsi="Times New Roman" w:eastAsia="方正小标宋_GBK" w:cs="Times New Roman"/>
          <w:color w:val="000000" w:themeColor="text1"/>
          <w:sz w:val="28"/>
          <w:szCs w:val="28"/>
          <w14:textFill>
            <w14:solidFill>
              <w14:schemeClr w14:val="tx1"/>
            </w14:solidFill>
          </w14:textFill>
        </w:rPr>
        <w:fldChar w:fldCharType="begin"/>
      </w:r>
      <w:r>
        <w:rPr>
          <w:rFonts w:ascii="Times New Roman" w:hAnsi="Times New Roman" w:eastAsia="方正小标宋_GBK" w:cs="Times New Roman"/>
          <w:color w:val="000000" w:themeColor="text1"/>
          <w:sz w:val="28"/>
          <w:szCs w:val="28"/>
          <w14:textFill>
            <w14:solidFill>
              <w14:schemeClr w14:val="tx1"/>
            </w14:solidFill>
          </w14:textFill>
        </w:rPr>
        <w:instrText xml:space="preserve"> TOC \o "1-3" \h \z \u </w:instrText>
      </w:r>
      <w:r>
        <w:rPr>
          <w:rFonts w:ascii="Times New Roman" w:hAnsi="Times New Roman" w:eastAsia="方正小标宋_GBK" w:cs="Times New Roman"/>
          <w:color w:val="000000" w:themeColor="text1"/>
          <w:sz w:val="28"/>
          <w:szCs w:val="28"/>
          <w14:textFill>
            <w14:solidFill>
              <w14:schemeClr w14:val="tx1"/>
            </w14:solidFill>
          </w14:textFill>
        </w:rPr>
        <w:fldChar w:fldCharType="separate"/>
      </w:r>
      <w:r>
        <w:fldChar w:fldCharType="begin"/>
      </w:r>
      <w:r>
        <w:instrText xml:space="preserve"> HYPERLINK \l "_Toc62051523" </w:instrText>
      </w:r>
      <w:r>
        <w:fldChar w:fldCharType="separate"/>
      </w:r>
      <w:r>
        <w:rPr>
          <w:rStyle w:val="30"/>
          <w:rFonts w:ascii="Times New Roman" w:hAnsi="Times New Roman" w:eastAsia="方正小标宋_GBK" w:cs="Times New Roman"/>
          <w:sz w:val="28"/>
          <w:szCs w:val="28"/>
        </w:rPr>
        <w:t>第一篇  开启现代化新湖南建设新征程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_Toc62051523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"_Toc62051524" </w:instrText>
      </w:r>
      <w:r>
        <w:fldChar w:fldCharType="separate"/>
      </w:r>
      <w:r>
        <w:rPr>
          <w:rStyle w:val="30"/>
          <w:rFonts w:ascii="Times New Roman" w:hAnsi="Times New Roman" w:eastAsia="黑体" w:cs="Times New Roman"/>
          <w:sz w:val="28"/>
          <w:szCs w:val="28"/>
        </w:rPr>
        <w:t>第一章  历史跨越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_Toc62051524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"_Toc62051525" </w:instrText>
      </w:r>
      <w:r>
        <w:fldChar w:fldCharType="separate"/>
      </w:r>
      <w:r>
        <w:rPr>
          <w:rStyle w:val="30"/>
          <w:rFonts w:ascii="Times New Roman" w:hAnsi="Times New Roman" w:eastAsia="黑体" w:cs="Times New Roman"/>
          <w:sz w:val="28"/>
          <w:szCs w:val="28"/>
        </w:rPr>
        <w:t>第二章  时代背景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_Toc62051525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"_Toc62051526" </w:instrText>
      </w:r>
      <w:r>
        <w:fldChar w:fldCharType="separate"/>
      </w:r>
      <w:r>
        <w:rPr>
          <w:rStyle w:val="30"/>
          <w:rFonts w:ascii="Times New Roman" w:hAnsi="Times New Roman" w:eastAsia="黑体" w:cs="Times New Roman"/>
          <w:sz w:val="28"/>
          <w:szCs w:val="28"/>
        </w:rPr>
        <w:t>第三章  指导方针</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"_Toc62051527" </w:instrText>
      </w:r>
      <w:r>
        <w:fldChar w:fldCharType="separate"/>
      </w:r>
      <w:r>
        <w:rPr>
          <w:rStyle w:val="30"/>
          <w:rFonts w:ascii="Times New Roman" w:hAnsi="Times New Roman" w:eastAsia="楷体_GB2312" w:cs="Times New Roman"/>
          <w:sz w:val="28"/>
          <w:szCs w:val="28"/>
        </w:rPr>
        <w:t>第一节  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_Toc62051527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"_Toc62051528" </w:instrText>
      </w:r>
      <w:r>
        <w:fldChar w:fldCharType="separate"/>
      </w:r>
      <w:r>
        <w:rPr>
          <w:rStyle w:val="30"/>
          <w:rFonts w:ascii="Times New Roman" w:hAnsi="Times New Roman" w:eastAsia="楷体_GB2312" w:cs="Times New Roman"/>
          <w:sz w:val="28"/>
          <w:szCs w:val="28"/>
        </w:rPr>
        <w:t>第二节  发展原则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_Toc62051528 \h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"_Toc62051529" </w:instrText>
      </w:r>
      <w:r>
        <w:fldChar w:fldCharType="separate"/>
      </w:r>
      <w:r>
        <w:rPr>
          <w:rStyle w:val="30"/>
          <w:rFonts w:ascii="Times New Roman" w:hAnsi="Times New Roman" w:eastAsia="黑体" w:cs="Times New Roman"/>
          <w:sz w:val="28"/>
          <w:szCs w:val="28"/>
        </w:rPr>
        <w:t>第四章  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_Toc62051529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"_Toc62051530" </w:instrText>
      </w:r>
      <w:r>
        <w:fldChar w:fldCharType="separate"/>
      </w:r>
      <w:r>
        <w:rPr>
          <w:rStyle w:val="30"/>
          <w:rFonts w:ascii="Times New Roman" w:hAnsi="Times New Roman" w:eastAsia="方正小标宋_GBK" w:cs="Times New Roman"/>
          <w:sz w:val="28"/>
          <w:szCs w:val="28"/>
        </w:rPr>
        <w:t>第二篇  着力建设“三个高地”</w:t>
      </w:r>
      <w:r>
        <w:rPr>
          <w:rStyle w:val="30"/>
          <w:rFonts w:hint="eastAsia" w:ascii="Times New Roman" w:hAnsi="Times New Roman" w:eastAsia="方正小标宋_GBK" w:cs="Times New Roman"/>
          <w:sz w:val="28"/>
          <w:szCs w:val="28"/>
        </w:rPr>
        <w:t>支撑</w:t>
      </w:r>
      <w:r>
        <w:rPr>
          <w:rStyle w:val="30"/>
          <w:rFonts w:ascii="Times New Roman" w:hAnsi="Times New Roman" w:eastAsia="方正小标宋_GBK" w:cs="Times New Roman"/>
          <w:sz w:val="28"/>
          <w:szCs w:val="28"/>
        </w:rPr>
        <w:t>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_Toc62051530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"_Toc62051531" </w:instrText>
      </w:r>
      <w:r>
        <w:fldChar w:fldCharType="separate"/>
      </w:r>
      <w:r>
        <w:rPr>
          <w:rStyle w:val="30"/>
          <w:rFonts w:ascii="Times New Roman" w:hAnsi="Times New Roman" w:eastAsia="黑体" w:cs="Times New Roman"/>
          <w:sz w:val="28"/>
          <w:szCs w:val="28"/>
        </w:rPr>
        <w:t>第五章  打造国家重要先进制造业高地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_Toc62051531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"_Toc62051532" </w:instrText>
      </w:r>
      <w:r>
        <w:fldChar w:fldCharType="separate"/>
      </w:r>
      <w:r>
        <w:rPr>
          <w:rStyle w:val="30"/>
          <w:rFonts w:ascii="Times New Roman" w:hAnsi="Times New Roman" w:eastAsia="楷体_GB2312" w:cs="Times New Roman"/>
          <w:bCs/>
          <w:sz w:val="28"/>
          <w:szCs w:val="28"/>
        </w:rPr>
        <w:t>第一节  加快发展先进制造业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_Toc62051532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"_Toc62051533" </w:instrText>
      </w:r>
      <w:r>
        <w:fldChar w:fldCharType="separate"/>
      </w:r>
      <w:r>
        <w:rPr>
          <w:rStyle w:val="30"/>
          <w:rFonts w:ascii="Times New Roman" w:hAnsi="Times New Roman" w:eastAsia="楷体_GB2312" w:cs="Times New Roman"/>
          <w:bCs/>
          <w:sz w:val="28"/>
          <w:szCs w:val="28"/>
        </w:rPr>
        <w:t>第二节  提升产业链供应链自主可控能力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_Toc62051533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"_Toc62051534" </w:instrText>
      </w:r>
      <w:r>
        <w:fldChar w:fldCharType="separate"/>
      </w:r>
      <w:r>
        <w:rPr>
          <w:rStyle w:val="30"/>
          <w:rFonts w:ascii="Times New Roman" w:hAnsi="Times New Roman" w:eastAsia="楷体_GB2312" w:cs="Times New Roman"/>
          <w:bCs/>
          <w:sz w:val="28"/>
          <w:szCs w:val="28"/>
        </w:rPr>
        <w:t>第三节  培育产业生态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_Toc62051534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"_Toc62051535" </w:instrText>
      </w:r>
      <w:r>
        <w:fldChar w:fldCharType="separate"/>
      </w:r>
      <w:r>
        <w:rPr>
          <w:rStyle w:val="30"/>
          <w:rFonts w:ascii="Times New Roman" w:hAnsi="Times New Roman" w:eastAsia="楷体_GB2312" w:cs="Times New Roman"/>
          <w:bCs/>
          <w:sz w:val="28"/>
          <w:szCs w:val="28"/>
        </w:rPr>
        <w:t>第四节  推动数字经济发展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_Toc62051535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"_Toc62051536" </w:instrText>
      </w:r>
      <w:r>
        <w:fldChar w:fldCharType="separate"/>
      </w:r>
      <w:r>
        <w:rPr>
          <w:rStyle w:val="30"/>
          <w:rFonts w:ascii="Times New Roman" w:hAnsi="Times New Roman" w:eastAsia="黑体" w:cs="Times New Roman"/>
          <w:sz w:val="28"/>
          <w:szCs w:val="28"/>
        </w:rPr>
        <w:t>第六章  打造具有核心竞争力的科技创新高地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_Toc62051536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"_Toc62051537" </w:instrText>
      </w:r>
      <w:r>
        <w:fldChar w:fldCharType="separate"/>
      </w:r>
      <w:r>
        <w:rPr>
          <w:rStyle w:val="30"/>
          <w:rFonts w:ascii="Times New Roman" w:hAnsi="Times New Roman" w:eastAsia="楷体_GB2312" w:cs="Times New Roman"/>
          <w:sz w:val="28"/>
          <w:szCs w:val="28"/>
        </w:rPr>
        <w:t>第一节  瞄准产业制高点攻克关键技术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_Toc62051537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"_Toc62051538" </w:instrText>
      </w:r>
      <w:r>
        <w:fldChar w:fldCharType="separate"/>
      </w:r>
      <w:r>
        <w:rPr>
          <w:rStyle w:val="30"/>
          <w:rFonts w:ascii="Times New Roman" w:hAnsi="Times New Roman" w:eastAsia="楷体_GB2312" w:cs="Times New Roman"/>
          <w:sz w:val="28"/>
          <w:szCs w:val="28"/>
        </w:rPr>
        <w:t>第二节  瞄准技术制高点抢占先发优势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_Toc62051538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"_Toc62051539" </w:instrText>
      </w:r>
      <w:r>
        <w:fldChar w:fldCharType="separate"/>
      </w:r>
      <w:r>
        <w:rPr>
          <w:rStyle w:val="30"/>
          <w:rFonts w:ascii="Times New Roman" w:hAnsi="Times New Roman" w:eastAsia="楷体_GB2312" w:cs="Times New Roman"/>
          <w:sz w:val="28"/>
          <w:szCs w:val="28"/>
        </w:rPr>
        <w:t>第三节  瞄准人才制高点打造人才高地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_Toc62051539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"_Toc62051540" </w:instrText>
      </w:r>
      <w:r>
        <w:fldChar w:fldCharType="separate"/>
      </w:r>
      <w:r>
        <w:rPr>
          <w:rStyle w:val="30"/>
          <w:rFonts w:ascii="Times New Roman" w:hAnsi="Times New Roman" w:eastAsia="楷体_GB2312" w:cs="Times New Roman"/>
          <w:sz w:val="28"/>
          <w:szCs w:val="28"/>
        </w:rPr>
        <w:t>第四节  瞄准平台制高点培育创新引擎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_Toc62051540 \h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"_Toc62051541" </w:instrText>
      </w:r>
      <w:r>
        <w:fldChar w:fldCharType="separate"/>
      </w:r>
      <w:r>
        <w:rPr>
          <w:rStyle w:val="30"/>
          <w:rFonts w:ascii="Times New Roman" w:hAnsi="Times New Roman" w:eastAsia="楷体_GB2312" w:cs="Times New Roman"/>
          <w:sz w:val="28"/>
          <w:szCs w:val="28"/>
        </w:rPr>
        <w:t>第五节  瞄准一流创新环境优化创新生态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_Toc62051541 \h </w:instrText>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"_Toc62051542" </w:instrText>
      </w:r>
      <w:r>
        <w:fldChar w:fldCharType="separate"/>
      </w:r>
      <w:r>
        <w:rPr>
          <w:rStyle w:val="30"/>
          <w:rFonts w:ascii="Times New Roman" w:hAnsi="Times New Roman" w:eastAsia="黑体" w:cs="Times New Roman"/>
          <w:sz w:val="28"/>
          <w:szCs w:val="28"/>
        </w:rPr>
        <w:t>第七章  打造内陆地区改革开放高地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_Toc62051542 \h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"_Toc62051543" </w:instrText>
      </w:r>
      <w:r>
        <w:fldChar w:fldCharType="separate"/>
      </w:r>
      <w:r>
        <w:rPr>
          <w:rStyle w:val="30"/>
          <w:rFonts w:ascii="Times New Roman" w:hAnsi="Times New Roman" w:eastAsia="楷体_GB2312" w:cs="Times New Roman"/>
          <w:bCs/>
          <w:sz w:val="28"/>
          <w:szCs w:val="28"/>
        </w:rPr>
        <w:t>第一节  激发市场主体活力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_Toc62051543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"_Toc62051544" </w:instrText>
      </w:r>
      <w:r>
        <w:fldChar w:fldCharType="separate"/>
      </w:r>
      <w:r>
        <w:rPr>
          <w:rStyle w:val="30"/>
          <w:rFonts w:ascii="Times New Roman" w:hAnsi="Times New Roman" w:eastAsia="楷体_GB2312" w:cs="Times New Roman"/>
          <w:bCs/>
          <w:sz w:val="28"/>
          <w:szCs w:val="28"/>
        </w:rPr>
        <w:t>第二节  完善要素市场化配置体制机制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_Toc62051544 \h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"_Toc62051545" </w:instrText>
      </w:r>
      <w:r>
        <w:fldChar w:fldCharType="separate"/>
      </w:r>
      <w:r>
        <w:rPr>
          <w:rStyle w:val="30"/>
          <w:rFonts w:ascii="Times New Roman" w:hAnsi="Times New Roman" w:eastAsia="楷体_GB2312" w:cs="Times New Roman"/>
          <w:bCs/>
          <w:sz w:val="28"/>
          <w:szCs w:val="28"/>
        </w:rPr>
        <w:t>第三节  深化财税金融体制改革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_Toc62051545 \h </w:instrText>
      </w:r>
      <w:r>
        <w:rPr>
          <w:rFonts w:ascii="Times New Roman" w:hAnsi="Times New Roman" w:cs="Times New Roman"/>
          <w:sz w:val="28"/>
          <w:szCs w:val="28"/>
        </w:rPr>
        <w:fldChar w:fldCharType="separate"/>
      </w:r>
      <w:r>
        <w:rPr>
          <w:rFonts w:ascii="Times New Roman" w:hAnsi="Times New Roman" w:cs="Times New Roman"/>
          <w:sz w:val="28"/>
          <w:szCs w:val="28"/>
        </w:rPr>
        <w:t>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"_Toc62051546" </w:instrText>
      </w:r>
      <w:r>
        <w:fldChar w:fldCharType="separate"/>
      </w:r>
      <w:r>
        <w:rPr>
          <w:rStyle w:val="30"/>
          <w:rFonts w:ascii="Times New Roman" w:hAnsi="Times New Roman" w:eastAsia="楷体_GB2312" w:cs="Times New Roman"/>
          <w:bCs/>
          <w:sz w:val="28"/>
          <w:szCs w:val="28"/>
        </w:rPr>
        <w:t>第四节  完善经济治理体系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_Toc62051546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"_Toc62051547" </w:instrText>
      </w:r>
      <w:r>
        <w:fldChar w:fldCharType="separate"/>
      </w:r>
      <w:r>
        <w:rPr>
          <w:rStyle w:val="30"/>
          <w:rFonts w:ascii="Times New Roman" w:hAnsi="Times New Roman" w:eastAsia="楷体_GB2312" w:cs="Times New Roman"/>
          <w:bCs/>
          <w:sz w:val="28"/>
          <w:szCs w:val="28"/>
        </w:rPr>
        <w:t>第五节  加快建设中国（湖南）自贸试验区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_Toc62051547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"_Toc62051548" </w:instrText>
      </w:r>
      <w:r>
        <w:fldChar w:fldCharType="separate"/>
      </w:r>
      <w:r>
        <w:rPr>
          <w:rStyle w:val="30"/>
          <w:rFonts w:ascii="Times New Roman" w:hAnsi="Times New Roman" w:eastAsia="楷体_GB2312" w:cs="Times New Roman"/>
          <w:bCs/>
          <w:sz w:val="28"/>
          <w:szCs w:val="28"/>
        </w:rPr>
        <w:t>第六节  构建开放支撑体系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_Toc62051548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"_Toc62051549" </w:instrText>
      </w:r>
      <w:r>
        <w:fldChar w:fldCharType="separate"/>
      </w:r>
      <w:r>
        <w:rPr>
          <w:rStyle w:val="30"/>
          <w:rFonts w:ascii="Times New Roman" w:hAnsi="Times New Roman" w:eastAsia="楷体_GB2312" w:cs="Times New Roman"/>
          <w:bCs/>
          <w:sz w:val="28"/>
          <w:szCs w:val="28"/>
        </w:rPr>
        <w:t>第七节  加快外贸提质升级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_Toc62051549 \h </w:instrText>
      </w:r>
      <w:r>
        <w:rPr>
          <w:rFonts w:ascii="Times New Roman" w:hAnsi="Times New Roman" w:cs="Times New Roman"/>
          <w:sz w:val="28"/>
          <w:szCs w:val="28"/>
        </w:rPr>
        <w:fldChar w:fldCharType="separate"/>
      </w:r>
      <w:r>
        <w:rPr>
          <w:rFonts w:ascii="Times New Roman" w:hAnsi="Times New Roman" w:cs="Times New Roman"/>
          <w:sz w:val="28"/>
          <w:szCs w:val="28"/>
        </w:rPr>
        <w:t>43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"_Toc62051550" </w:instrText>
      </w:r>
      <w:r>
        <w:fldChar w:fldCharType="separate"/>
      </w:r>
      <w:r>
        <w:rPr>
          <w:rStyle w:val="30"/>
          <w:rFonts w:ascii="Times New Roman" w:hAnsi="Times New Roman" w:eastAsia="楷体_GB2312" w:cs="Times New Roman"/>
          <w:bCs/>
          <w:sz w:val="28"/>
          <w:szCs w:val="28"/>
        </w:rPr>
        <w:t>第八节  推动高质量引进来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_Toc62051550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"_Toc62051551" </w:instrText>
      </w:r>
      <w:r>
        <w:fldChar w:fldCharType="separate"/>
      </w:r>
      <w:r>
        <w:rPr>
          <w:rStyle w:val="30"/>
          <w:rFonts w:ascii="Times New Roman" w:hAnsi="Times New Roman" w:eastAsia="楷体_GB2312" w:cs="Times New Roman"/>
          <w:bCs/>
          <w:sz w:val="28"/>
          <w:szCs w:val="28"/>
        </w:rPr>
        <w:t>第九节  推动高水平走出去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_Toc62051551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"_Toc62051552" </w:instrText>
      </w:r>
      <w:r>
        <w:fldChar w:fldCharType="separate"/>
      </w:r>
      <w:r>
        <w:rPr>
          <w:rStyle w:val="30"/>
          <w:rFonts w:ascii="Times New Roman" w:hAnsi="Times New Roman" w:eastAsia="黑体" w:cs="Times New Roman"/>
          <w:sz w:val="28"/>
          <w:szCs w:val="28"/>
        </w:rPr>
        <w:t xml:space="preserve">第八章  </w:t>
      </w:r>
      <w:r>
        <w:rPr>
          <w:rStyle w:val="30"/>
          <w:rFonts w:ascii="Times New Roman" w:hAnsi="Times New Roman" w:eastAsia="黑体" w:cs="Times New Roman"/>
          <w:bCs/>
          <w:sz w:val="28"/>
          <w:szCs w:val="28"/>
        </w:rPr>
        <w:t>打造现代服务业发展引领区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_Toc62051552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"_Toc62051553" </w:instrText>
      </w:r>
      <w:r>
        <w:fldChar w:fldCharType="separate"/>
      </w:r>
      <w:r>
        <w:rPr>
          <w:rStyle w:val="30"/>
          <w:rFonts w:ascii="Times New Roman" w:hAnsi="Times New Roman" w:eastAsia="楷体_GB2312" w:cs="Times New Roman"/>
          <w:bCs/>
          <w:sz w:val="28"/>
          <w:szCs w:val="28"/>
        </w:rPr>
        <w:t>第一节  促进服务业升级发展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_Toc62051553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"_Toc62051554" </w:instrText>
      </w:r>
      <w:r>
        <w:fldChar w:fldCharType="separate"/>
      </w:r>
      <w:r>
        <w:rPr>
          <w:rStyle w:val="30"/>
          <w:rFonts w:ascii="Times New Roman" w:hAnsi="Times New Roman" w:eastAsia="楷体_GB2312" w:cs="Times New Roman"/>
          <w:bCs/>
          <w:sz w:val="28"/>
          <w:szCs w:val="28"/>
        </w:rPr>
        <w:t>第二节  促进服务业创新发展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_Toc62051554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"_Toc62051555" </w:instrText>
      </w:r>
      <w:r>
        <w:fldChar w:fldCharType="separate"/>
      </w:r>
      <w:r>
        <w:rPr>
          <w:rStyle w:val="30"/>
          <w:rFonts w:ascii="Times New Roman" w:hAnsi="Times New Roman" w:eastAsia="方正小标宋_GBK" w:cs="Times New Roman"/>
          <w:sz w:val="28"/>
          <w:szCs w:val="28"/>
        </w:rPr>
        <w:t>第三篇  着力建设区域协调发展的现代化新湖南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_Toc62051555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"_Toc62051556" </w:instrText>
      </w:r>
      <w:r>
        <w:fldChar w:fldCharType="separate"/>
      </w:r>
      <w:r>
        <w:rPr>
          <w:rStyle w:val="30"/>
          <w:rFonts w:ascii="Times New Roman" w:hAnsi="Times New Roman" w:eastAsia="黑体" w:cs="Times New Roman"/>
          <w:bCs/>
          <w:sz w:val="28"/>
          <w:szCs w:val="28"/>
        </w:rPr>
        <w:t>第九章  打造高质量发展的动力源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_Toc62051556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"_Toc62051557" </w:instrText>
      </w:r>
      <w:r>
        <w:fldChar w:fldCharType="separate"/>
      </w:r>
      <w:r>
        <w:rPr>
          <w:rStyle w:val="30"/>
          <w:rFonts w:ascii="Times New Roman" w:hAnsi="Times New Roman" w:eastAsia="楷体_GB2312" w:cs="Times New Roman"/>
          <w:bCs/>
          <w:sz w:val="28"/>
          <w:szCs w:val="28"/>
        </w:rPr>
        <w:t>第一节  建设中部地区崛起的重要增长极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_Toc62051557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"_Toc62051558" </w:instrText>
      </w:r>
      <w:r>
        <w:fldChar w:fldCharType="separate"/>
      </w:r>
      <w:r>
        <w:rPr>
          <w:rStyle w:val="30"/>
          <w:rFonts w:ascii="Times New Roman" w:hAnsi="Times New Roman" w:eastAsia="楷体_GB2312" w:cs="Times New Roman"/>
          <w:bCs/>
          <w:sz w:val="28"/>
          <w:szCs w:val="28"/>
        </w:rPr>
        <w:t>第二节  建设长江上中下游密切合作的高效经济带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_Toc62051558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"_Toc62051559" </w:instrText>
      </w:r>
      <w:r>
        <w:fldChar w:fldCharType="separate"/>
      </w:r>
      <w:r>
        <w:rPr>
          <w:rStyle w:val="30"/>
          <w:rFonts w:ascii="Times New Roman" w:hAnsi="Times New Roman" w:eastAsia="楷体_GB2312" w:cs="Times New Roman"/>
          <w:bCs/>
          <w:sz w:val="28"/>
          <w:szCs w:val="28"/>
        </w:rPr>
        <w:t>第三节  建设粤港澳大湾区的战略协作区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_Toc62051559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"_Toc62051560" </w:instrText>
      </w:r>
      <w:r>
        <w:fldChar w:fldCharType="separate"/>
      </w:r>
      <w:r>
        <w:rPr>
          <w:rStyle w:val="30"/>
          <w:rFonts w:ascii="Times New Roman" w:hAnsi="Times New Roman" w:eastAsia="楷体_GB2312" w:cs="Times New Roman"/>
          <w:bCs/>
          <w:sz w:val="28"/>
          <w:szCs w:val="28"/>
        </w:rPr>
        <w:t>第四节  建设西部陆海经济往来的双向大通道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_Toc62051560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"_Toc62051561" </w:instrText>
      </w:r>
      <w:r>
        <w:fldChar w:fldCharType="separate"/>
      </w:r>
      <w:r>
        <w:rPr>
          <w:rStyle w:val="30"/>
          <w:rFonts w:ascii="Times New Roman" w:hAnsi="Times New Roman" w:eastAsia="黑体" w:cs="Times New Roman"/>
          <w:bCs/>
          <w:sz w:val="28"/>
          <w:szCs w:val="28"/>
        </w:rPr>
        <w:t>第十章  构建优势互补的区域布局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_Toc62051561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"_Toc62051562" </w:instrText>
      </w:r>
      <w:r>
        <w:fldChar w:fldCharType="separate"/>
      </w:r>
      <w:r>
        <w:rPr>
          <w:rStyle w:val="30"/>
          <w:rFonts w:ascii="Times New Roman" w:hAnsi="Times New Roman" w:eastAsia="楷体_GB2312" w:cs="Times New Roman"/>
          <w:bCs/>
          <w:sz w:val="28"/>
          <w:szCs w:val="28"/>
        </w:rPr>
        <w:t>第一节  加快推进长株潭一体化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_Toc62051562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"_Toc62051563" </w:instrText>
      </w:r>
      <w:r>
        <w:fldChar w:fldCharType="separate"/>
      </w:r>
      <w:r>
        <w:rPr>
          <w:rStyle w:val="30"/>
          <w:rFonts w:ascii="Times New Roman" w:hAnsi="Times New Roman" w:eastAsia="楷体_GB2312" w:cs="Times New Roman"/>
          <w:bCs/>
          <w:sz w:val="28"/>
          <w:szCs w:val="28"/>
        </w:rPr>
        <w:t>第二节  建设两大省域副中心城市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_Toc62051563 \h </w:instrText>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"_Toc62051564" </w:instrText>
      </w:r>
      <w:r>
        <w:fldChar w:fldCharType="separate"/>
      </w:r>
      <w:r>
        <w:rPr>
          <w:rStyle w:val="30"/>
          <w:rFonts w:ascii="Times New Roman" w:hAnsi="Times New Roman" w:eastAsia="楷体_GB2312" w:cs="Times New Roman"/>
          <w:bCs/>
          <w:sz w:val="28"/>
          <w:szCs w:val="28"/>
        </w:rPr>
        <w:t>第三节  打造三条高铁经济带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_Toc62051564 \h </w:instrText>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"_Toc62051565" </w:instrText>
      </w:r>
      <w:r>
        <w:fldChar w:fldCharType="separate"/>
      </w:r>
      <w:r>
        <w:rPr>
          <w:rStyle w:val="30"/>
          <w:rFonts w:ascii="Times New Roman" w:hAnsi="Times New Roman" w:eastAsia="楷体_GB2312" w:cs="Times New Roman"/>
          <w:bCs/>
          <w:sz w:val="28"/>
          <w:szCs w:val="28"/>
        </w:rPr>
        <w:t>第四节  推动四大板块协调发展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_Toc62051565 \h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"_Toc62051566" </w:instrText>
      </w:r>
      <w:r>
        <w:fldChar w:fldCharType="separate"/>
      </w:r>
      <w:r>
        <w:rPr>
          <w:rStyle w:val="30"/>
          <w:rFonts w:ascii="Times New Roman" w:hAnsi="Times New Roman" w:eastAsia="楷体_GB2312" w:cs="Times New Roman"/>
          <w:bCs/>
          <w:sz w:val="28"/>
          <w:szCs w:val="28"/>
        </w:rPr>
        <w:t>第五节  加快特殊类型地区振兴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_Toc62051566 \h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"_Toc62051567" </w:instrText>
      </w:r>
      <w:r>
        <w:fldChar w:fldCharType="separate"/>
      </w:r>
      <w:r>
        <w:rPr>
          <w:rStyle w:val="30"/>
          <w:rFonts w:ascii="Times New Roman" w:hAnsi="Times New Roman" w:eastAsia="楷体_GB2312" w:cs="Times New Roman"/>
          <w:bCs/>
          <w:sz w:val="28"/>
          <w:szCs w:val="28"/>
        </w:rPr>
        <w:t>第六节  增强县域发展动能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_Toc62051567 \h </w:instrText>
      </w:r>
      <w:r>
        <w:rPr>
          <w:rFonts w:ascii="Times New Roman" w:hAnsi="Times New Roman" w:cs="Times New Roman"/>
          <w:sz w:val="28"/>
          <w:szCs w:val="28"/>
        </w:rPr>
        <w:fldChar w:fldCharType="separate"/>
      </w:r>
      <w:r>
        <w:rPr>
          <w:rFonts w:ascii="Times New Roman" w:hAnsi="Times New Roman" w:cs="Times New Roman"/>
          <w:sz w:val="28"/>
          <w:szCs w:val="28"/>
        </w:rPr>
        <w:t>68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"_Toc62051568" </w:instrText>
      </w:r>
      <w:r>
        <w:fldChar w:fldCharType="separate"/>
      </w:r>
      <w:r>
        <w:rPr>
          <w:rStyle w:val="30"/>
          <w:rFonts w:ascii="Times New Roman" w:hAnsi="Times New Roman" w:eastAsia="黑体" w:cs="Times New Roman"/>
          <w:bCs/>
          <w:sz w:val="28"/>
          <w:szCs w:val="28"/>
        </w:rPr>
        <w:t>第十一章  建设新型城镇体系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_Toc62051568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"_Toc62051569" </w:instrText>
      </w:r>
      <w:r>
        <w:fldChar w:fldCharType="separate"/>
      </w:r>
      <w:r>
        <w:rPr>
          <w:rStyle w:val="30"/>
          <w:rFonts w:ascii="Times New Roman" w:hAnsi="Times New Roman" w:eastAsia="楷体_GB2312" w:cs="Times New Roman"/>
          <w:bCs/>
          <w:sz w:val="28"/>
          <w:szCs w:val="28"/>
        </w:rPr>
        <w:t>第一节  构建大中小协调发展的城镇化格局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_Toc62051569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"_Toc62051570" </w:instrText>
      </w:r>
      <w:r>
        <w:fldChar w:fldCharType="separate"/>
      </w:r>
      <w:r>
        <w:rPr>
          <w:rStyle w:val="30"/>
          <w:rFonts w:ascii="Times New Roman" w:hAnsi="Times New Roman" w:eastAsia="楷体_GB2312" w:cs="Times New Roman"/>
          <w:bCs/>
          <w:sz w:val="28"/>
          <w:szCs w:val="28"/>
        </w:rPr>
        <w:t>第二节  提升城镇综合承载能力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_Toc62051570 \h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"_Toc62051571" </w:instrText>
      </w:r>
      <w:r>
        <w:fldChar w:fldCharType="separate"/>
      </w:r>
      <w:r>
        <w:rPr>
          <w:rStyle w:val="30"/>
          <w:rFonts w:ascii="Times New Roman" w:hAnsi="Times New Roman" w:eastAsia="楷体_GB2312" w:cs="Times New Roman"/>
          <w:bCs/>
          <w:sz w:val="28"/>
          <w:szCs w:val="28"/>
        </w:rPr>
        <w:t>第三节  提高农业转移人口市民化质量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_Toc62051571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"_Toc62051572" </w:instrText>
      </w:r>
      <w:r>
        <w:fldChar w:fldCharType="separate"/>
      </w:r>
      <w:r>
        <w:rPr>
          <w:rStyle w:val="30"/>
          <w:rFonts w:ascii="Times New Roman" w:hAnsi="Times New Roman" w:eastAsia="楷体_GB2312" w:cs="Times New Roman"/>
          <w:bCs/>
          <w:sz w:val="28"/>
          <w:szCs w:val="28"/>
        </w:rPr>
        <w:t>第四节  促进城乡融合发展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_Toc62051572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"_Toc62051573" </w:instrText>
      </w:r>
      <w:r>
        <w:fldChar w:fldCharType="separate"/>
      </w:r>
      <w:r>
        <w:rPr>
          <w:rStyle w:val="30"/>
          <w:rFonts w:ascii="Times New Roman" w:hAnsi="Times New Roman" w:eastAsia="黑体" w:cs="Times New Roman"/>
          <w:sz w:val="28"/>
          <w:szCs w:val="28"/>
        </w:rPr>
        <w:t>第十二章  建立差异发展的空间格局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_Toc62051573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"_Toc62051574" </w:instrText>
      </w:r>
      <w:r>
        <w:fldChar w:fldCharType="separate"/>
      </w:r>
      <w:r>
        <w:rPr>
          <w:rStyle w:val="30"/>
          <w:rFonts w:ascii="Times New Roman" w:hAnsi="Times New Roman" w:eastAsia="楷体_GB2312" w:cs="Times New Roman"/>
          <w:sz w:val="28"/>
          <w:szCs w:val="28"/>
        </w:rPr>
        <w:t>第一节  建立空间规划体系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_Toc62051574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"_Toc62051575" </w:instrText>
      </w:r>
      <w:r>
        <w:fldChar w:fldCharType="separate"/>
      </w:r>
      <w:r>
        <w:rPr>
          <w:rStyle w:val="30"/>
          <w:rFonts w:ascii="Times New Roman" w:hAnsi="Times New Roman" w:eastAsia="楷体_GB2312" w:cs="Times New Roman"/>
          <w:sz w:val="28"/>
          <w:szCs w:val="28"/>
        </w:rPr>
        <w:t>第二节  加强空间约束管控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_Toc62051575 \h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"_Toc62051576" </w:instrText>
      </w:r>
      <w:r>
        <w:fldChar w:fldCharType="separate"/>
      </w:r>
      <w:r>
        <w:rPr>
          <w:rStyle w:val="30"/>
          <w:rFonts w:ascii="Times New Roman" w:hAnsi="Times New Roman" w:eastAsia="方正小标宋_GBK" w:cs="Times New Roman"/>
          <w:sz w:val="28"/>
          <w:szCs w:val="28"/>
        </w:rPr>
        <w:t>第四篇  着力建设全面融入新发展格局的现代化新湖南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_Toc62051576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"_Toc62051577" </w:instrText>
      </w:r>
      <w:r>
        <w:fldChar w:fldCharType="separate"/>
      </w:r>
      <w:r>
        <w:rPr>
          <w:rStyle w:val="30"/>
          <w:rFonts w:ascii="Times New Roman" w:hAnsi="Times New Roman" w:eastAsia="黑体" w:cs="Times New Roman"/>
          <w:bCs/>
          <w:sz w:val="28"/>
          <w:szCs w:val="28"/>
        </w:rPr>
        <w:t>第十三章  畅通经济循环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_Toc62051577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"_Toc62051578" </w:instrText>
      </w:r>
      <w:r>
        <w:fldChar w:fldCharType="separate"/>
      </w:r>
      <w:r>
        <w:rPr>
          <w:rStyle w:val="30"/>
          <w:rFonts w:ascii="Times New Roman" w:hAnsi="Times New Roman" w:eastAsia="楷体_GB2312" w:cs="Times New Roman"/>
          <w:bCs/>
          <w:sz w:val="28"/>
          <w:szCs w:val="28"/>
        </w:rPr>
        <w:t>第一节  全面融入国内大循环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_Toc62051578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"_Toc62051579" </w:instrText>
      </w:r>
      <w:r>
        <w:fldChar w:fldCharType="separate"/>
      </w:r>
      <w:r>
        <w:rPr>
          <w:rStyle w:val="30"/>
          <w:rFonts w:ascii="Times New Roman" w:hAnsi="Times New Roman" w:eastAsia="楷体_GB2312" w:cs="Times New Roman"/>
          <w:bCs/>
          <w:sz w:val="28"/>
          <w:szCs w:val="28"/>
        </w:rPr>
        <w:t>第二节  促进国内国际双循环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_Toc62051579 \h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"_Toc62051580" </w:instrText>
      </w:r>
      <w:r>
        <w:fldChar w:fldCharType="separate"/>
      </w:r>
      <w:r>
        <w:rPr>
          <w:rStyle w:val="30"/>
          <w:rFonts w:ascii="Times New Roman" w:hAnsi="Times New Roman" w:eastAsia="黑体" w:cs="Times New Roman"/>
          <w:bCs/>
          <w:sz w:val="28"/>
          <w:szCs w:val="28"/>
        </w:rPr>
        <w:t>第十四章  促进消费升级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_Toc62051580 \h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"_Toc62051581" </w:instrText>
      </w:r>
      <w:r>
        <w:fldChar w:fldCharType="separate"/>
      </w:r>
      <w:r>
        <w:rPr>
          <w:rStyle w:val="30"/>
          <w:rFonts w:ascii="Times New Roman" w:hAnsi="Times New Roman" w:eastAsia="楷体_GB2312" w:cs="Times New Roman"/>
          <w:bCs/>
          <w:sz w:val="28"/>
          <w:szCs w:val="28"/>
        </w:rPr>
        <w:t>第一节  提升消费品质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_Toc62051581 \h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"_Toc62051582" </w:instrText>
      </w:r>
      <w:r>
        <w:fldChar w:fldCharType="separate"/>
      </w:r>
      <w:r>
        <w:rPr>
          <w:rStyle w:val="30"/>
          <w:rFonts w:ascii="Times New Roman" w:hAnsi="Times New Roman" w:eastAsia="楷体_GB2312" w:cs="Times New Roman"/>
          <w:bCs/>
          <w:sz w:val="28"/>
          <w:szCs w:val="28"/>
        </w:rPr>
        <w:t>第二节  完善城乡消费网络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_Toc62051582 \h </w:instrText>
      </w:r>
      <w:r>
        <w:rPr>
          <w:rFonts w:ascii="Times New Roman" w:hAnsi="Times New Roman" w:cs="Times New Roman"/>
          <w:sz w:val="28"/>
          <w:szCs w:val="28"/>
        </w:rPr>
        <w:fldChar w:fldCharType="separate"/>
      </w:r>
      <w:r>
        <w:rPr>
          <w:rFonts w:ascii="Times New Roman" w:hAnsi="Times New Roman" w:cs="Times New Roman"/>
          <w:sz w:val="28"/>
          <w:szCs w:val="28"/>
        </w:rPr>
        <w:t>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"_Toc62051583" </w:instrText>
      </w:r>
      <w:r>
        <w:fldChar w:fldCharType="separate"/>
      </w:r>
      <w:r>
        <w:rPr>
          <w:rStyle w:val="30"/>
          <w:rFonts w:ascii="Times New Roman" w:hAnsi="Times New Roman" w:eastAsia="楷体_GB2312" w:cs="Times New Roman"/>
          <w:bCs/>
          <w:sz w:val="28"/>
          <w:szCs w:val="28"/>
        </w:rPr>
        <w:t>第三节  激发消费潜力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_Toc62051583 \h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"_Toc62051584" </w:instrText>
      </w:r>
      <w:r>
        <w:fldChar w:fldCharType="separate"/>
      </w:r>
      <w:r>
        <w:rPr>
          <w:rStyle w:val="30"/>
          <w:rFonts w:ascii="Times New Roman" w:hAnsi="Times New Roman" w:eastAsia="黑体" w:cs="Times New Roman"/>
          <w:bCs/>
          <w:sz w:val="28"/>
          <w:szCs w:val="28"/>
        </w:rPr>
        <w:t>第十五章  扩大有效投资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_Toc62051584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"_Toc62051585" </w:instrText>
      </w:r>
      <w:r>
        <w:fldChar w:fldCharType="separate"/>
      </w:r>
      <w:r>
        <w:rPr>
          <w:rStyle w:val="30"/>
          <w:rFonts w:ascii="Times New Roman" w:hAnsi="Times New Roman" w:eastAsia="楷体_GB2312" w:cs="Times New Roman"/>
          <w:bCs/>
          <w:sz w:val="28"/>
          <w:szCs w:val="28"/>
        </w:rPr>
        <w:t>第一节  保持投资合理增长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_Toc62051585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"_Toc62051586" </w:instrText>
      </w:r>
      <w:r>
        <w:fldChar w:fldCharType="separate"/>
      </w:r>
      <w:r>
        <w:rPr>
          <w:rStyle w:val="30"/>
          <w:rFonts w:ascii="Times New Roman" w:hAnsi="Times New Roman" w:eastAsia="楷体_GB2312" w:cs="Times New Roman"/>
          <w:bCs/>
          <w:sz w:val="28"/>
          <w:szCs w:val="28"/>
        </w:rPr>
        <w:t>第二节  优化投资结构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_Toc62051586 \h </w:instrText>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"_Toc62051587" </w:instrText>
      </w:r>
      <w:r>
        <w:fldChar w:fldCharType="separate"/>
      </w:r>
      <w:r>
        <w:rPr>
          <w:rStyle w:val="30"/>
          <w:rFonts w:ascii="Times New Roman" w:hAnsi="Times New Roman" w:eastAsia="楷体_GB2312" w:cs="Times New Roman"/>
          <w:bCs/>
          <w:sz w:val="28"/>
          <w:szCs w:val="28"/>
        </w:rPr>
        <w:t>第三节  提高投资效益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_Toc62051587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"_Toc62051588" </w:instrText>
      </w:r>
      <w:r>
        <w:fldChar w:fldCharType="separate"/>
      </w:r>
      <w:r>
        <w:rPr>
          <w:rStyle w:val="30"/>
          <w:rFonts w:ascii="Times New Roman" w:hAnsi="Times New Roman" w:eastAsia="楷体_GB2312" w:cs="Times New Roman"/>
          <w:bCs/>
          <w:sz w:val="28"/>
          <w:szCs w:val="28"/>
        </w:rPr>
        <w:t>第四节  扩大民间投资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_Toc62051588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"_Toc62051589" </w:instrText>
      </w:r>
      <w:r>
        <w:fldChar w:fldCharType="separate"/>
      </w:r>
      <w:r>
        <w:rPr>
          <w:rStyle w:val="30"/>
          <w:rFonts w:ascii="Times New Roman" w:hAnsi="Times New Roman" w:eastAsia="黑体" w:cs="Times New Roman"/>
          <w:bCs/>
          <w:sz w:val="28"/>
          <w:szCs w:val="28"/>
        </w:rPr>
        <w:t>第十六章  打造现代基础设施支撑体系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_Toc62051589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"_Toc62051590" </w:instrText>
      </w:r>
      <w:r>
        <w:fldChar w:fldCharType="separate"/>
      </w:r>
      <w:r>
        <w:rPr>
          <w:rStyle w:val="30"/>
          <w:rFonts w:ascii="Times New Roman" w:hAnsi="Times New Roman" w:eastAsia="楷体_GB2312" w:cs="Times New Roman"/>
          <w:kern w:val="0"/>
          <w:sz w:val="28"/>
          <w:szCs w:val="28"/>
          <w:lang w:bidi="zh-CN"/>
        </w:rPr>
        <w:t>第一节  构建综合交通网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_Toc62051590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"_Toc62051591" </w:instrText>
      </w:r>
      <w:r>
        <w:fldChar w:fldCharType="separate"/>
      </w:r>
      <w:r>
        <w:rPr>
          <w:rStyle w:val="30"/>
          <w:rFonts w:ascii="Times New Roman" w:hAnsi="Times New Roman" w:eastAsia="楷体_GB2312" w:cs="Times New Roman"/>
          <w:kern w:val="0"/>
          <w:sz w:val="28"/>
          <w:szCs w:val="28"/>
          <w:lang w:bidi="zh-CN"/>
        </w:rPr>
        <w:t>第二节  夯实能源保障网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_Toc62051591 \h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"_Toc62051592" </w:instrText>
      </w:r>
      <w:r>
        <w:fldChar w:fldCharType="separate"/>
      </w:r>
      <w:r>
        <w:rPr>
          <w:rStyle w:val="30"/>
          <w:rFonts w:ascii="Times New Roman" w:hAnsi="Times New Roman" w:eastAsia="楷体_GB2312" w:cs="Times New Roman"/>
          <w:bCs/>
          <w:sz w:val="28"/>
          <w:szCs w:val="28"/>
        </w:rPr>
        <w:t>第三节  筑牢水安全网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_Toc62051592 \h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"_Toc62051593" </w:instrText>
      </w:r>
      <w:r>
        <w:fldChar w:fldCharType="separate"/>
      </w:r>
      <w:r>
        <w:rPr>
          <w:rStyle w:val="30"/>
          <w:rFonts w:ascii="Times New Roman" w:hAnsi="Times New Roman" w:eastAsia="楷体_GB2312" w:cs="Times New Roman"/>
          <w:bCs/>
          <w:sz w:val="28"/>
          <w:szCs w:val="28"/>
        </w:rPr>
        <w:t>第四节  优化物流运输网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_Toc62051593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"_Toc62051594" </w:instrText>
      </w:r>
      <w:r>
        <w:fldChar w:fldCharType="separate"/>
      </w:r>
      <w:r>
        <w:rPr>
          <w:rStyle w:val="30"/>
          <w:rFonts w:ascii="Times New Roman" w:hAnsi="Times New Roman" w:eastAsia="楷体_GB2312" w:cs="Times New Roman"/>
          <w:bCs/>
          <w:sz w:val="28"/>
          <w:szCs w:val="28"/>
        </w:rPr>
        <w:t>第五节  推进新型基础设施建设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_Toc62051594 \h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"_Toc62051595" </w:instrText>
      </w:r>
      <w:r>
        <w:fldChar w:fldCharType="separate"/>
      </w:r>
      <w:r>
        <w:rPr>
          <w:rStyle w:val="30"/>
          <w:rFonts w:ascii="Times New Roman" w:hAnsi="Times New Roman" w:eastAsia="方正小标宋_GBK" w:cs="Times New Roman"/>
          <w:sz w:val="28"/>
          <w:szCs w:val="28"/>
        </w:rPr>
        <w:t>第五篇  着力建设乡村振兴的现代化新湖南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_Toc62051595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"_Toc62051596" </w:instrText>
      </w:r>
      <w:r>
        <w:fldChar w:fldCharType="separate"/>
      </w:r>
      <w:r>
        <w:rPr>
          <w:rStyle w:val="30"/>
          <w:rFonts w:ascii="Times New Roman" w:hAnsi="Times New Roman" w:eastAsia="黑体" w:cs="Times New Roman"/>
          <w:kern w:val="44"/>
          <w:sz w:val="28"/>
          <w:szCs w:val="28"/>
          <w:lang w:val="zh-CN" w:bidi="zh-CN"/>
        </w:rPr>
        <w:t>第</w:t>
      </w:r>
      <w:r>
        <w:rPr>
          <w:rStyle w:val="30"/>
          <w:rFonts w:ascii="Times New Roman" w:hAnsi="Times New Roman" w:eastAsia="黑体" w:cs="Times New Roman"/>
          <w:kern w:val="44"/>
          <w:sz w:val="28"/>
          <w:szCs w:val="28"/>
          <w:lang w:bidi="zh-CN"/>
        </w:rPr>
        <w:t>十七</w:t>
      </w:r>
      <w:r>
        <w:rPr>
          <w:rStyle w:val="30"/>
          <w:rFonts w:ascii="Times New Roman" w:hAnsi="Times New Roman" w:eastAsia="黑体" w:cs="Times New Roman"/>
          <w:kern w:val="44"/>
          <w:sz w:val="28"/>
          <w:szCs w:val="28"/>
          <w:lang w:val="zh-CN" w:bidi="zh-CN"/>
        </w:rPr>
        <w:t>章  推进农业现代化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_Toc62051596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"_Toc62051597" </w:instrText>
      </w:r>
      <w:r>
        <w:fldChar w:fldCharType="separate"/>
      </w:r>
      <w:r>
        <w:rPr>
          <w:rStyle w:val="30"/>
          <w:rFonts w:ascii="Times New Roman" w:hAnsi="Times New Roman" w:eastAsia="楷体_GB2312" w:cs="Times New Roman"/>
          <w:bCs/>
          <w:sz w:val="28"/>
          <w:szCs w:val="28"/>
        </w:rPr>
        <w:t>第一节  构建融合发展的现代农业产业体系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_Toc62051597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"_Toc62051598" </w:instrText>
      </w:r>
      <w:r>
        <w:fldChar w:fldCharType="separate"/>
      </w:r>
      <w:r>
        <w:rPr>
          <w:rStyle w:val="30"/>
          <w:rFonts w:ascii="Times New Roman" w:hAnsi="Times New Roman" w:eastAsia="楷体_GB2312" w:cs="Times New Roman"/>
          <w:bCs/>
          <w:sz w:val="28"/>
          <w:szCs w:val="28"/>
        </w:rPr>
        <w:t>第二节  强化科技支撑的现代农业生产体系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_Toc62051598 \h </w:instrText>
      </w:r>
      <w:r>
        <w:rPr>
          <w:rFonts w:ascii="Times New Roman" w:hAnsi="Times New Roman" w:cs="Times New Roman"/>
          <w:sz w:val="28"/>
          <w:szCs w:val="28"/>
        </w:rPr>
        <w:fldChar w:fldCharType="separate"/>
      </w:r>
      <w:r>
        <w:rPr>
          <w:rFonts w:ascii="Times New Roman" w:hAnsi="Times New Roman" w:cs="Times New Roman"/>
          <w:sz w:val="28"/>
          <w:szCs w:val="28"/>
        </w:rPr>
        <w:t>110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"_Toc62051599" </w:instrText>
      </w:r>
      <w:r>
        <w:fldChar w:fldCharType="separate"/>
      </w:r>
      <w:r>
        <w:rPr>
          <w:rStyle w:val="30"/>
          <w:rFonts w:ascii="Times New Roman" w:hAnsi="Times New Roman" w:eastAsia="楷体_GB2312" w:cs="Times New Roman"/>
          <w:bCs/>
          <w:sz w:val="28"/>
          <w:szCs w:val="28"/>
        </w:rPr>
        <w:t>第三节  健全集约高效的现代农业经营体系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_Toc62051599 \h </w:instrText>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"_Toc62051600" </w:instrText>
      </w:r>
      <w:r>
        <w:fldChar w:fldCharType="separate"/>
      </w:r>
      <w:r>
        <w:rPr>
          <w:rStyle w:val="30"/>
          <w:rFonts w:ascii="Times New Roman" w:hAnsi="Times New Roman" w:eastAsia="黑体" w:cs="Times New Roman"/>
          <w:sz w:val="28"/>
          <w:szCs w:val="28"/>
        </w:rPr>
        <w:t>第十八章  加快乡村建设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_Toc62051600 \h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"_Toc62051601" </w:instrText>
      </w:r>
      <w:r>
        <w:fldChar w:fldCharType="separate"/>
      </w:r>
      <w:r>
        <w:rPr>
          <w:rStyle w:val="30"/>
          <w:rFonts w:ascii="Times New Roman" w:hAnsi="Times New Roman" w:eastAsia="楷体_GB2312" w:cs="Times New Roman"/>
          <w:bCs/>
          <w:sz w:val="28"/>
          <w:szCs w:val="28"/>
        </w:rPr>
        <w:t>第一节  实现巩固拓展脱贫攻坚成果同乡村振兴有效衔接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_Toc62051601 \h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"_Toc62051602" </w:instrText>
      </w:r>
      <w:r>
        <w:fldChar w:fldCharType="separate"/>
      </w:r>
      <w:r>
        <w:rPr>
          <w:rStyle w:val="30"/>
          <w:rFonts w:ascii="Times New Roman" w:hAnsi="Times New Roman" w:eastAsia="楷体_GB2312" w:cs="Times New Roman"/>
          <w:bCs/>
          <w:sz w:val="28"/>
          <w:szCs w:val="28"/>
        </w:rPr>
        <w:t>第二节  建设美丽乡村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_Toc62051602 \h </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"_Toc62051603" </w:instrText>
      </w:r>
      <w:r>
        <w:fldChar w:fldCharType="separate"/>
      </w:r>
      <w:r>
        <w:rPr>
          <w:rStyle w:val="30"/>
          <w:rFonts w:ascii="Times New Roman" w:hAnsi="Times New Roman" w:eastAsia="楷体_GB2312" w:cs="Times New Roman"/>
          <w:bCs/>
          <w:sz w:val="28"/>
          <w:szCs w:val="28"/>
        </w:rPr>
        <w:t>第三节  深化农村改革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_Toc62051603 \h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"_Toc62051604" </w:instrText>
      </w:r>
      <w:r>
        <w:fldChar w:fldCharType="separate"/>
      </w:r>
      <w:r>
        <w:rPr>
          <w:rStyle w:val="30"/>
          <w:rFonts w:ascii="Times New Roman" w:hAnsi="Times New Roman" w:eastAsia="方正小标宋_GBK" w:cs="Times New Roman"/>
          <w:sz w:val="28"/>
          <w:szCs w:val="28"/>
        </w:rPr>
        <w:t>第六篇  着力建设人与自然和谐共生的现代化新湖南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_Toc62051604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"_Toc62051605" </w:instrText>
      </w:r>
      <w:r>
        <w:fldChar w:fldCharType="separate"/>
      </w:r>
      <w:r>
        <w:rPr>
          <w:rStyle w:val="30"/>
          <w:rFonts w:ascii="Times New Roman" w:hAnsi="Times New Roman" w:eastAsia="黑体" w:cs="Times New Roman"/>
          <w:sz w:val="28"/>
          <w:szCs w:val="28"/>
        </w:rPr>
        <w:t>第十九章  持续改善环境质量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_Toc62051605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"_Toc62051606" </w:instrText>
      </w:r>
      <w:r>
        <w:fldChar w:fldCharType="separate"/>
      </w:r>
      <w:r>
        <w:rPr>
          <w:rStyle w:val="30"/>
          <w:rFonts w:ascii="Times New Roman" w:hAnsi="Times New Roman" w:eastAsia="楷体_GB2312" w:cs="Times New Roman"/>
          <w:sz w:val="28"/>
          <w:szCs w:val="28"/>
        </w:rPr>
        <w:t>第一节  推进长江经济带突出环境问题整治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_Toc62051606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"_Toc62051607" </w:instrText>
      </w:r>
      <w:r>
        <w:fldChar w:fldCharType="separate"/>
      </w:r>
      <w:r>
        <w:rPr>
          <w:rStyle w:val="30"/>
          <w:rFonts w:ascii="Times New Roman" w:hAnsi="Times New Roman" w:eastAsia="楷体_GB2312" w:cs="Times New Roman"/>
          <w:sz w:val="28"/>
          <w:szCs w:val="28"/>
        </w:rPr>
        <w:t>第二节  推进水污染治理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_Toc62051607 \h </w:instrText>
      </w:r>
      <w:r>
        <w:rPr>
          <w:rFonts w:ascii="Times New Roman" w:hAnsi="Times New Roman" w:cs="Times New Roman"/>
          <w:sz w:val="28"/>
          <w:szCs w:val="28"/>
        </w:rPr>
        <w:fldChar w:fldCharType="separate"/>
      </w:r>
      <w:r>
        <w:rPr>
          <w:rFonts w:ascii="Times New Roman" w:hAnsi="Times New Roman" w:cs="Times New Roman"/>
          <w:sz w:val="28"/>
          <w:szCs w:val="28"/>
        </w:rPr>
        <w:t>118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"_Toc62051608" </w:instrText>
      </w:r>
      <w:r>
        <w:fldChar w:fldCharType="separate"/>
      </w:r>
      <w:r>
        <w:rPr>
          <w:rStyle w:val="30"/>
          <w:rFonts w:ascii="Times New Roman" w:hAnsi="Times New Roman" w:eastAsia="楷体_GB2312" w:cs="Times New Roman"/>
          <w:sz w:val="28"/>
          <w:szCs w:val="28"/>
        </w:rPr>
        <w:t>第三节  推进土壤污染治理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_Toc62051608 \h </w:instrText>
      </w:r>
      <w:r>
        <w:rPr>
          <w:rFonts w:ascii="Times New Roman" w:hAnsi="Times New Roman" w:cs="Times New Roman"/>
          <w:sz w:val="28"/>
          <w:szCs w:val="28"/>
        </w:rPr>
        <w:fldChar w:fldCharType="separate"/>
      </w:r>
      <w:r>
        <w:rPr>
          <w:rFonts w:ascii="Times New Roman" w:hAnsi="Times New Roman" w:cs="Times New Roman"/>
          <w:sz w:val="28"/>
          <w:szCs w:val="28"/>
        </w:rPr>
        <w:t>119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"_Toc62051609" </w:instrText>
      </w:r>
      <w:r>
        <w:fldChar w:fldCharType="separate"/>
      </w:r>
      <w:r>
        <w:rPr>
          <w:rStyle w:val="30"/>
          <w:rFonts w:ascii="Times New Roman" w:hAnsi="Times New Roman" w:eastAsia="楷体_GB2312" w:cs="Times New Roman"/>
          <w:sz w:val="28"/>
          <w:szCs w:val="28"/>
        </w:rPr>
        <w:t>第四节  推进大气污染治理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_Toc62051609 \h </w:instrText>
      </w:r>
      <w:r>
        <w:rPr>
          <w:rFonts w:ascii="Times New Roman" w:hAnsi="Times New Roman" w:cs="Times New Roman"/>
          <w:sz w:val="28"/>
          <w:szCs w:val="28"/>
        </w:rPr>
        <w:fldChar w:fldCharType="separate"/>
      </w:r>
      <w:r>
        <w:rPr>
          <w:rFonts w:ascii="Times New Roman" w:hAnsi="Times New Roman" w:cs="Times New Roman"/>
          <w:sz w:val="28"/>
          <w:szCs w:val="28"/>
        </w:rPr>
        <w:t>120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"_Toc62051610" </w:instrText>
      </w:r>
      <w:r>
        <w:fldChar w:fldCharType="separate"/>
      </w:r>
      <w:r>
        <w:rPr>
          <w:rStyle w:val="30"/>
          <w:rFonts w:ascii="Times New Roman" w:hAnsi="Times New Roman" w:eastAsia="楷体_GB2312" w:cs="Times New Roman"/>
          <w:sz w:val="28"/>
          <w:szCs w:val="28"/>
        </w:rPr>
        <w:t>第五节  加强生态系统保护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_Toc62051610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"_Toc62051611" </w:instrText>
      </w:r>
      <w:r>
        <w:fldChar w:fldCharType="separate"/>
      </w:r>
      <w:r>
        <w:rPr>
          <w:rStyle w:val="30"/>
          <w:rFonts w:ascii="Times New Roman" w:hAnsi="Times New Roman" w:eastAsia="黑体" w:cs="Times New Roman"/>
          <w:sz w:val="28"/>
          <w:szCs w:val="28"/>
        </w:rPr>
        <w:t>第二十章  大力推动绿色发展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_Toc62051611 \h </w:instrText>
      </w:r>
      <w:r>
        <w:rPr>
          <w:rFonts w:ascii="Times New Roman" w:hAnsi="Times New Roman" w:cs="Times New Roman"/>
          <w:sz w:val="28"/>
          <w:szCs w:val="28"/>
        </w:rPr>
        <w:fldChar w:fldCharType="separate"/>
      </w:r>
      <w:r>
        <w:rPr>
          <w:rFonts w:ascii="Times New Roman" w:hAnsi="Times New Roman" w:cs="Times New Roman"/>
          <w:sz w:val="28"/>
          <w:szCs w:val="28"/>
        </w:rPr>
        <w:t>123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"_Toc62051612" </w:instrText>
      </w:r>
      <w:r>
        <w:fldChar w:fldCharType="separate"/>
      </w:r>
      <w:r>
        <w:rPr>
          <w:rStyle w:val="30"/>
          <w:rFonts w:ascii="Times New Roman" w:hAnsi="Times New Roman" w:eastAsia="楷体_GB2312" w:cs="Times New Roman"/>
          <w:sz w:val="28"/>
          <w:szCs w:val="28"/>
        </w:rPr>
        <w:t>第一节  促进能源资源节约利用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_Toc62051612 \h </w:instrText>
      </w:r>
      <w:r>
        <w:rPr>
          <w:rFonts w:ascii="Times New Roman" w:hAnsi="Times New Roman" w:cs="Times New Roman"/>
          <w:sz w:val="28"/>
          <w:szCs w:val="28"/>
        </w:rPr>
        <w:fldChar w:fldCharType="separate"/>
      </w:r>
      <w:r>
        <w:rPr>
          <w:rFonts w:ascii="Times New Roman" w:hAnsi="Times New Roman" w:cs="Times New Roman"/>
          <w:sz w:val="28"/>
          <w:szCs w:val="28"/>
        </w:rPr>
        <w:t>123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"_Toc62051613" </w:instrText>
      </w:r>
      <w:r>
        <w:fldChar w:fldCharType="separate"/>
      </w:r>
      <w:r>
        <w:rPr>
          <w:rStyle w:val="30"/>
          <w:rFonts w:ascii="Times New Roman" w:hAnsi="Times New Roman" w:eastAsia="楷体_GB2312" w:cs="Times New Roman"/>
          <w:sz w:val="28"/>
          <w:szCs w:val="28"/>
        </w:rPr>
        <w:t>第二节  推动循环低碳发展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_Toc62051613 \h </w:instrText>
      </w:r>
      <w:r>
        <w:rPr>
          <w:rFonts w:ascii="Times New Roman" w:hAnsi="Times New Roman" w:cs="Times New Roman"/>
          <w:sz w:val="28"/>
          <w:szCs w:val="28"/>
        </w:rPr>
        <w:fldChar w:fldCharType="separate"/>
      </w:r>
      <w:r>
        <w:rPr>
          <w:rFonts w:ascii="Times New Roman" w:hAnsi="Times New Roman" w:cs="Times New Roman"/>
          <w:sz w:val="28"/>
          <w:szCs w:val="28"/>
        </w:rPr>
        <w:t>124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"_Toc62051614" </w:instrText>
      </w:r>
      <w:r>
        <w:fldChar w:fldCharType="separate"/>
      </w:r>
      <w:r>
        <w:rPr>
          <w:rStyle w:val="30"/>
          <w:rFonts w:ascii="Times New Roman" w:hAnsi="Times New Roman" w:eastAsia="楷体_GB2312" w:cs="Times New Roman"/>
          <w:sz w:val="28"/>
          <w:szCs w:val="28"/>
        </w:rPr>
        <w:t>第三节  全面倡导绿色生活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_Toc62051614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"_Toc62051615" </w:instrText>
      </w:r>
      <w:r>
        <w:fldChar w:fldCharType="separate"/>
      </w:r>
      <w:r>
        <w:rPr>
          <w:rStyle w:val="30"/>
          <w:rFonts w:ascii="Times New Roman" w:hAnsi="Times New Roman" w:eastAsia="黑体" w:cs="Times New Roman"/>
          <w:sz w:val="28"/>
          <w:szCs w:val="28"/>
        </w:rPr>
        <w:t>第二十一章  完善生态文明体制机制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_Toc62051615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"_Toc62051616" </w:instrText>
      </w:r>
      <w:r>
        <w:fldChar w:fldCharType="separate"/>
      </w:r>
      <w:r>
        <w:rPr>
          <w:rStyle w:val="30"/>
          <w:rFonts w:ascii="Times New Roman" w:hAnsi="Times New Roman" w:eastAsia="楷体_GB2312" w:cs="Times New Roman"/>
          <w:sz w:val="28"/>
          <w:szCs w:val="28"/>
        </w:rPr>
        <w:t>第一节  完善现代环境治理体系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_Toc62051616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"_Toc62051617" </w:instrText>
      </w:r>
      <w:r>
        <w:fldChar w:fldCharType="separate"/>
      </w:r>
      <w:r>
        <w:rPr>
          <w:rStyle w:val="30"/>
          <w:rFonts w:ascii="Times New Roman" w:hAnsi="Times New Roman" w:eastAsia="楷体_GB2312" w:cs="Times New Roman"/>
          <w:sz w:val="28"/>
          <w:szCs w:val="28"/>
        </w:rPr>
        <w:t>第二节  建立生态产品价值实现机制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_Toc62051617 \h </w:instrText>
      </w:r>
      <w:r>
        <w:rPr>
          <w:rFonts w:ascii="Times New Roman" w:hAnsi="Times New Roman" w:cs="Times New Roman"/>
          <w:sz w:val="28"/>
          <w:szCs w:val="28"/>
        </w:rPr>
        <w:fldChar w:fldCharType="separate"/>
      </w:r>
      <w:r>
        <w:rPr>
          <w:rFonts w:ascii="Times New Roman" w:hAnsi="Times New Roman" w:cs="Times New Roman"/>
          <w:sz w:val="28"/>
          <w:szCs w:val="28"/>
        </w:rPr>
        <w:t>127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"_Toc62051618" </w:instrText>
      </w:r>
      <w:r>
        <w:fldChar w:fldCharType="separate"/>
      </w:r>
      <w:r>
        <w:rPr>
          <w:rStyle w:val="30"/>
          <w:rFonts w:ascii="Times New Roman" w:hAnsi="Times New Roman" w:eastAsia="楷体_GB2312" w:cs="Times New Roman"/>
          <w:sz w:val="28"/>
          <w:szCs w:val="28"/>
        </w:rPr>
        <w:t>第三节  健全生态文明市场机制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_Toc62051618 \h </w:instrText>
      </w:r>
      <w:r>
        <w:rPr>
          <w:rFonts w:ascii="Times New Roman" w:hAnsi="Times New Roman" w:cs="Times New Roman"/>
          <w:sz w:val="28"/>
          <w:szCs w:val="28"/>
        </w:rPr>
        <w:fldChar w:fldCharType="separate"/>
      </w:r>
      <w:r>
        <w:rPr>
          <w:rFonts w:ascii="Times New Roman" w:hAnsi="Times New Roman" w:cs="Times New Roman"/>
          <w:sz w:val="28"/>
          <w:szCs w:val="28"/>
        </w:rPr>
        <w:t>127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"_Toc62051619" </w:instrText>
      </w:r>
      <w:r>
        <w:fldChar w:fldCharType="separate"/>
      </w:r>
      <w:r>
        <w:rPr>
          <w:rStyle w:val="30"/>
          <w:rFonts w:ascii="Times New Roman" w:hAnsi="Times New Roman" w:eastAsia="方正小标宋_GBK" w:cs="Times New Roman"/>
          <w:sz w:val="28"/>
          <w:szCs w:val="28"/>
        </w:rPr>
        <w:t>第七篇  着力建设民生福祉全面增进的现代化新湖南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_Toc62051619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"_Toc62051620" </w:instrText>
      </w:r>
      <w:r>
        <w:fldChar w:fldCharType="separate"/>
      </w:r>
      <w:r>
        <w:rPr>
          <w:rStyle w:val="30"/>
          <w:rFonts w:ascii="Times New Roman" w:hAnsi="Times New Roman" w:eastAsia="黑体" w:cs="Times New Roman"/>
          <w:sz w:val="28"/>
          <w:szCs w:val="28"/>
        </w:rPr>
        <w:t>第二十二章  加强就业创业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_Toc62051620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"_Toc62051621" </w:instrText>
      </w:r>
      <w:r>
        <w:fldChar w:fldCharType="separate"/>
      </w:r>
      <w:r>
        <w:rPr>
          <w:rStyle w:val="30"/>
          <w:rFonts w:ascii="Times New Roman" w:hAnsi="Times New Roman" w:eastAsia="楷体_GB2312" w:cs="Times New Roman"/>
          <w:sz w:val="28"/>
          <w:szCs w:val="28"/>
        </w:rPr>
        <w:t>第一节  促进重点群体创业就业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_Toc62051621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"_Toc62051622" </w:instrText>
      </w:r>
      <w:r>
        <w:fldChar w:fldCharType="separate"/>
      </w:r>
      <w:r>
        <w:rPr>
          <w:rStyle w:val="30"/>
          <w:rFonts w:ascii="Times New Roman" w:hAnsi="Times New Roman" w:eastAsia="楷体_GB2312" w:cs="Times New Roman"/>
          <w:sz w:val="28"/>
          <w:szCs w:val="28"/>
        </w:rPr>
        <w:t>第二节  健全就业创业服务体系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_Toc62051622 \h </w:instrText>
      </w:r>
      <w:r>
        <w:rPr>
          <w:rFonts w:ascii="Times New Roman" w:hAnsi="Times New Roman" w:cs="Times New Roman"/>
          <w:sz w:val="28"/>
          <w:szCs w:val="28"/>
        </w:rPr>
        <w:fldChar w:fldCharType="separate"/>
      </w:r>
      <w:r>
        <w:rPr>
          <w:rFonts w:ascii="Times New Roman" w:hAnsi="Times New Roman" w:cs="Times New Roman"/>
          <w:sz w:val="28"/>
          <w:szCs w:val="28"/>
        </w:rPr>
        <w:t>129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"_Toc62051623" </w:instrText>
      </w:r>
      <w:r>
        <w:fldChar w:fldCharType="separate"/>
      </w:r>
      <w:r>
        <w:rPr>
          <w:rStyle w:val="30"/>
          <w:rFonts w:ascii="Times New Roman" w:hAnsi="Times New Roman" w:eastAsia="黑体" w:cs="Times New Roman"/>
          <w:sz w:val="28"/>
          <w:szCs w:val="28"/>
        </w:rPr>
        <w:t>第二十三章  促进教育现代化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_Toc62051623 \h </w:instrText>
      </w:r>
      <w:r>
        <w:rPr>
          <w:rFonts w:ascii="Times New Roman" w:hAnsi="Times New Roman" w:cs="Times New Roman"/>
          <w:sz w:val="28"/>
          <w:szCs w:val="28"/>
        </w:rPr>
        <w:fldChar w:fldCharType="separate"/>
      </w:r>
      <w:r>
        <w:rPr>
          <w:rFonts w:ascii="Times New Roman" w:hAnsi="Times New Roman" w:cs="Times New Roman"/>
          <w:sz w:val="28"/>
          <w:szCs w:val="28"/>
        </w:rPr>
        <w:t>131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"_Toc62051624" </w:instrText>
      </w:r>
      <w:r>
        <w:fldChar w:fldCharType="separate"/>
      </w:r>
      <w:r>
        <w:rPr>
          <w:rStyle w:val="30"/>
          <w:rFonts w:ascii="Times New Roman" w:hAnsi="Times New Roman" w:eastAsia="楷体_GB2312" w:cs="Times New Roman"/>
          <w:sz w:val="28"/>
          <w:szCs w:val="28"/>
        </w:rPr>
        <w:t>第一节  均衡提升基础教育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_Toc62051624 \h </w:instrText>
      </w:r>
      <w:r>
        <w:rPr>
          <w:rFonts w:ascii="Times New Roman" w:hAnsi="Times New Roman" w:cs="Times New Roman"/>
          <w:sz w:val="28"/>
          <w:szCs w:val="28"/>
        </w:rPr>
        <w:fldChar w:fldCharType="separate"/>
      </w:r>
      <w:r>
        <w:rPr>
          <w:rFonts w:ascii="Times New Roman" w:hAnsi="Times New Roman" w:cs="Times New Roman"/>
          <w:sz w:val="28"/>
          <w:szCs w:val="28"/>
        </w:rPr>
        <w:t>131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"_Toc62051625" </w:instrText>
      </w:r>
      <w:r>
        <w:fldChar w:fldCharType="separate"/>
      </w:r>
      <w:r>
        <w:rPr>
          <w:rStyle w:val="30"/>
          <w:rFonts w:ascii="Times New Roman" w:hAnsi="Times New Roman" w:eastAsia="楷体_GB2312" w:cs="Times New Roman"/>
          <w:sz w:val="28"/>
          <w:szCs w:val="28"/>
        </w:rPr>
        <w:t>第二节  扩大优质高等教育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_Toc62051625 \h </w:instrText>
      </w:r>
      <w:r>
        <w:rPr>
          <w:rFonts w:ascii="Times New Roman" w:hAnsi="Times New Roman" w:cs="Times New Roman"/>
          <w:sz w:val="28"/>
          <w:szCs w:val="28"/>
        </w:rPr>
        <w:fldChar w:fldCharType="separate"/>
      </w:r>
      <w:r>
        <w:rPr>
          <w:rFonts w:ascii="Times New Roman" w:hAnsi="Times New Roman" w:cs="Times New Roman"/>
          <w:sz w:val="28"/>
          <w:szCs w:val="28"/>
        </w:rPr>
        <w:t>132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"_Toc62051626" </w:instrText>
      </w:r>
      <w:r>
        <w:fldChar w:fldCharType="separate"/>
      </w:r>
      <w:r>
        <w:rPr>
          <w:rStyle w:val="30"/>
          <w:rFonts w:ascii="Times New Roman" w:hAnsi="Times New Roman" w:eastAsia="楷体_GB2312" w:cs="Times New Roman"/>
          <w:sz w:val="28"/>
          <w:szCs w:val="28"/>
        </w:rPr>
        <w:t>第三节  创新发展职业教育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_Toc62051626 \h </w:instrText>
      </w:r>
      <w:r>
        <w:rPr>
          <w:rFonts w:ascii="Times New Roman" w:hAnsi="Times New Roman" w:cs="Times New Roman"/>
          <w:sz w:val="28"/>
          <w:szCs w:val="28"/>
        </w:rPr>
        <w:fldChar w:fldCharType="separate"/>
      </w:r>
      <w:r>
        <w:rPr>
          <w:rFonts w:ascii="Times New Roman" w:hAnsi="Times New Roman" w:cs="Times New Roman"/>
          <w:sz w:val="28"/>
          <w:szCs w:val="28"/>
        </w:rPr>
        <w:t>132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"_Toc62051627" </w:instrText>
      </w:r>
      <w:r>
        <w:fldChar w:fldCharType="separate"/>
      </w:r>
      <w:r>
        <w:rPr>
          <w:rStyle w:val="30"/>
          <w:rFonts w:ascii="Times New Roman" w:hAnsi="Times New Roman" w:eastAsia="楷体_GB2312" w:cs="Times New Roman"/>
          <w:sz w:val="28"/>
          <w:szCs w:val="28"/>
        </w:rPr>
        <w:t>第四节  完善终身教育体系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_Toc62051627 \h </w:instrText>
      </w:r>
      <w:r>
        <w:rPr>
          <w:rFonts w:ascii="Times New Roman" w:hAnsi="Times New Roman" w:cs="Times New Roman"/>
          <w:sz w:val="28"/>
          <w:szCs w:val="28"/>
        </w:rPr>
        <w:fldChar w:fldCharType="separate"/>
      </w:r>
      <w:r>
        <w:rPr>
          <w:rFonts w:ascii="Times New Roman" w:hAnsi="Times New Roman" w:cs="Times New Roman"/>
          <w:sz w:val="28"/>
          <w:szCs w:val="28"/>
        </w:rPr>
        <w:t>133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"_Toc62051628" </w:instrText>
      </w:r>
      <w:r>
        <w:fldChar w:fldCharType="separate"/>
      </w:r>
      <w:r>
        <w:rPr>
          <w:rStyle w:val="30"/>
          <w:rFonts w:ascii="Times New Roman" w:hAnsi="Times New Roman" w:eastAsia="楷体_GB2312" w:cs="Times New Roman"/>
          <w:sz w:val="28"/>
          <w:szCs w:val="28"/>
        </w:rPr>
        <w:t>第五节  打造高素质教师队伍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_Toc62051628 \h </w:instrText>
      </w:r>
      <w:r>
        <w:rPr>
          <w:rFonts w:ascii="Times New Roman" w:hAnsi="Times New Roman" w:cs="Times New Roman"/>
          <w:sz w:val="28"/>
          <w:szCs w:val="28"/>
        </w:rPr>
        <w:fldChar w:fldCharType="separate"/>
      </w:r>
      <w:r>
        <w:rPr>
          <w:rFonts w:ascii="Times New Roman" w:hAnsi="Times New Roman" w:cs="Times New Roman"/>
          <w:sz w:val="28"/>
          <w:szCs w:val="28"/>
        </w:rPr>
        <w:t>134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"_Toc62051629" </w:instrText>
      </w:r>
      <w:r>
        <w:fldChar w:fldCharType="separate"/>
      </w:r>
      <w:r>
        <w:rPr>
          <w:rStyle w:val="30"/>
          <w:rFonts w:ascii="Times New Roman" w:hAnsi="Times New Roman" w:eastAsia="楷体_GB2312" w:cs="Times New Roman"/>
          <w:sz w:val="28"/>
          <w:szCs w:val="28"/>
        </w:rPr>
        <w:t>第六节  深化教育综合改革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_Toc62051629 \h </w:instrText>
      </w:r>
      <w:r>
        <w:rPr>
          <w:rFonts w:ascii="Times New Roman" w:hAnsi="Times New Roman" w:cs="Times New Roman"/>
          <w:sz w:val="28"/>
          <w:szCs w:val="28"/>
        </w:rPr>
        <w:fldChar w:fldCharType="separate"/>
      </w:r>
      <w:r>
        <w:rPr>
          <w:rFonts w:ascii="Times New Roman" w:hAnsi="Times New Roman" w:cs="Times New Roman"/>
          <w:sz w:val="28"/>
          <w:szCs w:val="28"/>
        </w:rPr>
        <w:t>134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"_Toc62051630" </w:instrText>
      </w:r>
      <w:r>
        <w:fldChar w:fldCharType="separate"/>
      </w:r>
      <w:r>
        <w:rPr>
          <w:rStyle w:val="30"/>
          <w:rFonts w:ascii="Times New Roman" w:hAnsi="Times New Roman" w:eastAsia="黑体" w:cs="Times New Roman"/>
          <w:sz w:val="28"/>
          <w:szCs w:val="28"/>
        </w:rPr>
        <w:t>第二十四章  建设健康湖南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_Toc62051630 \h </w:instrText>
      </w:r>
      <w:r>
        <w:rPr>
          <w:rFonts w:ascii="Times New Roman" w:hAnsi="Times New Roman" w:cs="Times New Roman"/>
          <w:sz w:val="28"/>
          <w:szCs w:val="28"/>
        </w:rPr>
        <w:fldChar w:fldCharType="separate"/>
      </w:r>
      <w:r>
        <w:rPr>
          <w:rFonts w:ascii="Times New Roman" w:hAnsi="Times New Roman" w:cs="Times New Roman"/>
          <w:sz w:val="28"/>
          <w:szCs w:val="28"/>
        </w:rPr>
        <w:t>136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"_Toc62051631" </w:instrText>
      </w:r>
      <w:r>
        <w:fldChar w:fldCharType="separate"/>
      </w:r>
      <w:r>
        <w:rPr>
          <w:rStyle w:val="30"/>
          <w:rFonts w:ascii="Times New Roman" w:hAnsi="Times New Roman" w:eastAsia="楷体_GB2312" w:cs="Times New Roman"/>
          <w:sz w:val="28"/>
          <w:szCs w:val="28"/>
        </w:rPr>
        <w:t>第一节  提升医疗服务能力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_Toc62051631 \h </w:instrText>
      </w:r>
      <w:r>
        <w:rPr>
          <w:rFonts w:ascii="Times New Roman" w:hAnsi="Times New Roman" w:cs="Times New Roman"/>
          <w:sz w:val="28"/>
          <w:szCs w:val="28"/>
        </w:rPr>
        <w:fldChar w:fldCharType="separate"/>
      </w:r>
      <w:r>
        <w:rPr>
          <w:rFonts w:ascii="Times New Roman" w:hAnsi="Times New Roman" w:cs="Times New Roman"/>
          <w:sz w:val="28"/>
          <w:szCs w:val="28"/>
        </w:rPr>
        <w:t>136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"_Toc62051632" </w:instrText>
      </w:r>
      <w:r>
        <w:fldChar w:fldCharType="separate"/>
      </w:r>
      <w:r>
        <w:rPr>
          <w:rStyle w:val="30"/>
          <w:rFonts w:ascii="Times New Roman" w:hAnsi="Times New Roman" w:eastAsia="楷体_GB2312" w:cs="Times New Roman"/>
          <w:sz w:val="28"/>
          <w:szCs w:val="28"/>
        </w:rPr>
        <w:t>第二节  完善公共卫生服务体系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_Toc62051632 \h </w:instrText>
      </w:r>
      <w:r>
        <w:rPr>
          <w:rFonts w:ascii="Times New Roman" w:hAnsi="Times New Roman" w:cs="Times New Roman"/>
          <w:sz w:val="28"/>
          <w:szCs w:val="28"/>
        </w:rPr>
        <w:fldChar w:fldCharType="separate"/>
      </w:r>
      <w:r>
        <w:rPr>
          <w:rFonts w:ascii="Times New Roman" w:hAnsi="Times New Roman" w:cs="Times New Roman"/>
          <w:sz w:val="28"/>
          <w:szCs w:val="28"/>
        </w:rPr>
        <w:t>138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"_Toc62051633" </w:instrText>
      </w:r>
      <w:r>
        <w:fldChar w:fldCharType="separate"/>
      </w:r>
      <w:r>
        <w:rPr>
          <w:rStyle w:val="30"/>
          <w:rFonts w:ascii="Times New Roman" w:hAnsi="Times New Roman" w:eastAsia="楷体_GB2312" w:cs="Times New Roman"/>
          <w:sz w:val="28"/>
          <w:szCs w:val="28"/>
        </w:rPr>
        <w:t>第三节  提高全民身体素质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_Toc62051633 \h </w:instrText>
      </w:r>
      <w:r>
        <w:rPr>
          <w:rFonts w:ascii="Times New Roman" w:hAnsi="Times New Roman" w:cs="Times New Roman"/>
          <w:sz w:val="28"/>
          <w:szCs w:val="28"/>
        </w:rPr>
        <w:fldChar w:fldCharType="separate"/>
      </w:r>
      <w:r>
        <w:rPr>
          <w:rFonts w:ascii="Times New Roman" w:hAnsi="Times New Roman" w:cs="Times New Roman"/>
          <w:sz w:val="28"/>
          <w:szCs w:val="28"/>
        </w:rPr>
        <w:t>139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"_Toc62051634" </w:instrText>
      </w:r>
      <w:r>
        <w:fldChar w:fldCharType="separate"/>
      </w:r>
      <w:r>
        <w:rPr>
          <w:rStyle w:val="30"/>
          <w:rFonts w:ascii="Times New Roman" w:hAnsi="Times New Roman" w:eastAsia="黑体" w:cs="Times New Roman"/>
          <w:sz w:val="28"/>
          <w:szCs w:val="28"/>
        </w:rPr>
        <w:t>第二十五章  完善社会保障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_Toc62051634 \h </w:instrText>
      </w:r>
      <w:r>
        <w:rPr>
          <w:rFonts w:ascii="Times New Roman" w:hAnsi="Times New Roman" w:cs="Times New Roman"/>
          <w:sz w:val="28"/>
          <w:szCs w:val="28"/>
        </w:rPr>
        <w:fldChar w:fldCharType="separate"/>
      </w:r>
      <w:r>
        <w:rPr>
          <w:rFonts w:ascii="Times New Roman" w:hAnsi="Times New Roman" w:cs="Times New Roman"/>
          <w:sz w:val="28"/>
          <w:szCs w:val="28"/>
        </w:rPr>
        <w:t>141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"_Toc62051635" </w:instrText>
      </w:r>
      <w:r>
        <w:fldChar w:fldCharType="separate"/>
      </w:r>
      <w:r>
        <w:rPr>
          <w:rStyle w:val="30"/>
          <w:rFonts w:ascii="Times New Roman" w:hAnsi="Times New Roman" w:eastAsia="楷体_GB2312" w:cs="Times New Roman"/>
          <w:sz w:val="28"/>
          <w:szCs w:val="28"/>
        </w:rPr>
        <w:t>第一节  完善社会保险体系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_Toc62051635 \h </w:instrText>
      </w:r>
      <w:r>
        <w:rPr>
          <w:rFonts w:ascii="Times New Roman" w:hAnsi="Times New Roman" w:cs="Times New Roman"/>
          <w:sz w:val="28"/>
          <w:szCs w:val="28"/>
        </w:rPr>
        <w:fldChar w:fldCharType="separate"/>
      </w:r>
      <w:r>
        <w:rPr>
          <w:rFonts w:ascii="Times New Roman" w:hAnsi="Times New Roman" w:cs="Times New Roman"/>
          <w:sz w:val="28"/>
          <w:szCs w:val="28"/>
        </w:rPr>
        <w:t>141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"_Toc62051636" </w:instrText>
      </w:r>
      <w:r>
        <w:fldChar w:fldCharType="separate"/>
      </w:r>
      <w:r>
        <w:rPr>
          <w:rStyle w:val="30"/>
          <w:rFonts w:ascii="Times New Roman" w:hAnsi="Times New Roman" w:eastAsia="楷体_GB2312" w:cs="Times New Roman"/>
          <w:sz w:val="28"/>
          <w:szCs w:val="28"/>
        </w:rPr>
        <w:t>第二节  完善社会救助体系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_Toc62051636 \h </w:instrText>
      </w:r>
      <w:r>
        <w:rPr>
          <w:rFonts w:ascii="Times New Roman" w:hAnsi="Times New Roman" w:cs="Times New Roman"/>
          <w:sz w:val="28"/>
          <w:szCs w:val="28"/>
        </w:rPr>
        <w:fldChar w:fldCharType="separate"/>
      </w:r>
      <w:r>
        <w:rPr>
          <w:rFonts w:ascii="Times New Roman" w:hAnsi="Times New Roman" w:cs="Times New Roman"/>
          <w:sz w:val="28"/>
          <w:szCs w:val="28"/>
        </w:rPr>
        <w:t>142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"_Toc62051637" </w:instrText>
      </w:r>
      <w:r>
        <w:fldChar w:fldCharType="separate"/>
      </w:r>
      <w:r>
        <w:rPr>
          <w:rStyle w:val="30"/>
          <w:rFonts w:ascii="Times New Roman" w:hAnsi="Times New Roman" w:eastAsia="楷体_GB2312" w:cs="Times New Roman"/>
          <w:sz w:val="28"/>
          <w:szCs w:val="28"/>
        </w:rPr>
        <w:t>第三节  完善住房保障体系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_Toc62051637 \h </w:instrText>
      </w:r>
      <w:r>
        <w:rPr>
          <w:rFonts w:ascii="Times New Roman" w:hAnsi="Times New Roman" w:cs="Times New Roman"/>
          <w:sz w:val="28"/>
          <w:szCs w:val="28"/>
        </w:rPr>
        <w:fldChar w:fldCharType="separate"/>
      </w:r>
      <w:r>
        <w:rPr>
          <w:rFonts w:ascii="Times New Roman" w:hAnsi="Times New Roman" w:cs="Times New Roman"/>
          <w:sz w:val="28"/>
          <w:szCs w:val="28"/>
        </w:rPr>
        <w:t>143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"_Toc62051638" </w:instrText>
      </w:r>
      <w:r>
        <w:fldChar w:fldCharType="separate"/>
      </w:r>
      <w:r>
        <w:rPr>
          <w:rStyle w:val="30"/>
          <w:rFonts w:ascii="Times New Roman" w:hAnsi="Times New Roman" w:eastAsia="黑体" w:cs="Times New Roman"/>
          <w:sz w:val="28"/>
          <w:szCs w:val="28"/>
        </w:rPr>
        <w:t>第二十六章  促进人口均衡发展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_Toc62051638 \h </w:instrText>
      </w:r>
      <w:r>
        <w:rPr>
          <w:rFonts w:ascii="Times New Roman" w:hAnsi="Times New Roman" w:cs="Times New Roman"/>
          <w:sz w:val="28"/>
          <w:szCs w:val="28"/>
        </w:rPr>
        <w:fldChar w:fldCharType="separate"/>
      </w:r>
      <w:r>
        <w:rPr>
          <w:rFonts w:ascii="Times New Roman" w:hAnsi="Times New Roman" w:cs="Times New Roman"/>
          <w:sz w:val="28"/>
          <w:szCs w:val="28"/>
        </w:rPr>
        <w:t>144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"_Toc62051639" </w:instrText>
      </w:r>
      <w:r>
        <w:fldChar w:fldCharType="separate"/>
      </w:r>
      <w:r>
        <w:rPr>
          <w:rStyle w:val="30"/>
          <w:rFonts w:ascii="Times New Roman" w:hAnsi="Times New Roman" w:eastAsia="楷体_GB2312" w:cs="Times New Roman"/>
          <w:sz w:val="28"/>
          <w:szCs w:val="28"/>
        </w:rPr>
        <w:t>第一节  强化人口工作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_Toc62051639 \h </w:instrText>
      </w:r>
      <w:r>
        <w:rPr>
          <w:rFonts w:ascii="Times New Roman" w:hAnsi="Times New Roman" w:cs="Times New Roman"/>
          <w:sz w:val="28"/>
          <w:szCs w:val="28"/>
        </w:rPr>
        <w:fldChar w:fldCharType="separate"/>
      </w:r>
      <w:r>
        <w:rPr>
          <w:rFonts w:ascii="Times New Roman" w:hAnsi="Times New Roman" w:cs="Times New Roman"/>
          <w:sz w:val="28"/>
          <w:szCs w:val="28"/>
        </w:rPr>
        <w:t>144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"_Toc62051640" </w:instrText>
      </w:r>
      <w:r>
        <w:fldChar w:fldCharType="separate"/>
      </w:r>
      <w:r>
        <w:rPr>
          <w:rStyle w:val="30"/>
          <w:rFonts w:ascii="Times New Roman" w:hAnsi="Times New Roman" w:eastAsia="楷体_GB2312" w:cs="Times New Roman"/>
          <w:sz w:val="28"/>
          <w:szCs w:val="28"/>
        </w:rPr>
        <w:t>第二节  关爱重点人群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_Toc62051640 \h </w:instrText>
      </w:r>
      <w:r>
        <w:rPr>
          <w:rFonts w:ascii="Times New Roman" w:hAnsi="Times New Roman" w:cs="Times New Roman"/>
          <w:sz w:val="28"/>
          <w:szCs w:val="28"/>
        </w:rPr>
        <w:fldChar w:fldCharType="separate"/>
      </w:r>
      <w:r>
        <w:rPr>
          <w:rFonts w:ascii="Times New Roman" w:hAnsi="Times New Roman" w:cs="Times New Roman"/>
          <w:sz w:val="28"/>
          <w:szCs w:val="28"/>
        </w:rPr>
        <w:t>145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"_Toc62051641" </w:instrText>
      </w:r>
      <w:r>
        <w:fldChar w:fldCharType="separate"/>
      </w:r>
      <w:r>
        <w:rPr>
          <w:rStyle w:val="30"/>
          <w:rFonts w:ascii="Times New Roman" w:hAnsi="Times New Roman" w:eastAsia="楷体_GB2312" w:cs="Times New Roman"/>
          <w:sz w:val="28"/>
          <w:szCs w:val="28"/>
        </w:rPr>
        <w:t>第三节  发展养老服务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_Toc62051641 \h </w:instrText>
      </w:r>
      <w:r>
        <w:rPr>
          <w:rFonts w:ascii="Times New Roman" w:hAnsi="Times New Roman" w:cs="Times New Roman"/>
          <w:sz w:val="28"/>
          <w:szCs w:val="28"/>
        </w:rPr>
        <w:fldChar w:fldCharType="separate"/>
      </w:r>
      <w:r>
        <w:rPr>
          <w:rFonts w:ascii="Times New Roman" w:hAnsi="Times New Roman" w:cs="Times New Roman"/>
          <w:sz w:val="28"/>
          <w:szCs w:val="28"/>
        </w:rPr>
        <w:t>146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"_Toc62051642" </w:instrText>
      </w:r>
      <w:r>
        <w:fldChar w:fldCharType="separate"/>
      </w:r>
      <w:r>
        <w:rPr>
          <w:rStyle w:val="30"/>
          <w:rFonts w:ascii="Times New Roman" w:hAnsi="Times New Roman" w:eastAsia="黑体" w:cs="Times New Roman"/>
          <w:sz w:val="28"/>
          <w:szCs w:val="28"/>
        </w:rPr>
        <w:t>第二十七章  提高人民收入水平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_Toc62051642 \h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"_Toc62051643" </w:instrText>
      </w:r>
      <w:r>
        <w:fldChar w:fldCharType="separate"/>
      </w:r>
      <w:r>
        <w:rPr>
          <w:rStyle w:val="30"/>
          <w:rFonts w:ascii="Times New Roman" w:hAnsi="Times New Roman" w:eastAsia="楷体_GB2312" w:cs="Times New Roman"/>
          <w:sz w:val="28"/>
          <w:szCs w:val="28"/>
        </w:rPr>
        <w:t>第一节  增加居民收入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_Toc62051643 \h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"_Toc62051644" </w:instrText>
      </w:r>
      <w:r>
        <w:fldChar w:fldCharType="separate"/>
      </w:r>
      <w:r>
        <w:rPr>
          <w:rStyle w:val="30"/>
          <w:rFonts w:ascii="Times New Roman" w:hAnsi="Times New Roman" w:eastAsia="楷体_GB2312" w:cs="Times New Roman"/>
          <w:sz w:val="28"/>
          <w:szCs w:val="28"/>
        </w:rPr>
        <w:t>第二节  优化收入分配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_Toc62051644 \h </w:instrText>
      </w:r>
      <w:r>
        <w:rPr>
          <w:rFonts w:ascii="Times New Roman" w:hAnsi="Times New Roman" w:cs="Times New Roman"/>
          <w:sz w:val="28"/>
          <w:szCs w:val="28"/>
        </w:rPr>
        <w:fldChar w:fldCharType="separate"/>
      </w:r>
      <w:r>
        <w:rPr>
          <w:rFonts w:ascii="Times New Roman" w:hAnsi="Times New Roman" w:cs="Times New Roman"/>
          <w:sz w:val="28"/>
          <w:szCs w:val="28"/>
        </w:rPr>
        <w:t>148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"_Toc62051645" </w:instrText>
      </w:r>
      <w:r>
        <w:fldChar w:fldCharType="separate"/>
      </w:r>
      <w:r>
        <w:rPr>
          <w:rStyle w:val="30"/>
          <w:rFonts w:ascii="Times New Roman" w:hAnsi="Times New Roman" w:eastAsia="方正小标宋_GBK" w:cs="Times New Roman"/>
          <w:bCs/>
          <w:sz w:val="28"/>
          <w:szCs w:val="28"/>
        </w:rPr>
        <w:t>第八篇  着力建设文化守正创新的现代化</w:t>
      </w:r>
      <w:r>
        <w:rPr>
          <w:rStyle w:val="30"/>
          <w:rFonts w:ascii="Times New Roman" w:hAnsi="Times New Roman" w:eastAsia="方正小标宋_GBK" w:cs="Times New Roman"/>
          <w:sz w:val="28"/>
          <w:szCs w:val="28"/>
        </w:rPr>
        <w:t>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_Toc62051645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"_Toc62051646" </w:instrText>
      </w:r>
      <w:r>
        <w:fldChar w:fldCharType="separate"/>
      </w:r>
      <w:r>
        <w:rPr>
          <w:rStyle w:val="30"/>
          <w:rFonts w:ascii="Times New Roman" w:hAnsi="Times New Roman" w:eastAsia="黑体" w:cs="Times New Roman"/>
          <w:sz w:val="28"/>
          <w:szCs w:val="28"/>
        </w:rPr>
        <w:t>第二十八章  提高社会文明程度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_Toc62051646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"_Toc62051647" </w:instrText>
      </w:r>
      <w:r>
        <w:fldChar w:fldCharType="separate"/>
      </w:r>
      <w:r>
        <w:rPr>
          <w:rStyle w:val="30"/>
          <w:rFonts w:ascii="Times New Roman" w:hAnsi="Times New Roman" w:eastAsia="楷体_GB2312" w:cs="Times New Roman"/>
          <w:sz w:val="28"/>
          <w:szCs w:val="28"/>
        </w:rPr>
        <w:t>第一节  大力弘扬社会主义核心价值观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_Toc62051647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"_Toc62051648" </w:instrText>
      </w:r>
      <w:r>
        <w:fldChar w:fldCharType="separate"/>
      </w:r>
      <w:r>
        <w:rPr>
          <w:rStyle w:val="30"/>
          <w:rFonts w:ascii="Times New Roman" w:hAnsi="Times New Roman" w:eastAsia="楷体_GB2312" w:cs="Times New Roman"/>
          <w:sz w:val="28"/>
          <w:szCs w:val="28"/>
        </w:rPr>
        <w:t>第二节  创造崇德向善道德环境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_Toc62051648 \h </w:instrText>
      </w:r>
      <w:r>
        <w:rPr>
          <w:rFonts w:ascii="Times New Roman" w:hAnsi="Times New Roman" w:cs="Times New Roman"/>
          <w:sz w:val="28"/>
          <w:szCs w:val="28"/>
        </w:rPr>
        <w:fldChar w:fldCharType="separate"/>
      </w:r>
      <w:r>
        <w:rPr>
          <w:rFonts w:ascii="Times New Roman" w:hAnsi="Times New Roman" w:cs="Times New Roman"/>
          <w:sz w:val="28"/>
          <w:szCs w:val="28"/>
        </w:rPr>
        <w:t>151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"_Toc62051649" </w:instrText>
      </w:r>
      <w:r>
        <w:fldChar w:fldCharType="separate"/>
      </w:r>
      <w:r>
        <w:rPr>
          <w:rStyle w:val="30"/>
          <w:rFonts w:ascii="Times New Roman" w:hAnsi="Times New Roman" w:eastAsia="黑体" w:cs="Times New Roman"/>
          <w:bCs/>
          <w:sz w:val="28"/>
          <w:szCs w:val="28"/>
        </w:rPr>
        <w:t>第二十九章  繁荣文化事业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_Toc62051649 \h </w:instrText>
      </w:r>
      <w:r>
        <w:rPr>
          <w:rFonts w:ascii="Times New Roman" w:hAnsi="Times New Roman" w:cs="Times New Roman"/>
          <w:sz w:val="28"/>
          <w:szCs w:val="28"/>
        </w:rPr>
        <w:fldChar w:fldCharType="separate"/>
      </w:r>
      <w:r>
        <w:rPr>
          <w:rFonts w:ascii="Times New Roman" w:hAnsi="Times New Roman" w:cs="Times New Roman"/>
          <w:sz w:val="28"/>
          <w:szCs w:val="28"/>
        </w:rPr>
        <w:t>152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"_Toc62051650" </w:instrText>
      </w:r>
      <w:r>
        <w:fldChar w:fldCharType="separate"/>
      </w:r>
      <w:r>
        <w:rPr>
          <w:rStyle w:val="30"/>
          <w:rFonts w:ascii="Times New Roman" w:hAnsi="Times New Roman" w:eastAsia="楷体_GB2312" w:cs="Times New Roman"/>
          <w:bCs/>
          <w:sz w:val="28"/>
          <w:szCs w:val="28"/>
        </w:rPr>
        <w:t>第一节  完善公共文化服务体系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_Toc62051650 \h </w:instrText>
      </w:r>
      <w:r>
        <w:rPr>
          <w:rFonts w:ascii="Times New Roman" w:hAnsi="Times New Roman" w:cs="Times New Roman"/>
          <w:sz w:val="28"/>
          <w:szCs w:val="28"/>
        </w:rPr>
        <w:fldChar w:fldCharType="separate"/>
      </w:r>
      <w:r>
        <w:rPr>
          <w:rFonts w:ascii="Times New Roman" w:hAnsi="Times New Roman" w:cs="Times New Roman"/>
          <w:sz w:val="28"/>
          <w:szCs w:val="28"/>
        </w:rPr>
        <w:t>152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"_Toc62051651" </w:instrText>
      </w:r>
      <w:r>
        <w:fldChar w:fldCharType="separate"/>
      </w:r>
      <w:r>
        <w:rPr>
          <w:rStyle w:val="30"/>
          <w:rFonts w:ascii="Times New Roman" w:hAnsi="Times New Roman" w:eastAsia="楷体_GB2312" w:cs="Times New Roman"/>
          <w:bCs/>
          <w:sz w:val="28"/>
          <w:szCs w:val="28"/>
        </w:rPr>
        <w:t>第二节  弘扬红色文化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_Toc62051651 \h </w:instrText>
      </w:r>
      <w:r>
        <w:rPr>
          <w:rFonts w:ascii="Times New Roman" w:hAnsi="Times New Roman" w:cs="Times New Roman"/>
          <w:sz w:val="28"/>
          <w:szCs w:val="28"/>
        </w:rPr>
        <w:fldChar w:fldCharType="separate"/>
      </w:r>
      <w:r>
        <w:rPr>
          <w:rFonts w:ascii="Times New Roman" w:hAnsi="Times New Roman" w:cs="Times New Roman"/>
          <w:sz w:val="28"/>
          <w:szCs w:val="28"/>
        </w:rPr>
        <w:t>153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"_Toc62051652" </w:instrText>
      </w:r>
      <w:r>
        <w:fldChar w:fldCharType="separate"/>
      </w:r>
      <w:r>
        <w:rPr>
          <w:rStyle w:val="30"/>
          <w:rFonts w:ascii="Times New Roman" w:hAnsi="Times New Roman" w:eastAsia="楷体_GB2312" w:cs="Times New Roman"/>
          <w:bCs/>
          <w:sz w:val="28"/>
          <w:szCs w:val="28"/>
        </w:rPr>
        <w:t>第三节  传承创新湖湘优秀传统文化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_Toc62051652 \h </w:instrText>
      </w:r>
      <w:r>
        <w:rPr>
          <w:rFonts w:ascii="Times New Roman" w:hAnsi="Times New Roman" w:cs="Times New Roman"/>
          <w:sz w:val="28"/>
          <w:szCs w:val="28"/>
        </w:rPr>
        <w:fldChar w:fldCharType="separate"/>
      </w:r>
      <w:r>
        <w:rPr>
          <w:rFonts w:ascii="Times New Roman" w:hAnsi="Times New Roman" w:cs="Times New Roman"/>
          <w:sz w:val="28"/>
          <w:szCs w:val="28"/>
        </w:rPr>
        <w:t>154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"_Toc62051653" </w:instrText>
      </w:r>
      <w:r>
        <w:fldChar w:fldCharType="separate"/>
      </w:r>
      <w:r>
        <w:rPr>
          <w:rStyle w:val="30"/>
          <w:rFonts w:ascii="Times New Roman" w:hAnsi="Times New Roman" w:eastAsia="楷体_GB2312" w:cs="Times New Roman"/>
          <w:bCs/>
          <w:sz w:val="28"/>
          <w:szCs w:val="28"/>
        </w:rPr>
        <w:t>第四节  扩大湖湘文化影响力和传播力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_Toc62051653 \h </w:instrText>
      </w:r>
      <w:r>
        <w:rPr>
          <w:rFonts w:ascii="Times New Roman" w:hAnsi="Times New Roman" w:cs="Times New Roman"/>
          <w:sz w:val="28"/>
          <w:szCs w:val="28"/>
        </w:rPr>
        <w:fldChar w:fldCharType="separate"/>
      </w:r>
      <w:r>
        <w:rPr>
          <w:rFonts w:ascii="Times New Roman" w:hAnsi="Times New Roman" w:cs="Times New Roman"/>
          <w:sz w:val="28"/>
          <w:szCs w:val="28"/>
        </w:rPr>
        <w:t>155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"_Toc62051654" </w:instrText>
      </w:r>
      <w:r>
        <w:fldChar w:fldCharType="separate"/>
      </w:r>
      <w:r>
        <w:rPr>
          <w:rStyle w:val="30"/>
          <w:rFonts w:ascii="Times New Roman" w:hAnsi="Times New Roman" w:eastAsia="楷体_GB2312" w:cs="Times New Roman"/>
          <w:bCs/>
          <w:sz w:val="28"/>
          <w:szCs w:val="28"/>
        </w:rPr>
        <w:t>第五节  深化文化体制改革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_Toc62051654 \h </w:instrText>
      </w:r>
      <w:r>
        <w:rPr>
          <w:rFonts w:ascii="Times New Roman" w:hAnsi="Times New Roman" w:cs="Times New Roman"/>
          <w:sz w:val="28"/>
          <w:szCs w:val="28"/>
        </w:rPr>
        <w:fldChar w:fldCharType="separate"/>
      </w:r>
      <w:r>
        <w:rPr>
          <w:rFonts w:ascii="Times New Roman" w:hAnsi="Times New Roman" w:cs="Times New Roman"/>
          <w:sz w:val="28"/>
          <w:szCs w:val="28"/>
        </w:rPr>
        <w:t>156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"_Toc62051655" </w:instrText>
      </w:r>
      <w:r>
        <w:fldChar w:fldCharType="separate"/>
      </w:r>
      <w:r>
        <w:rPr>
          <w:rStyle w:val="30"/>
          <w:rFonts w:ascii="Times New Roman" w:hAnsi="Times New Roman" w:eastAsia="黑体" w:cs="Times New Roman"/>
          <w:bCs/>
          <w:sz w:val="28"/>
          <w:szCs w:val="28"/>
        </w:rPr>
        <w:t>第三十章  发展壮大文化产业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_Toc62051655 \h </w:instrText>
      </w:r>
      <w:r>
        <w:rPr>
          <w:rFonts w:ascii="Times New Roman" w:hAnsi="Times New Roman" w:cs="Times New Roman"/>
          <w:sz w:val="28"/>
          <w:szCs w:val="28"/>
        </w:rPr>
        <w:fldChar w:fldCharType="separate"/>
      </w:r>
      <w:r>
        <w:rPr>
          <w:rFonts w:ascii="Times New Roman" w:hAnsi="Times New Roman" w:cs="Times New Roman"/>
          <w:sz w:val="28"/>
          <w:szCs w:val="28"/>
        </w:rPr>
        <w:t>157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"_Toc62051656" </w:instrText>
      </w:r>
      <w:r>
        <w:fldChar w:fldCharType="separate"/>
      </w:r>
      <w:r>
        <w:rPr>
          <w:rStyle w:val="30"/>
          <w:rFonts w:ascii="Times New Roman" w:hAnsi="Times New Roman" w:eastAsia="楷体_GB2312" w:cs="Times New Roman"/>
          <w:sz w:val="28"/>
          <w:szCs w:val="28"/>
        </w:rPr>
        <w:t>第一节  构建文化产业平台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_Toc62051656 \h </w:instrText>
      </w:r>
      <w:r>
        <w:rPr>
          <w:rFonts w:ascii="Times New Roman" w:hAnsi="Times New Roman" w:cs="Times New Roman"/>
          <w:sz w:val="28"/>
          <w:szCs w:val="28"/>
        </w:rPr>
        <w:fldChar w:fldCharType="separate"/>
      </w:r>
      <w:r>
        <w:rPr>
          <w:rFonts w:ascii="Times New Roman" w:hAnsi="Times New Roman" w:cs="Times New Roman"/>
          <w:sz w:val="28"/>
          <w:szCs w:val="28"/>
        </w:rPr>
        <w:t>157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"_Toc62051657" </w:instrText>
      </w:r>
      <w:r>
        <w:fldChar w:fldCharType="separate"/>
      </w:r>
      <w:r>
        <w:rPr>
          <w:rStyle w:val="30"/>
          <w:rFonts w:ascii="Times New Roman" w:hAnsi="Times New Roman" w:eastAsia="楷体_GB2312" w:cs="Times New Roman"/>
          <w:sz w:val="28"/>
          <w:szCs w:val="28"/>
        </w:rPr>
        <w:t>第二节  做强文化市场主体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_Toc62051657 \h </w:instrText>
      </w:r>
      <w:r>
        <w:rPr>
          <w:rFonts w:ascii="Times New Roman" w:hAnsi="Times New Roman" w:cs="Times New Roman"/>
          <w:sz w:val="28"/>
          <w:szCs w:val="28"/>
        </w:rPr>
        <w:fldChar w:fldCharType="separate"/>
      </w:r>
      <w:r>
        <w:rPr>
          <w:rFonts w:ascii="Times New Roman" w:hAnsi="Times New Roman" w:cs="Times New Roman"/>
          <w:sz w:val="28"/>
          <w:szCs w:val="28"/>
        </w:rPr>
        <w:t>158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"_Toc62051658" </w:instrText>
      </w:r>
      <w:r>
        <w:fldChar w:fldCharType="separate"/>
      </w:r>
      <w:r>
        <w:rPr>
          <w:rStyle w:val="30"/>
          <w:rFonts w:ascii="Times New Roman" w:hAnsi="Times New Roman" w:eastAsia="楷体_GB2312" w:cs="Times New Roman"/>
          <w:sz w:val="28"/>
          <w:szCs w:val="28"/>
        </w:rPr>
        <w:t>第三节  创新文化产业业态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_Toc62051658 \h </w:instrText>
      </w:r>
      <w:r>
        <w:rPr>
          <w:rFonts w:ascii="Times New Roman" w:hAnsi="Times New Roman" w:cs="Times New Roman"/>
          <w:sz w:val="28"/>
          <w:szCs w:val="28"/>
        </w:rPr>
        <w:fldChar w:fldCharType="separate"/>
      </w:r>
      <w:r>
        <w:rPr>
          <w:rFonts w:ascii="Times New Roman" w:hAnsi="Times New Roman" w:cs="Times New Roman"/>
          <w:sz w:val="28"/>
          <w:szCs w:val="28"/>
        </w:rPr>
        <w:t>159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"_Toc62051659" </w:instrText>
      </w:r>
      <w:r>
        <w:fldChar w:fldCharType="separate"/>
      </w:r>
      <w:r>
        <w:rPr>
          <w:rStyle w:val="30"/>
          <w:rFonts w:ascii="Times New Roman" w:hAnsi="Times New Roman" w:eastAsia="黑体" w:cs="Times New Roman"/>
          <w:bCs/>
          <w:sz w:val="28"/>
          <w:szCs w:val="28"/>
        </w:rPr>
        <w:t>第三十一章  建设全域旅游基地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_Toc62051659 \h </w:instrText>
      </w:r>
      <w:r>
        <w:rPr>
          <w:rFonts w:ascii="Times New Roman" w:hAnsi="Times New Roman" w:cs="Times New Roman"/>
          <w:sz w:val="28"/>
          <w:szCs w:val="28"/>
        </w:rPr>
        <w:fldChar w:fldCharType="separate"/>
      </w:r>
      <w:r>
        <w:rPr>
          <w:rFonts w:ascii="Times New Roman" w:hAnsi="Times New Roman" w:cs="Times New Roman"/>
          <w:sz w:val="28"/>
          <w:szCs w:val="28"/>
        </w:rPr>
        <w:t>161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"_Toc62051660" </w:instrText>
      </w:r>
      <w:r>
        <w:fldChar w:fldCharType="separate"/>
      </w:r>
      <w:r>
        <w:rPr>
          <w:rStyle w:val="30"/>
          <w:rFonts w:ascii="Times New Roman" w:hAnsi="Times New Roman" w:eastAsia="楷体_GB2312" w:cs="Times New Roman"/>
          <w:bCs/>
          <w:sz w:val="28"/>
          <w:szCs w:val="28"/>
        </w:rPr>
        <w:t>第一节  建设世界知名旅游目的地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_Toc62051660 \h </w:instrText>
      </w:r>
      <w:r>
        <w:rPr>
          <w:rFonts w:ascii="Times New Roman" w:hAnsi="Times New Roman" w:cs="Times New Roman"/>
          <w:sz w:val="28"/>
          <w:szCs w:val="28"/>
        </w:rPr>
        <w:fldChar w:fldCharType="separate"/>
      </w:r>
      <w:r>
        <w:rPr>
          <w:rFonts w:ascii="Times New Roman" w:hAnsi="Times New Roman" w:cs="Times New Roman"/>
          <w:sz w:val="28"/>
          <w:szCs w:val="28"/>
        </w:rPr>
        <w:t>161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"_Toc62051661" </w:instrText>
      </w:r>
      <w:r>
        <w:fldChar w:fldCharType="separate"/>
      </w:r>
      <w:r>
        <w:rPr>
          <w:rStyle w:val="30"/>
          <w:rFonts w:ascii="Times New Roman" w:hAnsi="Times New Roman" w:eastAsia="楷体_GB2312" w:cs="Times New Roman"/>
          <w:bCs/>
          <w:sz w:val="28"/>
          <w:szCs w:val="28"/>
        </w:rPr>
        <w:t>第二节  打造红色旅游基地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_Toc62051661 \h </w:instrText>
      </w:r>
      <w:r>
        <w:rPr>
          <w:rFonts w:ascii="Times New Roman" w:hAnsi="Times New Roman" w:cs="Times New Roman"/>
          <w:sz w:val="28"/>
          <w:szCs w:val="28"/>
        </w:rPr>
        <w:fldChar w:fldCharType="separate"/>
      </w:r>
      <w:r>
        <w:rPr>
          <w:rFonts w:ascii="Times New Roman" w:hAnsi="Times New Roman" w:cs="Times New Roman"/>
          <w:sz w:val="28"/>
          <w:szCs w:val="28"/>
        </w:rPr>
        <w:t>162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"_Toc62051662" </w:instrText>
      </w:r>
      <w:r>
        <w:fldChar w:fldCharType="separate"/>
      </w:r>
      <w:r>
        <w:rPr>
          <w:rStyle w:val="30"/>
          <w:rFonts w:ascii="Times New Roman" w:hAnsi="Times New Roman" w:eastAsia="楷体_GB2312" w:cs="Times New Roman"/>
          <w:bCs/>
          <w:sz w:val="28"/>
          <w:szCs w:val="28"/>
        </w:rPr>
        <w:t>第三节  推进文化和旅游融合创新开放发展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_Toc62051662 \h </w:instrText>
      </w:r>
      <w:r>
        <w:rPr>
          <w:rFonts w:ascii="Times New Roman" w:hAnsi="Times New Roman" w:cs="Times New Roman"/>
          <w:sz w:val="28"/>
          <w:szCs w:val="28"/>
        </w:rPr>
        <w:fldChar w:fldCharType="separate"/>
      </w:r>
      <w:r>
        <w:rPr>
          <w:rFonts w:ascii="Times New Roman" w:hAnsi="Times New Roman" w:cs="Times New Roman"/>
          <w:sz w:val="28"/>
          <w:szCs w:val="28"/>
        </w:rPr>
        <w:t>163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"_Toc62051663" </w:instrText>
      </w:r>
      <w:r>
        <w:fldChar w:fldCharType="separate"/>
      </w:r>
      <w:r>
        <w:rPr>
          <w:rStyle w:val="30"/>
          <w:rFonts w:ascii="Times New Roman" w:hAnsi="Times New Roman" w:eastAsia="楷体_GB2312" w:cs="Times New Roman"/>
          <w:bCs/>
          <w:sz w:val="28"/>
          <w:szCs w:val="28"/>
        </w:rPr>
        <w:t>第四节  提升旅游公共服务水平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_Toc62051663 \h </w:instrText>
      </w:r>
      <w:r>
        <w:rPr>
          <w:rFonts w:ascii="Times New Roman" w:hAnsi="Times New Roman" w:cs="Times New Roman"/>
          <w:sz w:val="28"/>
          <w:szCs w:val="28"/>
        </w:rPr>
        <w:fldChar w:fldCharType="separate"/>
      </w:r>
      <w:r>
        <w:rPr>
          <w:rFonts w:ascii="Times New Roman" w:hAnsi="Times New Roman" w:cs="Times New Roman"/>
          <w:sz w:val="28"/>
          <w:szCs w:val="28"/>
        </w:rPr>
        <w:t>164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"_Toc62051664" </w:instrText>
      </w:r>
      <w:r>
        <w:fldChar w:fldCharType="separate"/>
      </w:r>
      <w:r>
        <w:rPr>
          <w:rStyle w:val="30"/>
          <w:rFonts w:ascii="Times New Roman" w:hAnsi="Times New Roman" w:eastAsia="方正小标宋_GBK" w:cs="Times New Roman"/>
          <w:sz w:val="28"/>
          <w:szCs w:val="28"/>
        </w:rPr>
        <w:t>第九篇  着力建设社会平安的现代化新湖南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_Toc62051664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"_Toc62051665" </w:instrText>
      </w:r>
      <w:r>
        <w:fldChar w:fldCharType="separate"/>
      </w:r>
      <w:r>
        <w:rPr>
          <w:rStyle w:val="30"/>
          <w:rFonts w:ascii="Times New Roman" w:hAnsi="Times New Roman" w:eastAsia="黑体" w:cs="Times New Roman"/>
          <w:bCs/>
          <w:sz w:val="28"/>
          <w:szCs w:val="28"/>
        </w:rPr>
        <w:t>第三十二章  全面推进依法治理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_Toc62051665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"_Toc62051666" </w:instrText>
      </w:r>
      <w:r>
        <w:fldChar w:fldCharType="separate"/>
      </w:r>
      <w:r>
        <w:rPr>
          <w:rStyle w:val="30"/>
          <w:rFonts w:ascii="Times New Roman" w:hAnsi="Times New Roman" w:eastAsia="楷体_GB2312" w:cs="Times New Roman"/>
          <w:bCs/>
          <w:sz w:val="28"/>
          <w:szCs w:val="28"/>
        </w:rPr>
        <w:t>第一节  发展中国特色社会主义民主政治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_Toc62051666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"_Toc62051667" </w:instrText>
      </w:r>
      <w:r>
        <w:fldChar w:fldCharType="separate"/>
      </w:r>
      <w:r>
        <w:rPr>
          <w:rStyle w:val="30"/>
          <w:rFonts w:ascii="Times New Roman" w:hAnsi="Times New Roman" w:eastAsia="楷体_GB2312" w:cs="Times New Roman"/>
          <w:bCs/>
          <w:sz w:val="28"/>
          <w:szCs w:val="28"/>
        </w:rPr>
        <w:t>第二节  深化推进依法治省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_Toc62051667 \h </w:instrText>
      </w:r>
      <w:r>
        <w:rPr>
          <w:rFonts w:ascii="Times New Roman" w:hAnsi="Times New Roman" w:cs="Times New Roman"/>
          <w:sz w:val="28"/>
          <w:szCs w:val="28"/>
        </w:rPr>
        <w:fldChar w:fldCharType="separate"/>
      </w:r>
      <w:r>
        <w:rPr>
          <w:rFonts w:ascii="Times New Roman" w:hAnsi="Times New Roman" w:cs="Times New Roman"/>
          <w:sz w:val="28"/>
          <w:szCs w:val="28"/>
        </w:rPr>
        <w:t>166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"_Toc62051668" </w:instrText>
      </w:r>
      <w:r>
        <w:fldChar w:fldCharType="separate"/>
      </w:r>
      <w:r>
        <w:rPr>
          <w:rStyle w:val="30"/>
          <w:rFonts w:ascii="Times New Roman" w:hAnsi="Times New Roman" w:eastAsia="黑体" w:cs="Times New Roman"/>
          <w:bCs/>
          <w:sz w:val="28"/>
          <w:szCs w:val="28"/>
        </w:rPr>
        <w:t>第三十三章  全面加强社会治理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_Toc62051668 \h </w:instrText>
      </w:r>
      <w:r>
        <w:rPr>
          <w:rFonts w:ascii="Times New Roman" w:hAnsi="Times New Roman" w:cs="Times New Roman"/>
          <w:sz w:val="28"/>
          <w:szCs w:val="28"/>
        </w:rPr>
        <w:fldChar w:fldCharType="separate"/>
      </w:r>
      <w:r>
        <w:rPr>
          <w:rFonts w:ascii="Times New Roman" w:hAnsi="Times New Roman" w:cs="Times New Roman"/>
          <w:sz w:val="28"/>
          <w:szCs w:val="28"/>
        </w:rPr>
        <w:t>168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"_Toc62051669" </w:instrText>
      </w:r>
      <w:r>
        <w:fldChar w:fldCharType="separate"/>
      </w:r>
      <w:r>
        <w:rPr>
          <w:rStyle w:val="30"/>
          <w:rFonts w:ascii="Times New Roman" w:hAnsi="Times New Roman" w:eastAsia="楷体_GB2312" w:cs="Times New Roman"/>
          <w:bCs/>
          <w:sz w:val="28"/>
          <w:szCs w:val="28"/>
        </w:rPr>
        <w:t>第一节  发挥基层党建引领作用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_Toc62051669 \h </w:instrText>
      </w:r>
      <w:r>
        <w:rPr>
          <w:rFonts w:ascii="Times New Roman" w:hAnsi="Times New Roman" w:cs="Times New Roman"/>
          <w:sz w:val="28"/>
          <w:szCs w:val="28"/>
        </w:rPr>
        <w:fldChar w:fldCharType="separate"/>
      </w:r>
      <w:r>
        <w:rPr>
          <w:rFonts w:ascii="Times New Roman" w:hAnsi="Times New Roman" w:cs="Times New Roman"/>
          <w:sz w:val="28"/>
          <w:szCs w:val="28"/>
        </w:rPr>
        <w:t>169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"_Toc62051670" </w:instrText>
      </w:r>
      <w:r>
        <w:fldChar w:fldCharType="separate"/>
      </w:r>
      <w:r>
        <w:rPr>
          <w:rStyle w:val="30"/>
          <w:rFonts w:ascii="Times New Roman" w:hAnsi="Times New Roman" w:eastAsia="楷体_GB2312" w:cs="Times New Roman"/>
          <w:bCs/>
          <w:sz w:val="28"/>
          <w:szCs w:val="28"/>
        </w:rPr>
        <w:t>第二节  加强和完善基层治理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_Toc62051670 \h </w:instrText>
      </w:r>
      <w:r>
        <w:rPr>
          <w:rFonts w:ascii="Times New Roman" w:hAnsi="Times New Roman" w:cs="Times New Roman"/>
          <w:sz w:val="28"/>
          <w:szCs w:val="28"/>
        </w:rPr>
        <w:fldChar w:fldCharType="separate"/>
      </w:r>
      <w:r>
        <w:rPr>
          <w:rFonts w:ascii="Times New Roman" w:hAnsi="Times New Roman" w:cs="Times New Roman"/>
          <w:sz w:val="28"/>
          <w:szCs w:val="28"/>
        </w:rPr>
        <w:t>169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"_Toc62051671" </w:instrText>
      </w:r>
      <w:r>
        <w:fldChar w:fldCharType="separate"/>
      </w:r>
      <w:r>
        <w:rPr>
          <w:rStyle w:val="30"/>
          <w:rFonts w:ascii="Times New Roman" w:hAnsi="Times New Roman" w:eastAsia="楷体_GB2312" w:cs="Times New Roman"/>
          <w:bCs/>
          <w:sz w:val="28"/>
          <w:szCs w:val="28"/>
        </w:rPr>
        <w:t>第三节  多元化预防调处社会矛盾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_Toc62051671 \h </w:instrText>
      </w:r>
      <w:r>
        <w:rPr>
          <w:rFonts w:ascii="Times New Roman" w:hAnsi="Times New Roman" w:cs="Times New Roman"/>
          <w:sz w:val="28"/>
          <w:szCs w:val="28"/>
        </w:rPr>
        <w:fldChar w:fldCharType="separate"/>
      </w:r>
      <w:r>
        <w:rPr>
          <w:rFonts w:ascii="Times New Roman" w:hAnsi="Times New Roman" w:cs="Times New Roman"/>
          <w:sz w:val="28"/>
          <w:szCs w:val="28"/>
        </w:rPr>
        <w:t>170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"_Toc62051672" </w:instrText>
      </w:r>
      <w:r>
        <w:fldChar w:fldCharType="separate"/>
      </w:r>
      <w:r>
        <w:rPr>
          <w:rStyle w:val="30"/>
          <w:rFonts w:ascii="Times New Roman" w:hAnsi="Times New Roman" w:eastAsia="楷体_GB2312" w:cs="Times New Roman"/>
          <w:bCs/>
          <w:sz w:val="28"/>
          <w:szCs w:val="28"/>
        </w:rPr>
        <w:t>第四节  加强社会协同参与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_Toc62051672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"_Toc62051673" </w:instrText>
      </w:r>
      <w:r>
        <w:fldChar w:fldCharType="separate"/>
      </w:r>
      <w:r>
        <w:rPr>
          <w:rStyle w:val="30"/>
          <w:rFonts w:ascii="Times New Roman" w:hAnsi="Times New Roman" w:eastAsia="黑体" w:cs="Times New Roman"/>
          <w:bCs/>
          <w:sz w:val="28"/>
          <w:szCs w:val="28"/>
        </w:rPr>
        <w:t>第三十四章  全面保障安全稳定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_Toc62051673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"_Toc62051674" </w:instrText>
      </w:r>
      <w:r>
        <w:fldChar w:fldCharType="separate"/>
      </w:r>
      <w:r>
        <w:rPr>
          <w:rStyle w:val="30"/>
          <w:rFonts w:ascii="Times New Roman" w:hAnsi="Times New Roman" w:eastAsia="楷体_GB2312" w:cs="Times New Roman"/>
          <w:sz w:val="28"/>
          <w:szCs w:val="28"/>
        </w:rPr>
        <w:t>第一节  坚决捍卫国家安全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_Toc62051674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"_Toc62051675" </w:instrText>
      </w:r>
      <w:r>
        <w:fldChar w:fldCharType="separate"/>
      </w:r>
      <w:r>
        <w:rPr>
          <w:rStyle w:val="30"/>
          <w:rFonts w:ascii="Times New Roman" w:hAnsi="Times New Roman" w:eastAsia="楷体_GB2312" w:cs="Times New Roman"/>
          <w:sz w:val="28"/>
          <w:szCs w:val="28"/>
        </w:rPr>
        <w:t>第二节  全面保障经济安全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_Toc62051675 \h </w:instrText>
      </w:r>
      <w:r>
        <w:rPr>
          <w:rFonts w:ascii="Times New Roman" w:hAnsi="Times New Roman" w:cs="Times New Roman"/>
          <w:sz w:val="28"/>
          <w:szCs w:val="28"/>
        </w:rPr>
        <w:fldChar w:fldCharType="separate"/>
      </w:r>
      <w:r>
        <w:rPr>
          <w:rFonts w:ascii="Times New Roman" w:hAnsi="Times New Roman" w:cs="Times New Roman"/>
          <w:sz w:val="28"/>
          <w:szCs w:val="28"/>
        </w:rPr>
        <w:t>173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"_Toc62051676" </w:instrText>
      </w:r>
      <w:r>
        <w:fldChar w:fldCharType="separate"/>
      </w:r>
      <w:r>
        <w:rPr>
          <w:rStyle w:val="30"/>
          <w:rFonts w:ascii="Times New Roman" w:hAnsi="Times New Roman" w:eastAsia="楷体_GB2312" w:cs="Times New Roman"/>
          <w:sz w:val="28"/>
          <w:szCs w:val="28"/>
        </w:rPr>
        <w:t>第三节  维护社会安定保障人民安宁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_Toc62051676 \h </w:instrText>
      </w:r>
      <w:r>
        <w:rPr>
          <w:rFonts w:ascii="Times New Roman" w:hAnsi="Times New Roman" w:cs="Times New Roman"/>
          <w:sz w:val="28"/>
          <w:szCs w:val="28"/>
        </w:rPr>
        <w:fldChar w:fldCharType="separate"/>
      </w:r>
      <w:r>
        <w:rPr>
          <w:rFonts w:ascii="Times New Roman" w:hAnsi="Times New Roman" w:cs="Times New Roman"/>
          <w:sz w:val="28"/>
          <w:szCs w:val="28"/>
        </w:rPr>
        <w:t>173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"_Toc62051677" </w:instrText>
      </w:r>
      <w:r>
        <w:fldChar w:fldCharType="separate"/>
      </w:r>
      <w:r>
        <w:rPr>
          <w:rStyle w:val="30"/>
          <w:rFonts w:ascii="Times New Roman" w:hAnsi="Times New Roman" w:eastAsia="楷体_GB2312" w:cs="Times New Roman"/>
          <w:bCs/>
          <w:sz w:val="28"/>
          <w:szCs w:val="28"/>
        </w:rPr>
        <w:t>第四节  建立安全生产长效机制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_Toc62051677 \h </w:instrText>
      </w:r>
      <w:r>
        <w:rPr>
          <w:rFonts w:ascii="Times New Roman" w:hAnsi="Times New Roman" w:cs="Times New Roman"/>
          <w:sz w:val="28"/>
          <w:szCs w:val="28"/>
        </w:rPr>
        <w:fldChar w:fldCharType="separate"/>
      </w:r>
      <w:r>
        <w:rPr>
          <w:rFonts w:ascii="Times New Roman" w:hAnsi="Times New Roman" w:cs="Times New Roman"/>
          <w:sz w:val="28"/>
          <w:szCs w:val="28"/>
        </w:rPr>
        <w:t>174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"_Toc62051678" </w:instrText>
      </w:r>
      <w:r>
        <w:fldChar w:fldCharType="separate"/>
      </w:r>
      <w:r>
        <w:rPr>
          <w:rStyle w:val="30"/>
          <w:rFonts w:ascii="Times New Roman" w:hAnsi="Times New Roman" w:eastAsia="楷体_GB2312" w:cs="Times New Roman"/>
          <w:sz w:val="28"/>
          <w:szCs w:val="28"/>
        </w:rPr>
        <w:t>第五节  切实保障食品药品安全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_Toc62051678 \h </w:instrText>
      </w:r>
      <w:r>
        <w:rPr>
          <w:rFonts w:ascii="Times New Roman" w:hAnsi="Times New Roman" w:cs="Times New Roman"/>
          <w:sz w:val="28"/>
          <w:szCs w:val="28"/>
        </w:rPr>
        <w:fldChar w:fldCharType="separate"/>
      </w:r>
      <w:r>
        <w:rPr>
          <w:rFonts w:ascii="Times New Roman" w:hAnsi="Times New Roman" w:cs="Times New Roman"/>
          <w:sz w:val="28"/>
          <w:szCs w:val="28"/>
        </w:rPr>
        <w:t>175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"_Toc62051679" </w:instrText>
      </w:r>
      <w:r>
        <w:fldChar w:fldCharType="separate"/>
      </w:r>
      <w:r>
        <w:rPr>
          <w:rStyle w:val="30"/>
          <w:rFonts w:ascii="Times New Roman" w:hAnsi="Times New Roman" w:eastAsia="黑体" w:cs="Times New Roman"/>
          <w:bCs/>
          <w:sz w:val="28"/>
          <w:szCs w:val="28"/>
        </w:rPr>
        <w:t>第三十五章  全面提升应急处置能力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_Toc62051679 \h </w:instrText>
      </w:r>
      <w:r>
        <w:rPr>
          <w:rFonts w:ascii="Times New Roman" w:hAnsi="Times New Roman" w:cs="Times New Roman"/>
          <w:sz w:val="28"/>
          <w:szCs w:val="28"/>
        </w:rPr>
        <w:fldChar w:fldCharType="separate"/>
      </w:r>
      <w:r>
        <w:rPr>
          <w:rFonts w:ascii="Times New Roman" w:hAnsi="Times New Roman" w:cs="Times New Roman"/>
          <w:sz w:val="28"/>
          <w:szCs w:val="28"/>
        </w:rPr>
        <w:t>176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"_Toc62051680" </w:instrText>
      </w:r>
      <w:r>
        <w:fldChar w:fldCharType="separate"/>
      </w:r>
      <w:r>
        <w:rPr>
          <w:rStyle w:val="30"/>
          <w:rFonts w:ascii="Times New Roman" w:hAnsi="Times New Roman" w:eastAsia="楷体_GB2312" w:cs="Times New Roman"/>
          <w:bCs/>
          <w:sz w:val="28"/>
          <w:szCs w:val="28"/>
        </w:rPr>
        <w:t>第一节  加强公共卫生应急管理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_Toc62051680 \h </w:instrText>
      </w:r>
      <w:r>
        <w:rPr>
          <w:rFonts w:ascii="Times New Roman" w:hAnsi="Times New Roman" w:cs="Times New Roman"/>
          <w:sz w:val="28"/>
          <w:szCs w:val="28"/>
        </w:rPr>
        <w:fldChar w:fldCharType="separate"/>
      </w:r>
      <w:r>
        <w:rPr>
          <w:rFonts w:ascii="Times New Roman" w:hAnsi="Times New Roman" w:cs="Times New Roman"/>
          <w:sz w:val="28"/>
          <w:szCs w:val="28"/>
        </w:rPr>
        <w:t>177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"_Toc62051681" </w:instrText>
      </w:r>
      <w:r>
        <w:fldChar w:fldCharType="separate"/>
      </w:r>
      <w:r>
        <w:rPr>
          <w:rStyle w:val="30"/>
          <w:rFonts w:ascii="Times New Roman" w:hAnsi="Times New Roman" w:eastAsia="楷体_GB2312" w:cs="Times New Roman"/>
          <w:bCs/>
          <w:sz w:val="28"/>
          <w:szCs w:val="28"/>
        </w:rPr>
        <w:t>第二节  增强识灾防灾减灾能力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_Toc62051681 \h </w:instrText>
      </w:r>
      <w:r>
        <w:rPr>
          <w:rFonts w:ascii="Times New Roman" w:hAnsi="Times New Roman" w:cs="Times New Roman"/>
          <w:sz w:val="28"/>
          <w:szCs w:val="28"/>
        </w:rPr>
        <w:fldChar w:fldCharType="separate"/>
      </w:r>
      <w:r>
        <w:rPr>
          <w:rFonts w:ascii="Times New Roman" w:hAnsi="Times New Roman" w:cs="Times New Roman"/>
          <w:sz w:val="28"/>
          <w:szCs w:val="28"/>
        </w:rPr>
        <w:t>178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"_Toc62051682" </w:instrText>
      </w:r>
      <w:r>
        <w:fldChar w:fldCharType="separate"/>
      </w:r>
      <w:r>
        <w:rPr>
          <w:rStyle w:val="30"/>
          <w:rFonts w:ascii="Times New Roman" w:hAnsi="Times New Roman" w:eastAsia="楷体_GB2312" w:cs="Times New Roman"/>
          <w:bCs/>
          <w:sz w:val="28"/>
          <w:szCs w:val="28"/>
        </w:rPr>
        <w:t>第三节  提升应急救援能力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_Toc62051682 \h </w:instrText>
      </w:r>
      <w:r>
        <w:rPr>
          <w:rFonts w:ascii="Times New Roman" w:hAnsi="Times New Roman" w:cs="Times New Roman"/>
          <w:sz w:val="28"/>
          <w:szCs w:val="28"/>
        </w:rPr>
        <w:fldChar w:fldCharType="separate"/>
      </w:r>
      <w:r>
        <w:rPr>
          <w:rFonts w:ascii="Times New Roman" w:hAnsi="Times New Roman" w:cs="Times New Roman"/>
          <w:sz w:val="28"/>
          <w:szCs w:val="28"/>
        </w:rPr>
        <w:t>178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"_Toc62051683" </w:instrText>
      </w:r>
      <w:r>
        <w:fldChar w:fldCharType="separate"/>
      </w:r>
      <w:r>
        <w:rPr>
          <w:rStyle w:val="30"/>
          <w:rFonts w:ascii="Times New Roman" w:hAnsi="Times New Roman" w:eastAsia="方正小标宋_GBK" w:cs="Times New Roman"/>
          <w:sz w:val="28"/>
          <w:szCs w:val="28"/>
        </w:rPr>
        <w:t>第十篇  强化现代化新湖南建设实施保障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_Toc62051683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"_Toc62051684" </w:instrText>
      </w:r>
      <w:r>
        <w:fldChar w:fldCharType="separate"/>
      </w:r>
      <w:r>
        <w:rPr>
          <w:rStyle w:val="30"/>
          <w:rFonts w:ascii="Times New Roman" w:hAnsi="Times New Roman" w:eastAsia="黑体" w:cs="Times New Roman"/>
          <w:bCs/>
          <w:sz w:val="28"/>
          <w:szCs w:val="28"/>
        </w:rPr>
        <w:t>第三十六章  凝聚实施合力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_Toc62051684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"_Toc62051685" </w:instrText>
      </w:r>
      <w:r>
        <w:fldChar w:fldCharType="separate"/>
      </w:r>
      <w:r>
        <w:rPr>
          <w:rStyle w:val="30"/>
          <w:rFonts w:ascii="Times New Roman" w:hAnsi="Times New Roman" w:eastAsia="楷体_GB2312" w:cs="Times New Roman"/>
          <w:bCs/>
          <w:sz w:val="28"/>
          <w:szCs w:val="28"/>
        </w:rPr>
        <w:t>第一节  坚持党的全面领导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_Toc62051685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"_Toc62051686" </w:instrText>
      </w:r>
      <w:r>
        <w:fldChar w:fldCharType="separate"/>
      </w:r>
      <w:r>
        <w:rPr>
          <w:rStyle w:val="30"/>
          <w:rFonts w:ascii="Times New Roman" w:hAnsi="Times New Roman" w:eastAsia="楷体_GB2312" w:cs="Times New Roman"/>
          <w:bCs/>
          <w:sz w:val="28"/>
          <w:szCs w:val="28"/>
        </w:rPr>
        <w:t>第二节  推进建设清廉湖南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_Toc62051686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"_Toc62051687" </w:instrText>
      </w:r>
      <w:r>
        <w:fldChar w:fldCharType="separate"/>
      </w:r>
      <w:r>
        <w:rPr>
          <w:rStyle w:val="30"/>
          <w:rFonts w:ascii="Times New Roman" w:hAnsi="Times New Roman" w:eastAsia="楷体_GB2312" w:cs="Times New Roman"/>
          <w:bCs/>
          <w:sz w:val="28"/>
          <w:szCs w:val="28"/>
        </w:rPr>
        <w:t>第三节  切实履行政府职责</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_Toc62051687 \h </w:instrText>
      </w:r>
      <w:r>
        <w:rPr>
          <w:rFonts w:ascii="Times New Roman" w:hAnsi="Times New Roman" w:cs="Times New Roman"/>
          <w:sz w:val="28"/>
          <w:szCs w:val="28"/>
        </w:rPr>
        <w:fldChar w:fldCharType="separate"/>
      </w:r>
      <w:r>
        <w:rPr>
          <w:rFonts w:ascii="Times New Roman" w:hAnsi="Times New Roman" w:cs="Times New Roman"/>
          <w:sz w:val="28"/>
          <w:szCs w:val="28"/>
        </w:rPr>
        <w:t>181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"_Toc62051688" </w:instrText>
      </w:r>
      <w:r>
        <w:fldChar w:fldCharType="separate"/>
      </w:r>
      <w:r>
        <w:rPr>
          <w:rStyle w:val="30"/>
          <w:rFonts w:ascii="Times New Roman" w:hAnsi="Times New Roman" w:eastAsia="楷体_GB2312" w:cs="Times New Roman"/>
          <w:bCs/>
          <w:sz w:val="28"/>
          <w:szCs w:val="28"/>
        </w:rPr>
        <w:t>第四节  充分发挥各方力量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_Toc62051688 \h </w:instrText>
      </w:r>
      <w:r>
        <w:rPr>
          <w:rFonts w:ascii="Times New Roman" w:hAnsi="Times New Roman" w:cs="Times New Roman"/>
          <w:sz w:val="28"/>
          <w:szCs w:val="28"/>
        </w:rPr>
        <w:fldChar w:fldCharType="separate"/>
      </w:r>
      <w:r>
        <w:rPr>
          <w:rFonts w:ascii="Times New Roman" w:hAnsi="Times New Roman" w:cs="Times New Roman"/>
          <w:sz w:val="28"/>
          <w:szCs w:val="28"/>
        </w:rPr>
        <w:t>181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"_Toc62051689" </w:instrText>
      </w:r>
      <w:r>
        <w:fldChar w:fldCharType="separate"/>
      </w:r>
      <w:r>
        <w:rPr>
          <w:rStyle w:val="30"/>
          <w:rFonts w:ascii="Times New Roman" w:hAnsi="Times New Roman" w:eastAsia="楷体_GB2312" w:cs="Times New Roman"/>
          <w:bCs/>
          <w:sz w:val="28"/>
          <w:szCs w:val="28"/>
        </w:rPr>
        <w:t>第五节  强化人才支撑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_Toc62051689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"_Toc62051690" </w:instrText>
      </w:r>
      <w:r>
        <w:fldChar w:fldCharType="separate"/>
      </w:r>
      <w:r>
        <w:rPr>
          <w:rStyle w:val="30"/>
          <w:rFonts w:ascii="Times New Roman" w:hAnsi="Times New Roman" w:eastAsia="黑体" w:cs="Times New Roman"/>
          <w:bCs/>
          <w:sz w:val="28"/>
          <w:szCs w:val="28"/>
        </w:rPr>
        <w:t>第三十七章  加强规划统领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_Toc62051690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"_Toc62051691" </w:instrText>
      </w:r>
      <w:r>
        <w:fldChar w:fldCharType="separate"/>
      </w:r>
      <w:r>
        <w:rPr>
          <w:rStyle w:val="30"/>
          <w:rFonts w:ascii="Times New Roman" w:hAnsi="Times New Roman" w:eastAsia="楷体_GB2312" w:cs="Times New Roman"/>
          <w:bCs/>
          <w:sz w:val="28"/>
          <w:szCs w:val="28"/>
        </w:rPr>
        <w:t>第一节  建立统一规划体系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_Toc62051691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"_Toc62051692" </w:instrText>
      </w:r>
      <w:r>
        <w:fldChar w:fldCharType="separate"/>
      </w:r>
      <w:r>
        <w:rPr>
          <w:rStyle w:val="30"/>
          <w:rFonts w:ascii="Times New Roman" w:hAnsi="Times New Roman" w:eastAsia="楷体_GB2312" w:cs="Times New Roman"/>
          <w:bCs/>
          <w:sz w:val="28"/>
          <w:szCs w:val="28"/>
        </w:rPr>
        <w:t>第二节  强化规划实施保障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_Toc62051692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"_Toc62051693" </w:instrText>
      </w:r>
      <w:r>
        <w:fldChar w:fldCharType="separate"/>
      </w:r>
      <w:r>
        <w:rPr>
          <w:rStyle w:val="30"/>
          <w:rFonts w:ascii="Times New Roman" w:hAnsi="Times New Roman" w:eastAsia="黑体" w:cs="Times New Roman"/>
          <w:bCs/>
          <w:sz w:val="28"/>
          <w:szCs w:val="28"/>
        </w:rPr>
        <w:t>第三十八章  加强项目支撑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_Toc62051693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"_Toc62051694" </w:instrText>
      </w:r>
      <w:r>
        <w:fldChar w:fldCharType="separate"/>
      </w:r>
      <w:r>
        <w:rPr>
          <w:rStyle w:val="30"/>
          <w:rFonts w:ascii="Times New Roman" w:hAnsi="Times New Roman" w:eastAsia="楷体_GB2312" w:cs="Times New Roman"/>
          <w:bCs/>
          <w:sz w:val="28"/>
          <w:szCs w:val="28"/>
        </w:rPr>
        <w:t>第一节  谋划储备重大项目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_Toc62051694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"_Toc62051695" </w:instrText>
      </w:r>
      <w:r>
        <w:fldChar w:fldCharType="separate"/>
      </w:r>
      <w:r>
        <w:rPr>
          <w:rStyle w:val="30"/>
          <w:rFonts w:ascii="Times New Roman" w:hAnsi="Times New Roman" w:eastAsia="楷体_GB2312" w:cs="Times New Roman"/>
          <w:bCs/>
          <w:sz w:val="28"/>
          <w:szCs w:val="28"/>
        </w:rPr>
        <w:t>第二节  推进重大项目前期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_Toc62051695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"_Toc62051696" </w:instrText>
      </w:r>
      <w:r>
        <w:fldChar w:fldCharType="separate"/>
      </w:r>
      <w:r>
        <w:rPr>
          <w:rStyle w:val="30"/>
          <w:rFonts w:ascii="Times New Roman" w:hAnsi="Times New Roman" w:eastAsia="楷体_GB2312" w:cs="Times New Roman"/>
          <w:bCs/>
          <w:sz w:val="28"/>
          <w:szCs w:val="28"/>
        </w:rPr>
        <w:t>第三节  推动重大项目实施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_Toc62051696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"_Toc62051697" </w:instrText>
      </w:r>
      <w:r>
        <w:fldChar w:fldCharType="separate"/>
      </w:r>
      <w:r>
        <w:rPr>
          <w:rStyle w:val="30"/>
          <w:rFonts w:ascii="Times New Roman" w:hAnsi="Times New Roman" w:eastAsia="黑体" w:cs="Times New Roman"/>
          <w:bCs/>
          <w:sz w:val="28"/>
          <w:szCs w:val="28"/>
        </w:rPr>
        <w:t>第三十九章  加强评估考核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_Toc62051697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"_Toc62051698" </w:instrText>
      </w:r>
      <w:r>
        <w:fldChar w:fldCharType="separate"/>
      </w:r>
      <w:r>
        <w:rPr>
          <w:rStyle w:val="30"/>
          <w:rFonts w:ascii="Times New Roman" w:hAnsi="Times New Roman" w:eastAsia="楷体_GB2312" w:cs="Times New Roman"/>
          <w:bCs/>
          <w:sz w:val="28"/>
          <w:szCs w:val="28"/>
        </w:rPr>
        <w:t>第一节  明确规划实施责任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_Toc62051698 \h </w:instrText>
      </w:r>
      <w:r>
        <w:rPr>
          <w:rFonts w:ascii="Times New Roman" w:hAnsi="Times New Roman" w:cs="Times New Roman"/>
          <w:sz w:val="28"/>
          <w:szCs w:val="28"/>
        </w:rPr>
        <w:fldChar w:fldCharType="separate"/>
      </w:r>
      <w:r>
        <w:rPr>
          <w:rFonts w:ascii="Times New Roman" w:hAnsi="Times New Roman" w:cs="Times New Roman"/>
          <w:sz w:val="28"/>
          <w:szCs w:val="28"/>
        </w:rPr>
        <w:t>185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rPr>
      </w:pPr>
      <w:r>
        <w:fldChar w:fldCharType="begin"/>
      </w:r>
      <w:r>
        <w:instrText xml:space="preserve"> HYPERLINK \l "_Toc62051699" </w:instrText>
      </w:r>
      <w:r>
        <w:fldChar w:fldCharType="separate"/>
      </w:r>
      <w:r>
        <w:rPr>
          <w:rStyle w:val="30"/>
          <w:rFonts w:ascii="Times New Roman" w:hAnsi="Times New Roman" w:eastAsia="楷体_GB2312" w:cs="Times New Roman"/>
          <w:bCs/>
          <w:sz w:val="28"/>
          <w:szCs w:val="28"/>
        </w:rPr>
        <w:t>第二节  强化实施监督评估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_Toc62051699 \h </w:instrText>
      </w:r>
      <w:r>
        <w:rPr>
          <w:rFonts w:ascii="Times New Roman" w:hAnsi="Times New Roman" w:cs="Times New Roman"/>
          <w:sz w:val="28"/>
          <w:szCs w:val="28"/>
        </w:rPr>
        <w:fldChar w:fldCharType="separate"/>
      </w:r>
      <w:r>
        <w:rPr>
          <w:rFonts w:ascii="Times New Roman" w:hAnsi="Times New Roman" w:cs="Times New Roman"/>
          <w:sz w:val="28"/>
          <w:szCs w:val="28"/>
        </w:rPr>
        <w:t>185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spacing w:line="480" w:lineRule="exact"/>
        <w:jc w:val="center"/>
        <w:rPr>
          <w:rFonts w:ascii="Times New Roman" w:hAnsi="Times New Roman" w:eastAsia="方正小标宋_GBK" w:cs="Times New Roman"/>
          <w:color w:val="000000" w:themeColor="text1"/>
          <w:sz w:val="28"/>
          <w:szCs w:val="28"/>
          <w14:textFill>
            <w14:solidFill>
              <w14:schemeClr w14:val="tx1"/>
            </w14:solidFill>
          </w14:textFill>
        </w:rPr>
        <w:sectPr>
          <w:footerReference r:id="rId8" w:type="default"/>
          <w:footerReference r:id="rId9" w:type="even"/>
          <w:pgSz w:w="11906" w:h="16838"/>
          <w:pgMar w:top="1871" w:right="1531" w:bottom="1531" w:left="1588" w:header="851" w:footer="1304" w:gutter="0"/>
          <w:pgNumType w:start="1"/>
          <w:cols w:space="425" w:num="1"/>
          <w:docGrid w:type="lines" w:linePitch="312" w:charSpace="0"/>
        </w:sectPr>
      </w:pPr>
      <w:r>
        <w:rPr>
          <w:rFonts w:ascii="Times New Roman" w:hAnsi="Times New Roman" w:eastAsia="方正小标宋_GBK" w:cs="Times New Roman"/>
          <w:color w:val="000000" w:themeColor="text1"/>
          <w:sz w:val="28"/>
          <w:szCs w:val="28"/>
          <w14:textFill>
            <w14:solidFill>
              <w14:schemeClr w14:val="tx1"/>
            </w14:solidFill>
          </w14:textFill>
        </w:rPr>
        <w:fldChar w:fldCharType="end"/>
      </w:r>
    </w:p>
    <w:p>
      <w:pPr>
        <w:spacing w:line="616" w:lineRule="exact"/>
        <w:jc w:val="center"/>
        <w:rPr>
          <w:rFonts w:ascii="Times New Roman" w:hAnsi="Times New Roman" w:eastAsia="方正小标宋_GBK" w:cs="Times New Roman"/>
          <w:color w:val="000000" w:themeColor="text1"/>
          <w:sz w:val="28"/>
          <w:szCs w:val="28"/>
          <w14:textFill>
            <w14:solidFill>
              <w14:schemeClr w14:val="tx1"/>
            </w14:solidFill>
          </w14:textFill>
        </w:rPr>
      </w:pPr>
    </w:p>
    <w:p>
      <w:pPr>
        <w:spacing w:line="616"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湖南省国民经济和社会发展第十四个</w:t>
      </w:r>
    </w:p>
    <w:p>
      <w:pPr>
        <w:spacing w:line="616"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五年规划和</w:t>
      </w:r>
      <w:r>
        <w:rPr>
          <w:rFonts w:ascii="Times New Roman" w:hAnsi="Times New Roman" w:eastAsia="方正小标宋_GBK" w:cs="Times New Roman"/>
          <w:color w:val="000000" w:themeColor="text1"/>
          <w:sz w:val="42"/>
          <w:szCs w:val="42"/>
          <w14:textFill>
            <w14:solidFill>
              <w14:schemeClr w14:val="tx1"/>
            </w14:solidFill>
          </w14:textFill>
        </w:rPr>
        <w:t>二〇三五年远景目标</w:t>
      </w:r>
      <w:r>
        <w:rPr>
          <w:rFonts w:ascii="Times New Roman" w:hAnsi="Times New Roman" w:eastAsia="方正小标宋_GBK" w:cs="Times New Roman"/>
          <w:color w:val="000000" w:themeColor="text1"/>
          <w:sz w:val="44"/>
          <w:szCs w:val="44"/>
          <w14:textFill>
            <w14:solidFill>
              <w14:schemeClr w14:val="tx1"/>
            </w14:solidFill>
          </w14:textFill>
        </w:rPr>
        <w:t>纲要</w:t>
      </w:r>
    </w:p>
    <w:p>
      <w:pPr>
        <w:spacing w:before="447" w:beforeLines="100" w:line="616" w:lineRule="exact"/>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pacing w:val="-8"/>
          <w:sz w:val="32"/>
          <w:szCs w:val="32"/>
          <w14:textFill>
            <w14:solidFill>
              <w14:schemeClr w14:val="tx1"/>
            </w14:solidFill>
          </w14:textFill>
        </w:rPr>
        <w:t>（</w:t>
      </w:r>
      <w:r>
        <w:rPr>
          <w:rFonts w:hint="eastAsia" w:ascii="Times New Roman" w:hAnsi="Times New Roman" w:eastAsia="楷体_GB2312" w:cs="Times New Roman"/>
          <w:color w:val="000000" w:themeColor="text1"/>
          <w:spacing w:val="-8"/>
          <w:sz w:val="32"/>
          <w:szCs w:val="32"/>
          <w14:textFill>
            <w14:solidFill>
              <w14:schemeClr w14:val="tx1"/>
            </w14:solidFill>
          </w14:textFill>
        </w:rPr>
        <w:t>2021年1月29日湖南省第十三届人民代表大会第四次会议批准</w:t>
      </w:r>
      <w:r>
        <w:rPr>
          <w:rFonts w:ascii="Times New Roman" w:hAnsi="Times New Roman" w:eastAsia="楷体_GB2312" w:cs="Times New Roman"/>
          <w:color w:val="000000" w:themeColor="text1"/>
          <w:spacing w:val="-8"/>
          <w:sz w:val="32"/>
          <w:szCs w:val="32"/>
          <w14:textFill>
            <w14:solidFill>
              <w14:schemeClr w14:val="tx1"/>
            </w14:solidFill>
          </w14:textFill>
        </w:rPr>
        <w:t>）</w:t>
      </w:r>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spacing w:line="616" w:lineRule="exact"/>
        <w:ind w:firstLine="632"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湖南省国民经济和社会发展第十四个五年（2021-2025年）规划和二</w:t>
      </w:r>
      <w:r>
        <w:rPr>
          <w:rFonts w:ascii="Times New Roman" w:hAnsi="Times New Roman" w:eastAsia="宋体" w:cs="Times New Roman"/>
          <w:color w:val="000000" w:themeColor="text1"/>
          <w:spacing w:val="-2"/>
          <w:sz w:val="32"/>
          <w:szCs w:val="32"/>
          <w14:textFill>
            <w14:solidFill>
              <w14:schemeClr w14:val="tx1"/>
            </w14:solidFill>
          </w14:textFill>
        </w:rPr>
        <w:t>〇</w:t>
      </w:r>
      <w:r>
        <w:rPr>
          <w:rFonts w:ascii="Times New Roman" w:hAnsi="Times New Roman" w:eastAsia="仿宋_GB2312" w:cs="Times New Roman"/>
          <w:color w:val="000000" w:themeColor="text1"/>
          <w:spacing w:val="-2"/>
          <w:sz w:val="32"/>
          <w:szCs w:val="32"/>
          <w14:textFill>
            <w14:solidFill>
              <w14:schemeClr w14:val="tx1"/>
            </w14:solidFill>
          </w14:textFill>
        </w:rPr>
        <w:t>三五年远景目标纲要，根据《中共湖南省委关于制定湖南省国民经济和社会发展第十四个五年规划和二</w:t>
      </w:r>
      <w:r>
        <w:rPr>
          <w:rFonts w:ascii="Times New Roman" w:hAnsi="Times New Roman" w:eastAsia="宋体" w:cs="Times New Roman"/>
          <w:color w:val="000000" w:themeColor="text1"/>
          <w:spacing w:val="-2"/>
          <w:sz w:val="32"/>
          <w:szCs w:val="32"/>
          <w14:textFill>
            <w14:solidFill>
              <w14:schemeClr w14:val="tx1"/>
            </w14:solidFill>
          </w14:textFill>
        </w:rPr>
        <w:t>〇</w:t>
      </w:r>
      <w:r>
        <w:rPr>
          <w:rFonts w:ascii="Times New Roman" w:hAnsi="Times New Roman" w:eastAsia="仿宋_GB2312" w:cs="Times New Roman"/>
          <w:color w:val="000000" w:themeColor="text1"/>
          <w:spacing w:val="-2"/>
          <w:sz w:val="32"/>
          <w:szCs w:val="32"/>
          <w14:textFill>
            <w14:solidFill>
              <w14:schemeClr w14:val="tx1"/>
            </w14:solidFill>
          </w14:textFill>
        </w:rPr>
        <w:t>三五年远景目标的建议》编制，主要阐明全省战略意图，明确经济社会发展宏伟目标、主要任务和重大举措，是市场主体的行为导向，是政府履职的重要依据，是全省人民共同奋斗的行动纲领</w:t>
      </w:r>
      <w:r>
        <w:rPr>
          <w:rFonts w:ascii="Times New Roman" w:hAnsi="Times New Roman" w:eastAsia="仿宋_GB2312" w:cs="Times New Roman"/>
          <w:color w:val="000000" w:themeColor="text1"/>
          <w:sz w:val="32"/>
          <w:szCs w:val="32"/>
          <w14:textFill>
            <w14:solidFill>
              <w14:schemeClr w14:val="tx1"/>
            </w14:solidFill>
          </w14:textFill>
        </w:rPr>
        <w:t>。</w:t>
      </w:r>
    </w:p>
    <w:p>
      <w:pPr>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after="447" w:afterLines="100" w:line="560"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 w:name="_Toc62051523"/>
      <w:r>
        <w:rPr>
          <w:rFonts w:ascii="Times New Roman" w:hAnsi="Times New Roman" w:eastAsia="方正小标宋_GBK" w:cs="Times New Roman"/>
          <w:color w:val="000000" w:themeColor="text1"/>
          <w:sz w:val="32"/>
          <w:szCs w:val="32"/>
          <w14:textFill>
            <w14:solidFill>
              <w14:schemeClr w14:val="tx1"/>
            </w14:solidFill>
          </w14:textFill>
        </w:rPr>
        <w:t>第一篇  开启现代化新湖南建设新征程</w:t>
      </w:r>
      <w:bookmarkEnd w:id="1"/>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四五”时期是全面建成小康社会、实现第一个百年奋斗目标之后，乘势而上开启全面建设社会主义现代化新征程、向第二个百年奋斗目标进军的第一个五年。必须准确把握新发展阶段，深入贯彻新发展理念，加快构建新发展格局，全面推动湖南高质量发展，确保现代化新湖南建设取得良好开局。</w:t>
      </w:r>
    </w:p>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2" w:name="_Toc62051524"/>
      <w:r>
        <w:rPr>
          <w:rFonts w:ascii="Times New Roman" w:hAnsi="Times New Roman" w:eastAsia="黑体" w:cs="Times New Roman"/>
          <w:color w:val="000000" w:themeColor="text1"/>
          <w:sz w:val="32"/>
          <w:szCs w:val="32"/>
          <w14:textFill>
            <w14:solidFill>
              <w14:schemeClr w14:val="tx1"/>
            </w14:solidFill>
          </w14:textFill>
        </w:rPr>
        <w:t>第一章  历史跨越</w:t>
      </w:r>
      <w:bookmarkEnd w:id="2"/>
    </w:p>
    <w:p>
      <w:pPr>
        <w:spacing w:line="568"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三五”期间，在以习近平同志为核心的党中央坚强领导下，省委、省人民政府团结带领全省人民，沉着应对国内外各种风险挑战，攻坚克难、砥砺奋进，集中力量解决了许多难题，办成了许多大事，推动全省经济社会发展取得了全方位历史性成就，发生了深层次结构性转变，综合实力大幅提升，决胜全面建成小康社会取得决定性成就，高质量发展打下坚实基础。</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1.经济实力再上新台阶。</w:t>
      </w:r>
      <w:r>
        <w:rPr>
          <w:rFonts w:ascii="Times New Roman" w:hAnsi="Times New Roman" w:eastAsia="仿宋_GB2312" w:cs="Times New Roman"/>
          <w:color w:val="000000" w:themeColor="text1"/>
          <w:sz w:val="32"/>
          <w:szCs w:val="32"/>
          <w14:textFill>
            <w14:solidFill>
              <w14:schemeClr w14:val="tx1"/>
            </w14:solidFill>
          </w14:textFill>
        </w:rPr>
        <w:t>2020年全省地区生产总值达到4.18万亿元；地方一般公共预算收入</w:t>
      </w:r>
      <w:r>
        <w:rPr>
          <w:rFonts w:hint="eastAsia" w:ascii="Times New Roman" w:hAnsi="Times New Roman" w:eastAsia="仿宋_GB2312" w:cs="Times New Roman"/>
          <w:color w:val="000000" w:themeColor="text1"/>
          <w:sz w:val="32"/>
          <w:szCs w:val="32"/>
          <w14:textFill>
            <w14:solidFill>
              <w14:schemeClr w14:val="tx1"/>
            </w14:solidFill>
          </w14:textFill>
        </w:rPr>
        <w:t>3008.7</w:t>
      </w:r>
      <w:r>
        <w:rPr>
          <w:rFonts w:ascii="Times New Roman" w:hAnsi="Times New Roman" w:eastAsia="仿宋_GB2312" w:cs="Times New Roman"/>
          <w:color w:val="000000" w:themeColor="text1"/>
          <w:sz w:val="32"/>
          <w:szCs w:val="32"/>
          <w14:textFill>
            <w14:solidFill>
              <w14:schemeClr w14:val="tx1"/>
            </w14:solidFill>
          </w14:textFill>
        </w:rPr>
        <w:t>亿元，税收占比接近70%。经济结构进一步优化，农业优势特色产业加快发展，工业主导地位更加突出，形成了3个万亿、14个千亿产业，服务业成为拉动经济发展的重要力量。四大板块协调共进，长沙进入“万亿俱乐部”。</w:t>
      </w:r>
    </w:p>
    <w:p>
      <w:pPr>
        <w:spacing w:line="568" w:lineRule="exact"/>
        <w:ind w:firstLine="626"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color w:val="000000" w:themeColor="text1"/>
          <w:spacing w:val="-4"/>
          <w:sz w:val="32"/>
          <w:szCs w:val="32"/>
          <w14:textFill>
            <w14:solidFill>
              <w14:schemeClr w14:val="tx1"/>
            </w14:solidFill>
          </w14:textFill>
        </w:rPr>
        <w:t>2.创新开放形成新局面。</w:t>
      </w:r>
      <w:r>
        <w:rPr>
          <w:rFonts w:ascii="Times New Roman" w:hAnsi="Times New Roman" w:eastAsia="仿宋_GB2312" w:cs="Times New Roman"/>
          <w:color w:val="000000" w:themeColor="text1"/>
          <w:spacing w:val="-4"/>
          <w:sz w:val="32"/>
          <w:szCs w:val="32"/>
          <w14:textFill>
            <w14:solidFill>
              <w14:schemeClr w14:val="tx1"/>
            </w14:solidFill>
          </w14:textFill>
        </w:rPr>
        <w:t>创新型省份建设加快推进，科技进步贡献率提高到60%。长株潭国家自主创新示范区、岳麓山国家大学科技城、马栏山视频文创产业园集聚引领作用强劲，成功获批郴州国家可持续发展议程创新示范区。超级计算机、超高产杂交稻、超高速列车、中低速磁浮等标志性创新成果领跑世界。实施“五大开放行动”，全面融入“一带一路”，国际航线实现五大洲全覆盖，国际经贸“朋友圈”拓展至200多个国家和地区，在湘投资的世界500强企业新增</w:t>
      </w:r>
      <w:r>
        <w:rPr>
          <w:rFonts w:hint="eastAsia" w:ascii="Times New Roman" w:hAnsi="Times New Roman" w:eastAsia="仿宋_GB2312" w:cs="Times New Roman"/>
          <w:color w:val="000000" w:themeColor="text1"/>
          <w:spacing w:val="-4"/>
          <w:sz w:val="32"/>
          <w:szCs w:val="32"/>
          <w14:textFill>
            <w14:solidFill>
              <w14:schemeClr w14:val="tx1"/>
            </w14:solidFill>
          </w14:textFill>
        </w:rPr>
        <w:t>28</w:t>
      </w:r>
      <w:r>
        <w:rPr>
          <w:rFonts w:ascii="Times New Roman" w:hAnsi="Times New Roman" w:eastAsia="仿宋_GB2312" w:cs="Times New Roman"/>
          <w:color w:val="000000" w:themeColor="text1"/>
          <w:spacing w:val="-4"/>
          <w:sz w:val="32"/>
          <w:szCs w:val="32"/>
          <w14:textFill>
            <w14:solidFill>
              <w14:schemeClr w14:val="tx1"/>
            </w14:solidFill>
          </w14:textFill>
        </w:rPr>
        <w:t>家，对外经济合作国别（地区）发展到94个，国际友好城市达100对。中国（湖南）自由贸易试验区成功获批，中非经贸博览会、世界计算机大会永久落户湖南。</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3.三大攻坚战取得新成就。</w:t>
      </w:r>
      <w:r>
        <w:rPr>
          <w:rFonts w:ascii="Times New Roman" w:hAnsi="Times New Roman" w:eastAsia="仿宋_GB2312" w:cs="Times New Roman"/>
          <w:color w:val="000000" w:themeColor="text1"/>
          <w:sz w:val="32"/>
          <w:szCs w:val="32"/>
          <w14:textFill>
            <w14:solidFill>
              <w14:schemeClr w14:val="tx1"/>
            </w14:solidFill>
          </w14:textFill>
        </w:rPr>
        <w:t>存量债务有序化解，平台公司大幅压减，政府举债全面规范，P2P业务全面取缔，债务风险总体可控。全省51个贫困县、6920个贫困村全部脱贫摘帽，69.4万人实现易地扶贫搬迁，477.6万农村贫困人口</w:t>
      </w:r>
      <w:r>
        <w:rPr>
          <w:rFonts w:hint="eastAsia" w:ascii="Times New Roman" w:hAnsi="Times New Roman" w:eastAsia="仿宋_GB2312" w:cs="Times New Roman"/>
          <w:color w:val="000000" w:themeColor="text1"/>
          <w:sz w:val="32"/>
          <w:szCs w:val="32"/>
          <w14:textFill>
            <w14:solidFill>
              <w14:schemeClr w14:val="tx1"/>
            </w14:solidFill>
          </w14:textFill>
        </w:rPr>
        <w:t>在“十三五”期间</w:t>
      </w:r>
      <w:r>
        <w:rPr>
          <w:rFonts w:ascii="Times New Roman" w:hAnsi="Times New Roman" w:eastAsia="仿宋_GB2312" w:cs="Times New Roman"/>
          <w:color w:val="000000" w:themeColor="text1"/>
          <w:sz w:val="32"/>
          <w:szCs w:val="32"/>
          <w14:textFill>
            <w14:solidFill>
              <w14:schemeClr w14:val="tx1"/>
            </w14:solidFill>
          </w14:textFill>
        </w:rPr>
        <w:t>实现脱贫，十八洞村成为全国精准脱贫样板。开展长江保护修复、洞庭湖水环境综合治理、湘江保护和治理“一号重点工程”等专项行动，生态环境质量明显改善，全省水质优良率达到93.3%，</w:t>
      </w:r>
      <w:r>
        <w:rPr>
          <w:rFonts w:ascii="Times New Roman" w:hAnsi="Times New Roman" w:eastAsia="仿宋_GB2312" w:cs="Times New Roman"/>
          <w:color w:val="000000" w:themeColor="text1"/>
          <w:sz w:val="32"/>
          <w:szCs w:val="32"/>
          <w:lang w:val="zh-CN"/>
          <w14:textFill>
            <w14:solidFill>
              <w14:schemeClr w14:val="tx1"/>
            </w14:solidFill>
          </w14:textFill>
        </w:rPr>
        <w:t>地级及以上城市空气质量优良率达</w:t>
      </w:r>
      <w:r>
        <w:rPr>
          <w:rFonts w:ascii="Times New Roman" w:hAnsi="Times New Roman" w:eastAsia="仿宋_GB2312" w:cs="Times New Roman"/>
          <w:color w:val="000000" w:themeColor="text1"/>
          <w:sz w:val="32"/>
          <w:szCs w:val="32"/>
          <w14:textFill>
            <w14:solidFill>
              <w14:schemeClr w14:val="tx1"/>
            </w14:solidFill>
          </w14:textFill>
        </w:rPr>
        <w:t>到</w:t>
      </w:r>
      <w:r>
        <w:rPr>
          <w:rFonts w:hint="eastAsia" w:ascii="Times New Roman" w:hAnsi="Times New Roman" w:eastAsia="仿宋_GB2312" w:cs="Times New Roman"/>
          <w:color w:val="000000" w:themeColor="text1"/>
          <w:sz w:val="32"/>
          <w:szCs w:val="32"/>
          <w14:textFill>
            <w14:solidFill>
              <w14:schemeClr w14:val="tx1"/>
            </w14:solidFill>
          </w14:textFill>
        </w:rPr>
        <w:t>91.7</w:t>
      </w:r>
      <w:r>
        <w:rPr>
          <w:rFonts w:ascii="Times New Roman" w:hAnsi="Times New Roman" w:eastAsia="仿宋_GB2312" w:cs="Times New Roman"/>
          <w:color w:val="000000" w:themeColor="text1"/>
          <w:sz w:val="32"/>
          <w:szCs w:val="32"/>
          <w14:textFill>
            <w14:solidFill>
              <w14:schemeClr w14:val="tx1"/>
            </w14:solidFill>
          </w14:textFill>
        </w:rPr>
        <w:t>%，森林覆盖率稳定在59%以上。</w:t>
      </w:r>
    </w:p>
    <w:p>
      <w:pPr>
        <w:spacing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4.基础设施构建新支撑。</w:t>
      </w:r>
      <w:r>
        <w:rPr>
          <w:rFonts w:ascii="Times New Roman" w:hAnsi="Times New Roman" w:eastAsia="仿宋_GB2312" w:cs="Times New Roman"/>
          <w:color w:val="000000" w:themeColor="text1"/>
          <w:sz w:val="32"/>
          <w:szCs w:val="32"/>
          <w14:textFill>
            <w14:solidFill>
              <w14:schemeClr w14:val="tx1"/>
            </w14:solidFill>
          </w14:textFill>
        </w:rPr>
        <w:t>交通网主骨架成型，微循环畅通。建成运行怀邵衡、黔张常等铁路，高铁通车里程近2000公里；长沙至益阳复线等一批高速公路建成通车，高速公路总里程达到6950公里，实现了县县通高速、组组通硬化路。能源网持续巩固，电力装机新增</w:t>
      </w:r>
      <w:r>
        <w:rPr>
          <w:rFonts w:hint="eastAsia" w:ascii="Times New Roman" w:hAnsi="Times New Roman" w:eastAsia="仿宋_GB2312" w:cs="Times New Roman"/>
          <w:color w:val="000000" w:themeColor="text1"/>
          <w:sz w:val="32"/>
          <w:szCs w:val="32"/>
          <w14:textFill>
            <w14:solidFill>
              <w14:schemeClr w14:val="tx1"/>
            </w14:solidFill>
          </w14:textFill>
        </w:rPr>
        <w:t>1020</w:t>
      </w:r>
      <w:r>
        <w:rPr>
          <w:rFonts w:ascii="Times New Roman" w:hAnsi="Times New Roman" w:eastAsia="仿宋_GB2312" w:cs="Times New Roman"/>
          <w:color w:val="000000" w:themeColor="text1"/>
          <w:sz w:val="32"/>
          <w:szCs w:val="32"/>
          <w14:textFill>
            <w14:solidFill>
              <w14:schemeClr w14:val="tx1"/>
            </w14:solidFill>
          </w14:textFill>
        </w:rPr>
        <w:t>万千瓦，可再生能源装机占比</w:t>
      </w:r>
      <w:r>
        <w:rPr>
          <w:rFonts w:hint="eastAsia" w:ascii="Times New Roman" w:hAnsi="Times New Roman" w:eastAsia="仿宋_GB2312" w:cs="Times New Roman"/>
          <w:color w:val="000000" w:themeColor="text1"/>
          <w:sz w:val="32"/>
          <w:szCs w:val="32"/>
          <w14:textFill>
            <w14:solidFill>
              <w14:schemeClr w14:val="tx1"/>
            </w14:solidFill>
          </w14:textFill>
        </w:rPr>
        <w:t>57</w:t>
      </w:r>
      <w:r>
        <w:rPr>
          <w:rFonts w:ascii="Times New Roman" w:hAnsi="Times New Roman" w:eastAsia="仿宋_GB2312" w:cs="Times New Roman"/>
          <w:color w:val="000000" w:themeColor="text1"/>
          <w:sz w:val="32"/>
          <w:szCs w:val="32"/>
          <w14:textFill>
            <w14:solidFill>
              <w14:schemeClr w14:val="tx1"/>
            </w14:solidFill>
          </w14:textFill>
        </w:rPr>
        <w:t>%，省外能源入湘通道不断拓宽。水利网持续完善，莽山水库、毛俊水库等一批重大水利工程加快建设，农</w:t>
      </w:r>
      <w:r>
        <w:rPr>
          <w:rFonts w:ascii="Times New Roman" w:hAnsi="Times New Roman" w:eastAsia="仿宋_GB2312" w:cs="Times New Roman"/>
          <w:color w:val="000000" w:themeColor="text1"/>
          <w:spacing w:val="-2"/>
          <w:sz w:val="32"/>
          <w:szCs w:val="32"/>
          <w14:textFill>
            <w14:solidFill>
              <w14:schemeClr w14:val="tx1"/>
            </w14:solidFill>
          </w14:textFill>
        </w:rPr>
        <w:t>村饮水安全基本实现全覆盖。信息网扩容升级，5G等新一代信息基础设施加快布局，电子政务外网实现省市县乡四级全覆盖。物流网优化布局，形成了“一核三区多园六通道”的空间格局。新型基础设施建设有效推进，环保与民生领域基础设施补短板取得重大成效</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5.深化改革增添新活力。</w:t>
      </w:r>
      <w:r>
        <w:rPr>
          <w:rFonts w:ascii="Times New Roman" w:hAnsi="Times New Roman" w:eastAsia="仿宋_GB2312" w:cs="Times New Roman"/>
          <w:color w:val="000000" w:themeColor="text1"/>
          <w:sz w:val="32"/>
          <w:szCs w:val="32"/>
          <w14:textFill>
            <w14:solidFill>
              <w14:schemeClr w14:val="tx1"/>
            </w14:solidFill>
          </w14:textFill>
        </w:rPr>
        <w:t>供给侧结构性改革取得重大成果。省市县党政机构改革全面完成。“一件事一次办”加快推进，放管服改革成效明显。全面实施“营改增”等结构性减税，财政“四本”预算实现统筹统编统批统管。价格改革做到目录之外无定价。国资国企改革稳步推进，国有金融资本实行统一管理，混合所有制改革、员工持股试点取得成效。教育文化、医疗卫生、社会保障等社会领域改革稳步推进，农村各项改革持续深化，社会治理体系进一步完善。</w:t>
      </w:r>
    </w:p>
    <w:p>
      <w:pPr>
        <w:spacing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6.民生保障得到新改善。</w:t>
      </w:r>
      <w:r>
        <w:rPr>
          <w:rFonts w:ascii="Times New Roman" w:hAnsi="Times New Roman" w:eastAsia="仿宋_GB2312" w:cs="Times New Roman"/>
          <w:color w:val="000000" w:themeColor="text1"/>
          <w:sz w:val="32"/>
          <w:szCs w:val="32"/>
          <w14:textFill>
            <w14:solidFill>
              <w14:schemeClr w14:val="tx1"/>
            </w14:solidFill>
          </w14:textFill>
        </w:rPr>
        <w:t>城镇累计新增就业385.2万人。居民人均可支配收入达到29380元。教育事业稳步发展，教育总规模居全国前列。困难群众基本生活保障实现动态管理下的应保尽保，基本养老保险实现城乡全覆盖，基本医疗保险参保率稳定在95%以上。医疗服务实现二甲公立医院县域全覆盖，全面消除村卫生室空白村，新冠肺炎疫情防控取得重大战略成果。养老机构护理型床位占比提高到38%。126.7万户城镇棚户区、75.8万户农村危房得到改造。</w:t>
      </w:r>
    </w:p>
    <w:p>
      <w:pPr>
        <w:spacing w:after="223" w:afterLines="50"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回顾“十三五”发展历程，我省实现了历史跨越，积累了宝贵经验：一是始终坚持以习近平新时代中国特色社会主义思想为指导，把认真落实习近平总书记对湖南工作的重要讲话指示精神作为推动一切工作的根本遵循。二是始终坚持创新引领开放崛起，实施产业项目建设年、“五个100”等系列重大行动，推动经济发展稳中有进，积累高质量发展的持久动力。三是始终坚持以人民为中心，着力保障和改善民生，积极构建公共安全应急体系，得到全社会的广泛认同。四是始终坚持生态优先、绿色发展，着力打好污染防治攻坚战，形成建设美丽湖南的行动自觉。五是始终坚持弘扬优秀文化和湖湘文化精髓，凝神聚气、敢打敢拼，锤炼爬坡过坎、攻坚克难的精神法宝。</w:t>
      </w:r>
    </w:p>
    <w:tbl>
      <w:tblPr>
        <w:tblStyle w:val="25"/>
        <w:tblW w:w="9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75"/>
        <w:gridCol w:w="1185"/>
        <w:gridCol w:w="15"/>
        <w:gridCol w:w="2706"/>
        <w:gridCol w:w="899"/>
        <w:gridCol w:w="902"/>
        <w:gridCol w:w="1201"/>
        <w:gridCol w:w="951"/>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9863" w:type="dxa"/>
            <w:gridSpan w:val="10"/>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6"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类别</w:t>
            </w:r>
          </w:p>
        </w:tc>
        <w:tc>
          <w:tcPr>
            <w:tcW w:w="475"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序号</w:t>
            </w:r>
          </w:p>
        </w:tc>
        <w:tc>
          <w:tcPr>
            <w:tcW w:w="3906" w:type="dxa"/>
            <w:gridSpan w:val="3"/>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指 标 名 称</w:t>
            </w:r>
          </w:p>
        </w:tc>
        <w:tc>
          <w:tcPr>
            <w:tcW w:w="899"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2015年</w:t>
            </w:r>
          </w:p>
        </w:tc>
        <w:tc>
          <w:tcPr>
            <w:tcW w:w="2103" w:type="dxa"/>
            <w:gridSpan w:val="2"/>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规划目标</w:t>
            </w:r>
          </w:p>
        </w:tc>
        <w:tc>
          <w:tcPr>
            <w:tcW w:w="2054" w:type="dxa"/>
            <w:gridSpan w:val="2"/>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6"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3906" w:type="dxa"/>
            <w:gridSpan w:val="3"/>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899"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902"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2020年</w:t>
            </w:r>
          </w:p>
        </w:tc>
        <w:tc>
          <w:tcPr>
            <w:tcW w:w="1201"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年均增速[累计]</w:t>
            </w:r>
          </w:p>
        </w:tc>
        <w:tc>
          <w:tcPr>
            <w:tcW w:w="951"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2020年</w:t>
            </w:r>
          </w:p>
        </w:tc>
        <w:tc>
          <w:tcPr>
            <w:tcW w:w="1103"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年均增速[累计]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经济发展</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地区生产总值（亿元）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28539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43680</w:t>
            </w:r>
          </w:p>
        </w:tc>
        <w:tc>
          <w:tcPr>
            <w:tcW w:w="1201" w:type="dxa"/>
            <w:shd w:val="clear" w:color="auto" w:fill="auto"/>
            <w:vAlign w:val="center"/>
          </w:tcPr>
          <w:p>
            <w:pPr>
              <w:spacing w:line="300" w:lineRule="exact"/>
              <w:ind w:right="-153" w:rightChars="-7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8.5%左右</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41781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规模工业增加值（亿元）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10679.9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财政总收入（亿元）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4008.1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固定资产投资（万亿元）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社会消费品零售总额（亿元）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11241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21190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16258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进出口总额（亿美元）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293.7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706.5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全员劳动生产率（万元）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10.7</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1200" w:type="dxa"/>
            <w:gridSpan w:val="2"/>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城镇化率</w:t>
            </w:r>
          </w:p>
        </w:tc>
        <w:tc>
          <w:tcPr>
            <w:tcW w:w="2706" w:type="dxa"/>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常住人口城镇化率（%）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50.89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58</w:t>
            </w:r>
            <w:r>
              <w:rPr>
                <w:rFonts w:hint="eastAsia" w:ascii="Times New Roman" w:hAnsi="Times New Roman" w:cs="Times New Roman"/>
                <w:color w:val="000000" w:themeColor="text1"/>
                <w:kern w:val="0"/>
                <w:szCs w:val="21"/>
                <w14:textFill>
                  <w14:solidFill>
                    <w14:schemeClr w14:val="tx1"/>
                  </w14:solidFill>
                </w14:textFill>
              </w:rPr>
              <w:t>.5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200" w:type="dxa"/>
            <w:gridSpan w:val="2"/>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06" w:type="dxa"/>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户籍人口城镇化率（%）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40左右</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r>
              <w:rPr>
                <w:rFonts w:hint="eastAsia" w:ascii="Times New Roman" w:hAnsi="Times New Roman" w:cs="Times New Roman"/>
                <w:color w:val="000000" w:themeColor="text1"/>
                <w:kern w:val="0"/>
                <w:szCs w:val="21"/>
                <w14:textFill>
                  <w14:solidFill>
                    <w14:schemeClr w14:val="tx1"/>
                  </w14:solidFill>
                </w14:textFill>
              </w:rPr>
              <w:t>6</w:t>
            </w:r>
            <w:r>
              <w:rPr>
                <w:rFonts w:ascii="Times New Roman" w:hAnsi="Times New Roman"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服务业增加值比重（%）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46</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51.7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创新驱动</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研究与试验发展（R&amp;D）经费投入强度（%）</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1.43</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08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每万人口发明专利拥有量（件）</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科技进步贡献率（%）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53.2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互联网</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普及率</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固定宽带家庭普及率（%）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r>
              <w:rPr>
                <w:rFonts w:hint="eastAsia" w:ascii="Times New Roman" w:hAnsi="Times New Roman" w:cs="Times New Roman"/>
                <w:color w:val="000000" w:themeColor="text1"/>
                <w:kern w:val="0"/>
                <w:szCs w:val="21"/>
                <w14:textFill>
                  <w14:solidFill>
                    <w14:schemeClr w14:val="tx1"/>
                  </w14:solidFill>
                </w14:textFill>
              </w:rPr>
              <w:t>5.7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移动宽带用户普及率（%）</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45.7</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85</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101.4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民生福祉</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居民人均可支配收入（元）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19317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29050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29380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劳动年龄人口平均受教育年限（年）</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10.4</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城镇新增就业人数（万人）</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[385]</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17</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农村贫困人口脱贫（万人）</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[454]</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基本养老保险参保率（%）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城镇棚户区住房改造（万套）</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[126.</w:t>
            </w:r>
            <w:r>
              <w:rPr>
                <w:rFonts w:hint="eastAsia" w:ascii="Times New Roman" w:hAnsi="Times New Roman" w:cs="Times New Roman"/>
                <w:color w:val="000000" w:themeColor="text1"/>
                <w:kern w:val="0"/>
                <w:szCs w:val="21"/>
                <w14:textFill>
                  <w14:solidFill>
                    <w14:schemeClr w14:val="tx1"/>
                  </w14:solidFill>
                </w14:textFill>
              </w:rPr>
              <w:t>7</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人均预期寿命（岁）</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76</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77.4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资源环境</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耕地保有量（万亩）</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6230</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5956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＞5956</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新增建设用地规模（万亩）</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[165]</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23</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万元地区生产总值用水量下降（%）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单位地区生产总值能源消耗降低（%）</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非化石能源占一次能源消费比重（%）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12.5</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单位地区生产总值二氧化碳排放降低（%）</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27</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增长</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森林覆盖率（%）</w:t>
            </w:r>
          </w:p>
        </w:tc>
        <w:tc>
          <w:tcPr>
            <w:tcW w:w="899" w:type="dxa"/>
            <w:shd w:val="clear" w:color="auto" w:fill="auto"/>
            <w:vAlign w:val="center"/>
          </w:tcPr>
          <w:p>
            <w:pPr>
              <w:spacing w:line="3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59.57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59</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59</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森林蓄积量（亿立方米）</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r>
              <w:rPr>
                <w:rFonts w:hint="eastAsia" w:ascii="Times New Roman" w:hAnsi="Times New Roman" w:cs="Times New Roman"/>
                <w:color w:val="000000" w:themeColor="text1"/>
                <w:kern w:val="0"/>
                <w:szCs w:val="21"/>
                <w14:textFill>
                  <w14:solidFill>
                    <w14:schemeClr w14:val="tx1"/>
                  </w14:solidFill>
                </w14:textFill>
              </w:rPr>
              <w:t>88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28</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空气</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质量</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细颗粒物（PM</w:t>
            </w:r>
            <w:r>
              <w:rPr>
                <w:rFonts w:ascii="Times New Roman" w:hAnsi="Times New Roman" w:cs="Times New Roman"/>
                <w:color w:val="000000" w:themeColor="text1"/>
                <w:szCs w:val="21"/>
                <w:vertAlign w:val="subscript"/>
                <w14:textFill>
                  <w14:solidFill>
                    <w14:schemeClr w14:val="tx1"/>
                  </w14:solidFill>
                </w14:textFill>
              </w:rPr>
              <w:t>2.5</w:t>
            </w:r>
            <w:r>
              <w:rPr>
                <w:rFonts w:ascii="Times New Roman" w:hAnsi="Times New Roman" w:cs="Times New Roman"/>
                <w:color w:val="000000" w:themeColor="text1"/>
                <w:szCs w:val="21"/>
                <w14:textFill>
                  <w14:solidFill>
                    <w14:schemeClr w14:val="tx1"/>
                  </w14:solidFill>
                </w14:textFill>
              </w:rPr>
              <w:t>）未达标地级及以上城市浓度下降（%）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31</w:t>
            </w:r>
            <w:r>
              <w:rPr>
                <w:rFonts w:ascii="Times New Roman" w:hAnsi="Times New Roman" w:cs="Times New Roman"/>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地级及以上城市空气质量优良天数比率（%）</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77.9</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80</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91.7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29</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质量</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好于</w:t>
            </w:r>
            <w:r>
              <w:rPr>
                <w:rFonts w:hint="eastAsia" w:ascii="宋体" w:hAnsi="宋体" w:eastAsia="宋体" w:cs="宋体"/>
                <w:color w:val="000000" w:themeColor="text1"/>
                <w:szCs w:val="21"/>
                <w14:textFill>
                  <w14:solidFill>
                    <w14:schemeClr w14:val="tx1"/>
                  </w14:solidFill>
                </w14:textFill>
              </w:rPr>
              <w:t>Ⅲ</w:t>
            </w:r>
            <w:r>
              <w:rPr>
                <w:rFonts w:ascii="Times New Roman" w:hAnsi="Times New Roman" w:cs="Times New Roman"/>
                <w:color w:val="000000" w:themeColor="text1"/>
                <w:szCs w:val="21"/>
                <w14:textFill>
                  <w14:solidFill>
                    <w14:schemeClr w14:val="tx1"/>
                  </w14:solidFill>
                </w14:textFill>
              </w:rPr>
              <w:t>类水体比例（%）</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87.2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93.3</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93.3</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劣</w:t>
            </w:r>
            <w:r>
              <w:rPr>
                <w:rFonts w:hint="eastAsia" w:ascii="宋体" w:hAnsi="宋体" w:eastAsia="宋体" w:cs="宋体"/>
                <w:color w:val="000000" w:themeColor="text1"/>
                <w:szCs w:val="21"/>
                <w14:textFill>
                  <w14:solidFill>
                    <w14:schemeClr w14:val="tx1"/>
                  </w14:solidFill>
                </w14:textFill>
              </w:rPr>
              <w:t>Ⅴ</w:t>
            </w:r>
            <w:r>
              <w:rPr>
                <w:rFonts w:ascii="Times New Roman" w:hAnsi="Times New Roman" w:cs="Times New Roman"/>
                <w:color w:val="000000" w:themeColor="text1"/>
                <w:szCs w:val="21"/>
                <w14:textFill>
                  <w14:solidFill>
                    <w14:schemeClr w14:val="tx1"/>
                  </w14:solidFill>
                </w14:textFill>
              </w:rPr>
              <w:t>类水体比例（%）</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主要污染物排放总量减少（%）</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化学需氧量</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10.1]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1.6</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10.1]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7.1</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二氧化硫</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21]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8.7</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氮氧化物</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8.8</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63" w:type="dxa"/>
            <w:gridSpan w:val="10"/>
            <w:shd w:val="clear" w:color="auto" w:fill="auto"/>
            <w:vAlign w:val="center"/>
          </w:tcPr>
          <w:p>
            <w:pPr>
              <w:spacing w:line="300" w:lineRule="exact"/>
              <w:ind w:firstLine="105" w:firstLineChars="50"/>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注：</w:t>
            </w: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 ]表示五年累计数。</w:t>
            </w:r>
            <w:r>
              <w:rPr>
                <w:rFonts w:hint="eastAsia" w:ascii="Times New Roman" w:hAnsi="Times New Roman" w:cs="Times New Roman"/>
                <w:color w:val="000000" w:themeColor="text1"/>
                <w:kern w:val="0"/>
                <w:szCs w:val="21"/>
                <w14:textFill>
                  <w14:solidFill>
                    <w14:schemeClr w14:val="tx1"/>
                  </w14:solidFill>
                </w14:textFill>
              </w:rPr>
              <w:t>2.全员劳动生产率、常住人口城镇化率、</w:t>
            </w:r>
            <w:r>
              <w:rPr>
                <w:rFonts w:ascii="Times New Roman" w:hAnsi="Times New Roman" w:cs="Times New Roman"/>
                <w:color w:val="000000" w:themeColor="text1"/>
                <w:szCs w:val="21"/>
                <w14:textFill>
                  <w14:solidFill>
                    <w14:schemeClr w14:val="tx1"/>
                  </w14:solidFill>
                </w14:textFill>
              </w:rPr>
              <w:t>研究与试验发展（R&amp;D）经费投入强度</w:t>
            </w:r>
            <w:r>
              <w:rPr>
                <w:rFonts w:hint="eastAsia" w:ascii="Times New Roman" w:hAnsi="Times New Roman" w:cs="Times New Roman"/>
                <w:color w:val="000000" w:themeColor="text1"/>
                <w:szCs w:val="21"/>
                <w14:textFill>
                  <w14:solidFill>
                    <w14:schemeClr w14:val="tx1"/>
                  </w14:solidFill>
                </w14:textFill>
              </w:rPr>
              <w:t>、互联网普及率、人均预期寿命、</w:t>
            </w:r>
            <w:r>
              <w:rPr>
                <w:rFonts w:ascii="Times New Roman" w:hAnsi="Times New Roman" w:cs="Times New Roman"/>
                <w:color w:val="000000" w:themeColor="text1"/>
                <w:szCs w:val="21"/>
                <w14:textFill>
                  <w14:solidFill>
                    <w14:schemeClr w14:val="tx1"/>
                  </w14:solidFill>
                </w14:textFill>
              </w:rPr>
              <w:t>万元地区生产总值用水量下降</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单位地区生产总值能源消耗降低</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非化石能源占一次能源消费比重</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单位地区生产总值二氧化碳排放降低</w:t>
            </w:r>
            <w:r>
              <w:rPr>
                <w:rFonts w:hint="eastAsia" w:ascii="Times New Roman" w:hAnsi="Times New Roman" w:cs="Times New Roman"/>
                <w:color w:val="000000" w:themeColor="text1"/>
                <w:szCs w:val="21"/>
                <w14:textFill>
                  <w14:solidFill>
                    <w14:schemeClr w14:val="tx1"/>
                  </w14:solidFill>
                </w14:textFill>
              </w:rPr>
              <w:t>等指标2020年数据为预计数。3.2020年</w:t>
            </w:r>
            <w:r>
              <w:rPr>
                <w:rFonts w:ascii="Times New Roman" w:hAnsi="Times New Roman" w:cs="Times New Roman"/>
                <w:color w:val="000000" w:themeColor="text1"/>
                <w:szCs w:val="21"/>
                <w14:textFill>
                  <w14:solidFill>
                    <w14:schemeClr w14:val="tx1"/>
                  </w14:solidFill>
                </w14:textFill>
              </w:rPr>
              <w:t>地级及以上城市空气质量优良天数比率</w:t>
            </w:r>
            <w:r>
              <w:rPr>
                <w:rFonts w:hint="eastAsia" w:ascii="Times New Roman" w:hAnsi="Times New Roman" w:cs="Times New Roman"/>
                <w:color w:val="000000" w:themeColor="text1"/>
                <w:szCs w:val="21"/>
                <w14:textFill>
                  <w14:solidFill>
                    <w14:schemeClr w14:val="tx1"/>
                  </w14:solidFill>
                </w14:textFill>
              </w:rPr>
              <w:t>受新冠肺炎疫情等因素影响，明显高于正常年份。4.</w:t>
            </w:r>
            <w:r>
              <w:rPr>
                <w:rFonts w:ascii="Times New Roman" w:hAnsi="Times New Roman" w:cs="Times New Roman"/>
                <w:color w:val="000000" w:themeColor="text1"/>
                <w:szCs w:val="21"/>
                <w14:textFill>
                  <w14:solidFill>
                    <w14:schemeClr w14:val="tx1"/>
                  </w14:solidFill>
                </w14:textFill>
              </w:rPr>
              <w:t xml:space="preserve"> 移动宽带用户普及率</w:t>
            </w:r>
            <w:r>
              <w:rPr>
                <w:rFonts w:hint="eastAsia" w:ascii="Times New Roman" w:hAnsi="Times New Roman" w:cs="Times New Roman"/>
                <w:color w:val="000000" w:themeColor="text1"/>
                <w:szCs w:val="21"/>
                <w14:textFill>
                  <w14:solidFill>
                    <w14:schemeClr w14:val="tx1"/>
                  </w14:solidFill>
                </w14:textFill>
              </w:rPr>
              <w:t>为3G+4G+5G用户总数与全省常住人口的比值。</w:t>
            </w:r>
          </w:p>
        </w:tc>
      </w:tr>
    </w:tbl>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3" w:name="_Toc62051525"/>
      <w:r>
        <w:rPr>
          <w:rFonts w:ascii="Times New Roman" w:hAnsi="Times New Roman" w:eastAsia="黑体" w:cs="Times New Roman"/>
          <w:color w:val="000000" w:themeColor="text1"/>
          <w:sz w:val="32"/>
          <w:szCs w:val="32"/>
          <w14:textFill>
            <w14:solidFill>
              <w14:schemeClr w14:val="tx1"/>
            </w14:solidFill>
          </w14:textFill>
        </w:rPr>
        <w:t>第二章  时代背景</w:t>
      </w:r>
      <w:bookmarkEnd w:id="3"/>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“十四五”时期，是全面建设社会主义现代化的开局起步期，我省发展既面临重大历史机遇，也面临诸多风险挑战。</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从国际看，当今世界正经历百年未有之大变局，新一轮科技革命和产业变革深入发展，国际力量对比深刻调整，和平与发展仍然是时代主题，人类命运共同体理念深入人心。同时，国际环境日趋复杂，经济全球化遭遇逆流，国际安全形势更加复杂多变，不稳定不确定因素明显增加，新冠肺炎疫情加剧了大变局的演变，世界进入动荡变革期，单边主义、保护主义、霸权主义对世界和平与发展构成威胁。</w:t>
      </w:r>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从国内看，我国已转向高质量发展阶段，具有全球最完整、规模最大的工业体系，有强大的生产能力、完善的配套能力，有超大规模内需市场，制度优势显著，治理效能提升，经济稳中向好、长期向好，潜力足、韧性好、活力强、回旋空间大，社会大局稳定，继续发展具有多方面优势和条件</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从省内看，我省区位优势明显、科教资源丰富、产业基础坚实、人力资源丰厚，长江经济带发展、中部地区崛起等国家战略提供区域发展新机遇，新技术革命带来产业升级新动力，共建“一带一路”、自贸试验区建设等引领开放新格局，新型工业化、信息化、城镇化、农业现代化同步发展创造经济增长新空间，强大内需市场成为高质量发展新支撑，我省发展面临巨大机遇、蕴涵巨大潜能。同时，我省发展不平衡不充分问题仍然突出，经济结构质量不优、农业农村发展不足、科技创新支撑不强、对外开放水平不高，生态环保、财政收支、民生保障、风险防控等方面仍然存在较大压力，高质量发展能力有待进一步提升。</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综合判断，“十四五”期间发展仍处于大有可为的重要战略机遇期。我们要辩证认识和把握发展大势，增强机遇意识和风险意识，准确识变、科学应变、主动求变，善于在危机中育先机、于变局中开新局，凝聚共识，奋发作为，为全面建设社会主义现代化开好局、起好步。</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4" w:name="_Toc62051526"/>
      <w:r>
        <w:rPr>
          <w:rFonts w:ascii="Times New Roman" w:hAnsi="Times New Roman" w:eastAsia="黑体" w:cs="Times New Roman"/>
          <w:color w:val="000000" w:themeColor="text1"/>
          <w:sz w:val="32"/>
          <w:szCs w:val="32"/>
          <w14:textFill>
            <w14:solidFill>
              <w14:schemeClr w14:val="tx1"/>
            </w14:solidFill>
          </w14:textFill>
        </w:rPr>
        <w:t>第三章  指导方针</w:t>
      </w:r>
      <w:bookmarkEnd w:id="4"/>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5" w:name="_Toc62051527"/>
      <w:r>
        <w:rPr>
          <w:rFonts w:ascii="Times New Roman" w:hAnsi="Times New Roman" w:eastAsia="楷体_GB2312" w:cs="Times New Roman"/>
          <w:b/>
          <w:color w:val="000000" w:themeColor="text1"/>
          <w:sz w:val="32"/>
          <w:szCs w:val="32"/>
          <w14:textFill>
            <w14:solidFill>
              <w14:schemeClr w14:val="tx1"/>
            </w14:solidFill>
          </w14:textFill>
        </w:rPr>
        <w:t>第一节  指导思想</w:t>
      </w:r>
      <w:bookmarkEnd w:id="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6" w:name="_Toc59044944"/>
      <w:r>
        <w:rPr>
          <w:rFonts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湖南工作系列重要讲话指示精神，统筹推进经济建设、政治建设、文化建设、社会建设、生态文明建设的总体布局，协调推进全面建设社会主义现代化国家、全面深化改革、全面依法治国、全面从严治党的战略布局，坚定不移贯彻新发展理念，坚持稳中求进工作总基调，以推动高质量发展为主题，以深化供给侧结构性改革为主线，以改革创新为根本动力，以满足人民日益增长的美好生活需要为根本目的，统筹发展和安全，推进治理体系和治理能力现代化，实施“三高四新”战略，坚持创新引领开放崛起，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bookmarkEnd w:id="6"/>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7" w:name="_Toc62051528"/>
      <w:r>
        <w:rPr>
          <w:rFonts w:ascii="Times New Roman" w:hAnsi="Times New Roman" w:eastAsia="楷体_GB2312" w:cs="Times New Roman"/>
          <w:b/>
          <w:color w:val="000000" w:themeColor="text1"/>
          <w:sz w:val="32"/>
          <w:szCs w:val="32"/>
          <w14:textFill>
            <w14:solidFill>
              <w14:schemeClr w14:val="tx1"/>
            </w14:solidFill>
          </w14:textFill>
        </w:rPr>
        <w:t>第二节  发展原则</w:t>
      </w:r>
      <w:bookmarkEnd w:id="7"/>
    </w:p>
    <w:p>
      <w:pPr>
        <w:spacing w:line="596"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坚持党的全面领导。</w:t>
      </w:r>
      <w:r>
        <w:rPr>
          <w:rFonts w:ascii="Times New Roman" w:hAnsi="Times New Roman" w:eastAsia="仿宋_GB2312" w:cs="Times New Roman"/>
          <w:color w:val="000000" w:themeColor="text1"/>
          <w:sz w:val="32"/>
          <w:szCs w:val="32"/>
          <w14:textFill>
            <w14:solidFill>
              <w14:schemeClr w14:val="tx1"/>
            </w14:solidFill>
          </w14:textFill>
        </w:rPr>
        <w:t>坚持和完善党领导经济社会发展的体制机制，增强“四个意识”、坚定“四个自信”、做到“两个维护”，立足新发展阶段，不断提高贯彻新发展理念、构建新发展格局能力和水平，为实现高质量发展提供根本保证。</w:t>
      </w:r>
    </w:p>
    <w:p>
      <w:pPr>
        <w:spacing w:line="596"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坚持以人民为中心。</w:t>
      </w:r>
      <w:r>
        <w:rPr>
          <w:rFonts w:ascii="Times New Roman" w:hAnsi="Times New Roman" w:eastAsia="仿宋_GB2312" w:cs="Times New Roman"/>
          <w:color w:val="000000" w:themeColor="text1"/>
          <w:sz w:val="32"/>
          <w:szCs w:val="32"/>
          <w14:textFill>
            <w14:solidFill>
              <w14:schemeClr w14:val="tx1"/>
            </w14:solidFill>
          </w14:textFill>
        </w:rPr>
        <w:t>坚持人民主体地位，坚持共同富裕方向，始终做到发展为了人民、发展依靠人民、发展成果由人民共享，维护人民根本利益，激发全体人民积极性、主动性、创造性，促进社会公平，增进民生福祉，不断增强人民群众获得感、幸福感、安全感。</w:t>
      </w:r>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坚持新发展理念。</w:t>
      </w:r>
      <w:r>
        <w:rPr>
          <w:rFonts w:ascii="Times New Roman" w:hAnsi="Times New Roman" w:eastAsia="仿宋_GB2312" w:cs="Times New Roman"/>
          <w:color w:val="000000" w:themeColor="text1"/>
          <w:sz w:val="32"/>
          <w:szCs w:val="32"/>
          <w14:textFill>
            <w14:solidFill>
              <w14:schemeClr w14:val="tx1"/>
            </w14:solidFill>
          </w14:textFill>
        </w:rPr>
        <w:t>把创新、协调、绿色、开放、共享的新发展理念贯穿发展全过程和各领域，转变发展方式，实现更高质量、更有效率、更加公平、更可持续、更为安全的发展。</w:t>
      </w:r>
    </w:p>
    <w:p>
      <w:pPr>
        <w:spacing w:line="596" w:lineRule="exact"/>
        <w:ind w:firstLine="63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坚持深化改革开放。</w:t>
      </w:r>
      <w:r>
        <w:rPr>
          <w:rFonts w:ascii="Times New Roman" w:hAnsi="Times New Roman" w:eastAsia="仿宋_GB2312" w:cs="Times New Roman"/>
          <w:color w:val="000000" w:themeColor="text1"/>
          <w:sz w:val="32"/>
          <w:szCs w:val="32"/>
          <w14:textFill>
            <w14:solidFill>
              <w14:schemeClr w14:val="tx1"/>
            </w14:solidFill>
          </w14:textFill>
        </w:rPr>
        <w:t>坚定不移推进改革开放，加强治理体系和治理能力现代化建设，破除制约高质量发展、高品质生活的体制机制障碍，推动更大范围更宽领域更深层次对外开放，持续增强发展动力和活力。</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坚持系统观念。</w:t>
      </w:r>
      <w:r>
        <w:rPr>
          <w:rFonts w:ascii="Times New Roman" w:hAnsi="Times New Roman" w:eastAsia="仿宋_GB2312" w:cs="Times New Roman"/>
          <w:color w:val="000000" w:themeColor="text1"/>
          <w:sz w:val="32"/>
          <w:szCs w:val="32"/>
          <w14:textFill>
            <w14:solidFill>
              <w14:schemeClr w14:val="tx1"/>
            </w14:solidFill>
          </w14:textFill>
        </w:rPr>
        <w:t>加强前瞻性思考、全局性谋划、战略性布局、整体性推进，办好发展安全两件大事，更好发挥各方面积极性，着力固根基、扬优势、补短板、强弱项，注重防范化解重大风险挑战，实现发展质量、结构、规模、速度、效益、安全相统一。</w:t>
      </w:r>
    </w:p>
    <w:p>
      <w:pPr>
        <w:spacing w:line="596" w:lineRule="exact"/>
        <w:ind w:firstLine="642"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坚持目标引领。</w:t>
      </w:r>
      <w:r>
        <w:rPr>
          <w:rFonts w:ascii="Times New Roman" w:hAnsi="Times New Roman" w:eastAsia="仿宋_GB2312" w:cs="Times New Roman"/>
          <w:color w:val="000000" w:themeColor="text1"/>
          <w:sz w:val="32"/>
          <w:szCs w:val="32"/>
          <w14:textFill>
            <w14:solidFill>
              <w14:schemeClr w14:val="tx1"/>
            </w14:solidFill>
          </w14:textFill>
        </w:rPr>
        <w:t>牢记习近平总书记嘱托，聚焦“三个高地”定位和“四新”使命，大力实施“三高四新”战略，系统设计、统筹推进、精准施策、务求实效，奋力建设社会主义现代化新湖南。</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8" w:name="_Toc62051529"/>
      <w:r>
        <w:rPr>
          <w:rFonts w:ascii="Times New Roman" w:hAnsi="Times New Roman" w:eastAsia="黑体" w:cs="Times New Roman"/>
          <w:color w:val="000000" w:themeColor="text1"/>
          <w:sz w:val="32"/>
          <w:szCs w:val="32"/>
          <w14:textFill>
            <w14:solidFill>
              <w14:schemeClr w14:val="tx1"/>
            </w14:solidFill>
          </w14:textFill>
        </w:rPr>
        <w:t>第四章  主要目标</w:t>
      </w:r>
      <w:bookmarkEnd w:id="8"/>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1.2035年远景目标。</w:t>
      </w:r>
      <w:r>
        <w:rPr>
          <w:rFonts w:ascii="Times New Roman" w:hAnsi="Times New Roman" w:eastAsia="仿宋_GB2312" w:cs="Times New Roman"/>
          <w:color w:val="000000" w:themeColor="text1"/>
          <w:sz w:val="32"/>
          <w:szCs w:val="32"/>
          <w14:textFill>
            <w14:solidFill>
              <w14:schemeClr w14:val="tx1"/>
            </w14:solidFill>
          </w14:textFill>
        </w:rPr>
        <w:t>到2035年，基本建成经济强省、科教强省、文化强省、生态强省、开放强省、健康湖南，基本实现富饶美丽幸福新湖南美好愿景，基本实现社会主义现代化。经济、科技实力大幅跃升，经济总量和城乡居民人均收入再迈上新的大台阶，人均地区生产总值达到中等发达国家水平，基本建成“三个高地”，基本实现新型工业化、信息化、城镇化、农业现代化，建成现代化经济体系，形成对外开放新格局，进入创新型省份前列。人民平等参与、平等发展权利得到充分保障，基本建成法治湖南、法治政府、法治社会，基本实现治理体系和治理能力现代化。国民素质和社会文明程度达到新高度，文化软实力、影响力显著增强。生态环境根本好转，绿色生产生活方式广泛形成，人与自然和谐共生。中等收入群体显著扩大，基本公共服务实现均等化，城乡区域发展差距和居民生活水平差距显著缩小，平安湖南建设达到更高水平，人民生活更加美好，人的全面发展、全体人民共同富裕取得更为明显的实质性进展。</w:t>
      </w:r>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2.“十四五”发展目标。</w:t>
      </w:r>
      <w:r>
        <w:rPr>
          <w:rFonts w:ascii="Times New Roman" w:hAnsi="Times New Roman" w:eastAsia="仿宋_GB2312" w:cs="Times New Roman"/>
          <w:color w:val="000000" w:themeColor="text1"/>
          <w:sz w:val="32"/>
          <w:szCs w:val="32"/>
          <w14:textFill>
            <w14:solidFill>
              <w14:schemeClr w14:val="tx1"/>
            </w14:solidFill>
          </w14:textFill>
        </w:rPr>
        <w:t xml:space="preserve">按照现代化新湖南建设的目标要求，今后五年努力实现以下主要目标。 </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——经济成效更好。</w:t>
      </w:r>
      <w:r>
        <w:rPr>
          <w:rFonts w:ascii="Times New Roman" w:hAnsi="Times New Roman" w:eastAsia="仿宋_GB2312" w:cs="Times New Roman"/>
          <w:color w:val="000000" w:themeColor="text1"/>
          <w:sz w:val="32"/>
          <w:szCs w:val="32"/>
          <w14:textFill>
            <w14:solidFill>
              <w14:schemeClr w14:val="tx1"/>
            </w14:solidFill>
          </w14:textFill>
        </w:rPr>
        <w:t>在质量效益明显提升的基础上实现经济持续健康发展，增长潜力充分发挥，经济增速快于全国平均水平，经济结构更加优化，产业迈向中高端水平，农业基础更加稳固，城乡区域发展协调性显著增强，国家重要先进制造业高地建设取得重大进展。</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——创新能力更强。</w:t>
      </w:r>
      <w:r>
        <w:rPr>
          <w:rFonts w:ascii="Times New Roman" w:hAnsi="Times New Roman" w:eastAsia="仿宋_GB2312" w:cs="Times New Roman"/>
          <w:color w:val="000000" w:themeColor="text1"/>
          <w:sz w:val="32"/>
          <w:szCs w:val="32"/>
          <w14:textFill>
            <w14:solidFill>
              <w14:schemeClr w14:val="tx1"/>
            </w14:solidFill>
          </w14:textFill>
        </w:rPr>
        <w:t>研发投入大幅增加，创新制度不断健全，创新平台体系不断完善，创新人才加快聚集，创新生态更加优化，自主创新能力显著提升，一批关键核心技术取得突破，创新成果加速转化，具有核心竞争力的科技创新高地建设取得重大进展。</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——改革开放更深。</w:t>
      </w:r>
      <w:r>
        <w:rPr>
          <w:rFonts w:ascii="Times New Roman" w:hAnsi="Times New Roman" w:eastAsia="仿宋_GB2312" w:cs="Times New Roman"/>
          <w:color w:val="000000" w:themeColor="text1"/>
          <w:sz w:val="32"/>
          <w:szCs w:val="32"/>
          <w14:textFill>
            <w14:solidFill>
              <w14:schemeClr w14:val="tx1"/>
            </w14:solidFill>
          </w14:textFill>
        </w:rPr>
        <w:t>社会主义市场经济体制更加完善，高标准市场体系基本建成，市场主体更加充满活力，产权制度改革和要素市场化配置改革取得重大进展，更高水平开放型经济新体制基本形成，内陆地区改革开放高地建设取得重大进展。</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——文明程度更高。</w:t>
      </w:r>
      <w:r>
        <w:rPr>
          <w:rFonts w:ascii="Times New Roman" w:hAnsi="Times New Roman" w:eastAsia="仿宋_GB2312" w:cs="Times New Roman"/>
          <w:color w:val="000000" w:themeColor="text1"/>
          <w:spacing w:val="-2"/>
          <w:sz w:val="32"/>
          <w:szCs w:val="32"/>
          <w14:textFill>
            <w14:solidFill>
              <w14:schemeClr w14:val="tx1"/>
            </w14:solidFill>
          </w14:textFill>
        </w:rPr>
        <w:t>社会主义核心价值观深入人心，人民思想道德素质、科学文化素质和身心健康素质明显提高，公共文化服务体系和文化产业体系更加健全，人民精神文化生活日益丰富，优秀湖湘文化传承弘扬，文化软实力和影响力明显提升。</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——生态环境更美。</w:t>
      </w:r>
      <w:r>
        <w:rPr>
          <w:rFonts w:ascii="Times New Roman" w:hAnsi="Times New Roman" w:eastAsia="仿宋_GB2312" w:cs="Times New Roman"/>
          <w:color w:val="000000" w:themeColor="text1"/>
          <w:sz w:val="32"/>
          <w:szCs w:val="32"/>
          <w14:textFill>
            <w14:solidFill>
              <w14:schemeClr w14:val="tx1"/>
            </w14:solidFill>
          </w14:textFill>
        </w:rPr>
        <w:t>国土空间开发保护格局得到优化，生产生活方式绿色转型成效显著，能源资源利用效率大幅提高，主要污染物排放总量持续减少，重点环境问题得到有效整治，生态环境持续改善，生态安全屏障更加牢固，城乡人居环境明显改善。</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——生活品质更优。</w:t>
      </w:r>
      <w:r>
        <w:rPr>
          <w:rFonts w:ascii="Times New Roman" w:hAnsi="Times New Roman" w:eastAsia="仿宋_GB2312" w:cs="Times New Roman"/>
          <w:color w:val="000000" w:themeColor="text1"/>
          <w:sz w:val="32"/>
          <w:szCs w:val="32"/>
          <w14:textFill>
            <w14:solidFill>
              <w14:schemeClr w14:val="tx1"/>
            </w14:solidFill>
          </w14:textFill>
        </w:rPr>
        <w:t>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——治理效能更佳。</w:t>
      </w:r>
      <w:r>
        <w:rPr>
          <w:rFonts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政府作用更好发挥，行政效率和公信力显著提升，社会治理特别是基层治理水平明显提高，防范化解重大风险体制机制不断健全，突发公共事件应急能力显著增强，自然灾害防御水平明显提升，发展安全保障更加有力。</w:t>
      </w:r>
    </w:p>
    <w:tbl>
      <w:tblPr>
        <w:tblStyle w:val="25"/>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05"/>
        <w:gridCol w:w="4430"/>
        <w:gridCol w:w="904"/>
        <w:gridCol w:w="939"/>
        <w:gridCol w:w="6"/>
        <w:gridCol w:w="1148"/>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9336" w:type="dxa"/>
            <w:gridSpan w:val="8"/>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  “十四五”经济社会发展主要指标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5"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类别</w:t>
            </w:r>
          </w:p>
        </w:tc>
        <w:tc>
          <w:tcPr>
            <w:tcW w:w="505"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序号</w:t>
            </w:r>
          </w:p>
        </w:tc>
        <w:tc>
          <w:tcPr>
            <w:tcW w:w="4430"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指 标 名 称</w:t>
            </w:r>
          </w:p>
        </w:tc>
        <w:tc>
          <w:tcPr>
            <w:tcW w:w="904"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2020年</w:t>
            </w:r>
          </w:p>
        </w:tc>
        <w:tc>
          <w:tcPr>
            <w:tcW w:w="939"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2025年</w:t>
            </w:r>
          </w:p>
        </w:tc>
        <w:tc>
          <w:tcPr>
            <w:tcW w:w="1154" w:type="dxa"/>
            <w:gridSpan w:val="2"/>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年均增速</w:t>
            </w:r>
          </w:p>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[累计]</w:t>
            </w:r>
          </w:p>
        </w:tc>
        <w:tc>
          <w:tcPr>
            <w:tcW w:w="939"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经济发展</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地区生产总值增长（%）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全员劳动生产率增长（%）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制造业增加值占地区生产总值比重（%）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w:t>
            </w:r>
            <w:r>
              <w:rPr>
                <w:rFonts w:hint="eastAsia"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产业投资占固定资产投资比重（%）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9.2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61.5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最终消费支出对地区生产总值贡献率（%）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对外贸易依存度（%）</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11.7</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地方一般公共预算收入占地区生产总值比重（%）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常住人口城镇化率（%）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r>
              <w:rPr>
                <w:rFonts w:hint="eastAsia" w:ascii="Times New Roman" w:hAnsi="Times New Roman" w:cs="Times New Roman"/>
                <w:color w:val="000000" w:themeColor="text1"/>
                <w:szCs w:val="21"/>
                <w14:textFill>
                  <w14:solidFill>
                    <w14:schemeClr w14:val="tx1"/>
                  </w14:solidFill>
                </w14:textFill>
              </w:rPr>
              <w:t>.5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63</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创新驱动</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研发经费投入增长（%）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每万人口高价值发明专利拥有量（件）</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数字经济核心产业增加值占地区生产总值比重（%）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民生福祉</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居民人均可支配收入增长（%）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城镇调查失业率（%）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8</w:t>
            </w:r>
          </w:p>
        </w:tc>
        <w:tc>
          <w:tcPr>
            <w:tcW w:w="945"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＜5.5</w:t>
            </w:r>
          </w:p>
        </w:tc>
        <w:tc>
          <w:tcPr>
            <w:tcW w:w="1148"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劳动年龄人口平均受教育年限（年）</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11.2</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每千人口拥有执业（助理）医师数（人）</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2.71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基本养老保险参保率（%）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每千人口拥有</w:t>
            </w: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岁以下婴幼儿托位数（个）</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人均预期寿命（岁）</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77.4</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78.5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绿色生态</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单位地区生产总值能源消耗降低（%）</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093" w:type="dxa"/>
            <w:gridSpan w:val="3"/>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完成国家下达任务</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单位地区生产总值二氧化碳排放降低（%）</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093" w:type="dxa"/>
            <w:gridSpan w:val="3"/>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完成国家下达任务</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地级及以上城市空气质量优良天数比率（%）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88</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地表水达到或好于</w:t>
            </w:r>
            <w:r>
              <w:rPr>
                <w:rFonts w:hint="eastAsia" w:ascii="宋体" w:hAnsi="宋体" w:eastAsia="宋体" w:cs="宋体"/>
                <w:color w:val="000000" w:themeColor="text1"/>
                <w:szCs w:val="21"/>
                <w14:textFill>
                  <w14:solidFill>
                    <w14:schemeClr w14:val="tx1"/>
                  </w14:solidFill>
                </w14:textFill>
              </w:rPr>
              <w:t>Ⅲ</w:t>
            </w:r>
            <w:r>
              <w:rPr>
                <w:rFonts w:ascii="Times New Roman" w:hAnsi="Times New Roman" w:cs="Times New Roman"/>
                <w:color w:val="000000" w:themeColor="text1"/>
                <w:szCs w:val="21"/>
                <w14:textFill>
                  <w14:solidFill>
                    <w14:schemeClr w14:val="tx1"/>
                  </w14:solidFill>
                </w14:textFill>
              </w:rPr>
              <w:t>类水体比例（%）</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93.3</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≥90.4</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森林覆盖率（%）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安全保障</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粮食综合生产能力（万吨）</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3200</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＞3250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能源综合生产能力（万吨标准煤）</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3100</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3200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亿元地区生产总值生产安全事故死亡率（人/亿元）</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[-33%]</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336" w:type="dxa"/>
            <w:gridSpan w:val="8"/>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注：1.</w:t>
            </w:r>
            <w:r>
              <w:rPr>
                <w:rFonts w:hint="eastAsia" w:ascii="Times New Roman" w:hAnsi="Times New Roman" w:cs="Times New Roman"/>
                <w:color w:val="000000" w:themeColor="text1"/>
                <w:szCs w:val="21"/>
                <w14:textFill>
                  <w14:solidFill>
                    <w14:schemeClr w14:val="tx1"/>
                  </w14:solidFill>
                </w14:textFill>
              </w:rPr>
              <w:t>常住人口城镇化率、人均预期寿命</w:t>
            </w:r>
            <w:r>
              <w:rPr>
                <w:rFonts w:ascii="Times New Roman" w:hAnsi="Times New Roman" w:cs="Times New Roman"/>
                <w:color w:val="000000" w:themeColor="text1"/>
                <w:szCs w:val="21"/>
                <w14:textFill>
                  <w14:solidFill>
                    <w14:schemeClr w14:val="tx1"/>
                  </w14:solidFill>
                </w14:textFill>
              </w:rPr>
              <w:t>2020年数据为预计数。2.[ ]为5年累计数。3.地表水因国家调整水环境质量监测网络，考核断面发生</w:t>
            </w:r>
            <w:r>
              <w:rPr>
                <w:rFonts w:hint="eastAsia" w:ascii="Times New Roman" w:hAnsi="Times New Roman" w:cs="Times New Roman"/>
                <w:color w:val="000000" w:themeColor="text1"/>
                <w:szCs w:val="21"/>
                <w14:textFill>
                  <w14:solidFill>
                    <w14:schemeClr w14:val="tx1"/>
                  </w14:solidFill>
                </w14:textFill>
              </w:rPr>
              <w:t>明显</w:t>
            </w:r>
            <w:r>
              <w:rPr>
                <w:rFonts w:ascii="Times New Roman" w:hAnsi="Times New Roman" w:cs="Times New Roman"/>
                <w:color w:val="000000" w:themeColor="text1"/>
                <w:szCs w:val="21"/>
                <w14:textFill>
                  <w14:solidFill>
                    <w14:schemeClr w14:val="tx1"/>
                  </w14:solidFill>
                </w14:textFill>
              </w:rPr>
              <w:t>变化</w:t>
            </w:r>
            <w:r>
              <w:rPr>
                <w:rFonts w:hint="eastAsia" w:ascii="Times New Roman" w:hAnsi="Times New Roman" w:cs="Times New Roman"/>
                <w:color w:val="000000" w:themeColor="text1"/>
                <w:szCs w:val="21"/>
                <w14:textFill>
                  <w14:solidFill>
                    <w14:schemeClr w14:val="tx1"/>
                  </w14:solidFill>
                </w14:textFill>
              </w:rPr>
              <w:t>（新增96个监测断面）</w:t>
            </w:r>
            <w:r>
              <w:rPr>
                <w:rFonts w:ascii="Times New Roman" w:hAnsi="Times New Roman" w:cs="Times New Roman"/>
                <w:color w:val="000000" w:themeColor="text1"/>
                <w:szCs w:val="21"/>
                <w14:textFill>
                  <w14:solidFill>
                    <w14:schemeClr w14:val="tx1"/>
                  </w14:solidFill>
                </w14:textFill>
              </w:rPr>
              <w:t xml:space="preserve">，2025年预期目标低于2020年。 </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9" w:name="_Toc62051530"/>
      <w:r>
        <w:rPr>
          <w:rFonts w:ascii="Times New Roman" w:hAnsi="Times New Roman" w:eastAsia="方正小标宋_GBK" w:cs="Times New Roman"/>
          <w:color w:val="000000" w:themeColor="text1"/>
          <w:sz w:val="32"/>
          <w:szCs w:val="32"/>
          <w14:textFill>
            <w14:solidFill>
              <w14:schemeClr w14:val="tx1"/>
            </w14:solidFill>
          </w14:textFill>
        </w:rPr>
        <w:t>第二篇  着力建设“三个高地”</w:t>
      </w:r>
      <w:r>
        <w:rPr>
          <w:rFonts w:hint="eastAsia" w:ascii="Times New Roman" w:hAnsi="Times New Roman" w:eastAsia="方正小标宋_GBK" w:cs="Times New Roman"/>
          <w:color w:val="000000" w:themeColor="text1"/>
          <w:sz w:val="32"/>
          <w:szCs w:val="32"/>
          <w14:textFill>
            <w14:solidFill>
              <w14:schemeClr w14:val="tx1"/>
            </w14:solidFill>
          </w14:textFill>
        </w:rPr>
        <w:t>支撑</w:t>
      </w:r>
      <w:r>
        <w:rPr>
          <w:rFonts w:ascii="Times New Roman" w:hAnsi="Times New Roman" w:eastAsia="方正小标宋_GBK" w:cs="Times New Roman"/>
          <w:color w:val="000000" w:themeColor="text1"/>
          <w:sz w:val="32"/>
          <w:szCs w:val="32"/>
          <w14:textFill>
            <w14:solidFill>
              <w14:schemeClr w14:val="tx1"/>
            </w14:solidFill>
          </w14:textFill>
        </w:rPr>
        <w:t>的现代化新湖南</w:t>
      </w:r>
      <w:bookmarkEnd w:id="9"/>
    </w:p>
    <w:p>
      <w:pPr>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把聚力打造“三个高地”作为实施“三高四新”战略的首要任务，</w:t>
      </w:r>
      <w:r>
        <w:rPr>
          <w:rFonts w:hint="eastAsia" w:ascii="Times New Roman" w:hAnsi="Times New Roman" w:eastAsia="仿宋_GB2312" w:cs="Times New Roman"/>
          <w:color w:val="000000" w:themeColor="text1"/>
          <w:kern w:val="0"/>
          <w:sz w:val="32"/>
          <w:szCs w:val="32"/>
          <w14:textFill>
            <w14:solidFill>
              <w14:schemeClr w14:val="tx1"/>
            </w14:solidFill>
          </w14:textFill>
        </w:rPr>
        <w:t>引导各类要素协同向打造“三个高地”集聚。</w:t>
      </w:r>
      <w:r>
        <w:rPr>
          <w:rFonts w:ascii="Times New Roman" w:hAnsi="Times New Roman" w:eastAsia="仿宋_GB2312" w:cs="Times New Roman"/>
          <w:color w:val="000000" w:themeColor="text1"/>
          <w:kern w:val="0"/>
          <w:sz w:val="32"/>
          <w:szCs w:val="32"/>
          <w14:textFill>
            <w14:solidFill>
              <w14:schemeClr w14:val="tx1"/>
            </w14:solidFill>
          </w14:textFill>
        </w:rPr>
        <w:t>加快构建现代化经济体系，</w:t>
      </w:r>
      <w:r>
        <w:rPr>
          <w:rFonts w:ascii="Times New Roman" w:hAnsi="Times New Roman" w:eastAsia="仿宋_GB2312" w:cs="Times New Roman"/>
          <w:color w:val="000000" w:themeColor="text1"/>
          <w:sz w:val="32"/>
          <w:szCs w:val="32"/>
          <w14:textFill>
            <w14:solidFill>
              <w14:schemeClr w14:val="tx1"/>
            </w14:solidFill>
          </w14:textFill>
        </w:rPr>
        <w:t>壮大实体经济，</w:t>
      </w:r>
      <w:r>
        <w:rPr>
          <w:rFonts w:ascii="Times New Roman" w:hAnsi="Times New Roman" w:eastAsia="仿宋_GB2312" w:cs="Times New Roman"/>
          <w:color w:val="000000" w:themeColor="text1"/>
          <w:kern w:val="0"/>
          <w:sz w:val="32"/>
          <w:szCs w:val="32"/>
          <w14:textFill>
            <w14:solidFill>
              <w14:schemeClr w14:val="tx1"/>
            </w14:solidFill>
          </w14:textFill>
        </w:rPr>
        <w:t>不断增强我省经济创新力和竞争力，形成加快发展新优势。</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0" w:name="_Toc62051531"/>
      <w:r>
        <w:rPr>
          <w:rFonts w:ascii="Times New Roman" w:hAnsi="Times New Roman" w:eastAsia="黑体" w:cs="Times New Roman"/>
          <w:color w:val="000000" w:themeColor="text1"/>
          <w:sz w:val="32"/>
          <w:szCs w:val="32"/>
          <w14:textFill>
            <w14:solidFill>
              <w14:schemeClr w14:val="tx1"/>
            </w14:solidFill>
          </w14:textFill>
        </w:rPr>
        <w:t>第五章  打造国家重要先进制造业高地</w:t>
      </w:r>
      <w:bookmarkEnd w:id="10"/>
    </w:p>
    <w:p>
      <w:pPr>
        <w:spacing w:line="596" w:lineRule="exact"/>
        <w:ind w:firstLine="624"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color w:val="000000" w:themeColor="text1"/>
          <w:spacing w:val="-4"/>
          <w:sz w:val="32"/>
          <w:szCs w:val="32"/>
          <w14:textFill>
            <w14:solidFill>
              <w14:schemeClr w14:val="tx1"/>
            </w14:solidFill>
          </w14:textFill>
        </w:rPr>
        <w:t>以先进制造业为主攻方向，着力推进质量变革、效率变革、动力变革，实施</w:t>
      </w:r>
      <w:r>
        <w:rPr>
          <w:rFonts w:hint="eastAsia" w:ascii="Times New Roman" w:hAnsi="Times New Roman" w:eastAsia="仿宋_GB2312" w:cs="Times New Roman"/>
          <w:color w:val="000000" w:themeColor="text1"/>
          <w:spacing w:val="-4"/>
          <w:sz w:val="32"/>
          <w:szCs w:val="32"/>
          <w14:textFill>
            <w14:solidFill>
              <w14:schemeClr w14:val="tx1"/>
            </w14:solidFill>
          </w14:textFill>
        </w:rPr>
        <w:t>先进</w:t>
      </w:r>
      <w:r>
        <w:rPr>
          <w:rFonts w:ascii="Times New Roman" w:hAnsi="Times New Roman" w:eastAsia="仿宋_GB2312" w:cs="Times New Roman"/>
          <w:color w:val="000000" w:themeColor="text1"/>
          <w:spacing w:val="-4"/>
          <w:sz w:val="32"/>
          <w:szCs w:val="32"/>
          <w14:textFill>
            <w14:solidFill>
              <w14:schemeClr w14:val="tx1"/>
            </w14:solidFill>
          </w14:textFill>
        </w:rPr>
        <w:t>装备制造业倍增等“八大工程”，推动产业高端化、智能化、绿色化、融合化发展，不断提升产业基础能力和产业链现代化水平，完善产业生态，建设具有全国竞争优势的先进制造业示范引领区。到2025年，制造业占地区生产总值比重高于全国平均水平，制造业质量效益、创新能力达到全国先进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1" w:name="_Toc62051532"/>
      <w:r>
        <w:rPr>
          <w:rFonts w:ascii="Times New Roman" w:hAnsi="Times New Roman" w:eastAsia="楷体_GB2312" w:cs="Times New Roman"/>
          <w:b/>
          <w:bCs/>
          <w:color w:val="000000" w:themeColor="text1"/>
          <w:sz w:val="32"/>
          <w:szCs w:val="32"/>
          <w14:textFill>
            <w14:solidFill>
              <w14:schemeClr w14:val="tx1"/>
            </w14:solidFill>
          </w14:textFill>
        </w:rPr>
        <w:t>第一节  加快发展先进制造业</w:t>
      </w:r>
      <w:bookmarkEnd w:id="11"/>
    </w:p>
    <w:p>
      <w:pPr>
        <w:spacing w:line="596" w:lineRule="exact"/>
        <w:ind w:firstLine="626"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bCs/>
          <w:color w:val="000000" w:themeColor="text1"/>
          <w:spacing w:val="-4"/>
          <w:sz w:val="32"/>
          <w:szCs w:val="32"/>
          <w14:textFill>
            <w14:solidFill>
              <w14:schemeClr w14:val="tx1"/>
            </w14:solidFill>
          </w14:textFill>
        </w:rPr>
        <w:t>打造三大具有全球影响力的产业集群。</w:t>
      </w:r>
      <w:r>
        <w:rPr>
          <w:rFonts w:ascii="Times New Roman" w:hAnsi="Times New Roman" w:eastAsia="仿宋_GB2312" w:cs="Times New Roman"/>
          <w:color w:val="000000" w:themeColor="text1"/>
          <w:spacing w:val="-4"/>
          <w:sz w:val="32"/>
          <w:szCs w:val="32"/>
          <w14:textFill>
            <w14:solidFill>
              <w14:schemeClr w14:val="tx1"/>
            </w14:solidFill>
          </w14:textFill>
        </w:rPr>
        <w:t>围绕工程机械、轨道交通、航空动力三大产业，不断推动技术和产品迭代创新，提高全球竞争力，努力形成世界级产业集群。工程机械，加快智能化发展，强化关键零部件配套，提升大型、超大型工程机械产品竞争力，积极发展特种工程机械，推动主导优势产品迈入世界一流</w:t>
      </w:r>
      <w:r>
        <w:rPr>
          <w:rFonts w:hint="eastAsia" w:ascii="Times New Roman" w:hAnsi="Times New Roman" w:eastAsia="仿宋_GB2312" w:cs="Times New Roman"/>
          <w:color w:val="000000" w:themeColor="text1"/>
          <w:spacing w:val="-4"/>
          <w:sz w:val="32"/>
          <w:szCs w:val="32"/>
          <w14:textFill>
            <w14:solidFill>
              <w14:schemeClr w14:val="tx1"/>
            </w14:solidFill>
          </w14:textFill>
        </w:rPr>
        <w:t>行列</w:t>
      </w:r>
      <w:r>
        <w:rPr>
          <w:rFonts w:ascii="Times New Roman" w:hAnsi="Times New Roman" w:eastAsia="仿宋_GB2312" w:cs="Times New Roman"/>
          <w:color w:val="000000" w:themeColor="text1"/>
          <w:spacing w:val="-4"/>
          <w:sz w:val="32"/>
          <w:szCs w:val="32"/>
          <w14:textFill>
            <w14:solidFill>
              <w14:schemeClr w14:val="tx1"/>
            </w14:solidFill>
          </w14:textFill>
        </w:rPr>
        <w:t>。轨道交通装备，加快新一代轨道交通整车及控制系统、关键部件研发和产业化，推进新型动车组、电力机车、磁悬浮列车等规模化发展。航空动力，扩大中小型发动机和地面燃气轮机生产能力，加快民用飞机起降系统和通用飞机制造产业化，壮大无人机产业，建设航空发动机和关键零部件产业集群。</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壮大形成一批国内一流的优势产业。</w:t>
      </w:r>
      <w:r>
        <w:rPr>
          <w:rFonts w:ascii="Times New Roman" w:hAnsi="Times New Roman" w:eastAsia="仿宋_GB2312" w:cs="Times New Roman"/>
          <w:color w:val="000000" w:themeColor="text1"/>
          <w:sz w:val="32"/>
          <w:szCs w:val="32"/>
          <w14:textFill>
            <w14:solidFill>
              <w14:schemeClr w14:val="tx1"/>
            </w14:solidFill>
          </w14:textFill>
        </w:rPr>
        <w:t>着重发展电子信息、先进材料、智能和新能源汽车、生物轻纺、智能装备等产业，建设国内一流的重要生产基地，形成全国产业竞争新优势。围绕5G等信息新技术，加快核心芯片、自主可控操作系统、高端服务器等研发应用，推动PK体系和鲲鹏体系技术迭代升级，推进5G射频器件、通信模块、IP</w:t>
      </w:r>
      <w:r>
        <w:rPr>
          <w:rFonts w:hint="eastAsia" w:ascii="Times New Roman" w:hAnsi="Times New Roman" w:eastAsia="仿宋_GB2312" w:cs="Times New Roman"/>
          <w:color w:val="000000" w:themeColor="text1"/>
          <w:sz w:val="32"/>
          <w:szCs w:val="32"/>
          <w14:textFill>
            <w14:solidFill>
              <w14:schemeClr w14:val="tx1"/>
            </w14:solidFill>
          </w14:textFill>
        </w:rPr>
        <w:t>v</w:t>
      </w:r>
      <w:r>
        <w:rPr>
          <w:rFonts w:ascii="Times New Roman" w:hAnsi="Times New Roman" w:eastAsia="仿宋_GB2312" w:cs="Times New Roman"/>
          <w:color w:val="000000" w:themeColor="text1"/>
          <w:sz w:val="32"/>
          <w:szCs w:val="32"/>
          <w14:textFill>
            <w14:solidFill>
              <w14:schemeClr w14:val="tx1"/>
            </w14:solidFill>
          </w14:textFill>
        </w:rPr>
        <w:t>6网络设备等特色技术产品产业化，加快发展高清显示器件和中高端智能终端产品，建设国内先进的电子信息产业基地和全国重要的新一代网络装备生产基地。发展先进钢铁材料、先进有色材料、先进化工材料、先进非金属和复合材料、石墨新材料，建设全国一流的化工新材料特色产业集群、国内先进的碳基材料生产研发和成果转化基地、全国先进陶瓷材料基地和电子玻璃、药玻为主的全国特种玻璃发展高地。以国家级车联网先导区为引领，推进传统燃油产能电动化、智能化转型，加强高性能动力电池、车载操作系统等技术攻关和产业化应用，争取启动智能网联汽车整车制造，加快智能网联汽车规模化商用进程，打造国内重要的新能源及智能网联汽车产业基地。以“绿色、智造、品牌”为核心，大力发展食品、医药、轻纺等领域先进制造，努力打造全国绿色安全食品示范基地、国内重要的创新药品和特色医疗器械生产基地、全国一流的特色轻纺名品规模生产聚集地。壮大人工智能、机器人、高端数控机床、先进工控设备、先进传感器、</w:t>
      </w:r>
      <w:r>
        <w:rPr>
          <w:rFonts w:ascii="Times New Roman" w:hAnsi="Times New Roman" w:eastAsia="仿宋_GB2312" w:cs="Times New Roman"/>
          <w:color w:val="000000" w:themeColor="text1"/>
          <w:spacing w:val="-2"/>
          <w:sz w:val="32"/>
          <w:szCs w:val="32"/>
          <w14:textFill>
            <w14:solidFill>
              <w14:schemeClr w14:val="tx1"/>
            </w14:solidFill>
          </w14:textFill>
        </w:rPr>
        <w:t>增材制造、智能电网</w:t>
      </w:r>
      <w:r>
        <w:rPr>
          <w:rFonts w:ascii="Times New Roman" w:hAnsi="Times New Roman" w:eastAsia="仿宋_GB2312" w:cs="Times New Roman"/>
          <w:color w:val="000000" w:themeColor="text1"/>
          <w:sz w:val="32"/>
          <w:szCs w:val="32"/>
          <w14:textFill>
            <w14:solidFill>
              <w14:schemeClr w14:val="tx1"/>
            </w14:solidFill>
          </w14:textFill>
        </w:rPr>
        <w:t>等产业，努力打造全国先进的智能制造装备基地。加快推进传统产业升级改造，巩固提升现有产业优势。</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大力培育新兴和未来产业。</w:t>
      </w:r>
      <w:r>
        <w:rPr>
          <w:rFonts w:ascii="Times New Roman" w:hAnsi="Times New Roman" w:eastAsia="仿宋_GB2312" w:cs="Times New Roman"/>
          <w:color w:val="000000" w:themeColor="text1"/>
          <w:sz w:val="32"/>
          <w:szCs w:val="32"/>
          <w14:textFill>
            <w14:solidFill>
              <w14:schemeClr w14:val="tx1"/>
            </w14:solidFill>
          </w14:textFill>
        </w:rPr>
        <w:t>实施战略性新兴产业培育工程，积极推动新一代半导体、生物技术、绿色环保、新能源、高端装备等产业发展，构建一批产业发展新引擎。推进半导体关键核心成套设备研发和产业化，加快6英寸碳化硅材料及芯片、中低压功率半导体等产业化发展，建成全国最大碳化硅全产业链生产基地，创建国家级半导体装备制造区域中心。</w:t>
      </w:r>
      <w:r>
        <w:rPr>
          <w:rFonts w:ascii="Times New Roman" w:hAnsi="Times New Roman" w:eastAsia="仿宋_GB2312" w:cs="Times New Roman"/>
          <w:color w:val="000000" w:themeColor="text1"/>
          <w:spacing w:val="-2"/>
          <w:sz w:val="32"/>
          <w:szCs w:val="32"/>
          <w14:textFill>
            <w14:solidFill>
              <w14:schemeClr w14:val="tx1"/>
            </w14:solidFill>
          </w14:textFill>
        </w:rPr>
        <w:t>积极推进基因工程技术应用创新，加快发展生物育种、生物医学工程等产业。</w:t>
      </w:r>
      <w:r>
        <w:rPr>
          <w:rFonts w:ascii="Times New Roman" w:hAnsi="Times New Roman" w:eastAsia="仿宋_GB2312" w:cs="Times New Roman"/>
          <w:color w:val="000000" w:themeColor="text1"/>
          <w:sz w:val="32"/>
          <w:szCs w:val="32"/>
          <w14:textFill>
            <w14:solidFill>
              <w14:schemeClr w14:val="tx1"/>
            </w14:solidFill>
          </w14:textFill>
        </w:rPr>
        <w:t>发展节能技术装备、环保技术装备与产品、资源循环利用技术装备与产品、无害化修复技术与装备等节能环保产业。顺应分布式发展、清洁化利用、多能互补的发展方向，优化风能、太阳能布局，壮大新型能源及电力装备产业规模，有序推动新能源产业集群发展，打造绿色供应链</w:t>
      </w:r>
      <w:r>
        <w:rPr>
          <w:rFonts w:ascii="Times New Roman" w:hAnsi="Times New Roman" w:eastAsia="仿宋_GB2312" w:cs="Times New Roman"/>
          <w:color w:val="000000" w:themeColor="text1"/>
          <w:spacing w:val="-2"/>
          <w:sz w:val="32"/>
          <w:szCs w:val="32"/>
          <w14:textFill>
            <w14:solidFill>
              <w14:schemeClr w14:val="tx1"/>
            </w14:solidFill>
          </w14:textFill>
        </w:rPr>
        <w:t>。培育壮大能源装备、海洋装备、</w:t>
      </w:r>
      <w:r>
        <w:rPr>
          <w:rFonts w:hint="eastAsia" w:ascii="Times New Roman" w:hAnsi="Times New Roman" w:eastAsia="仿宋_GB2312" w:cs="Times New Roman"/>
          <w:color w:val="000000" w:themeColor="text1"/>
          <w:spacing w:val="-2"/>
          <w:sz w:val="32"/>
          <w:szCs w:val="32"/>
          <w14:textFill>
            <w14:solidFill>
              <w14:schemeClr w14:val="tx1"/>
            </w14:solidFill>
          </w14:textFill>
        </w:rPr>
        <w:t>智慧</w:t>
      </w:r>
      <w:r>
        <w:rPr>
          <w:rFonts w:ascii="Times New Roman" w:hAnsi="Times New Roman" w:eastAsia="仿宋_GB2312" w:cs="Times New Roman"/>
          <w:color w:val="000000" w:themeColor="text1"/>
          <w:spacing w:val="-2"/>
          <w:sz w:val="32"/>
          <w:szCs w:val="32"/>
          <w14:textFill>
            <w14:solidFill>
              <w14:schemeClr w14:val="tx1"/>
            </w14:solidFill>
          </w14:textFill>
        </w:rPr>
        <w:t>农机等具有技术或产品特色优势的高端装备产业</w:t>
      </w:r>
      <w:r>
        <w:rPr>
          <w:rFonts w:ascii="Times New Roman" w:hAnsi="Times New Roman" w:eastAsia="仿宋_GB2312" w:cs="Times New Roman"/>
          <w:color w:val="000000" w:themeColor="text1"/>
          <w:sz w:val="32"/>
          <w:szCs w:val="32"/>
          <w14:textFill>
            <w14:solidFill>
              <w14:schemeClr w14:val="tx1"/>
            </w14:solidFill>
          </w14:textFill>
        </w:rPr>
        <w:t>。把握产业变革和技术革命趋势，超前布局未来产业，积极推进量子信息、6G技术、类脑智能、氢能核能利用、合成生物、低维材料、超材料、深海深地深空等领域创新发展，抢占战略制高点。</w:t>
      </w:r>
      <w:r>
        <w:rPr>
          <w:rFonts w:ascii="Times New Roman" w:hAnsi="Times New Roman" w:eastAsia="仿宋_GB2312"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2" w:name="_Toc62051533"/>
      <w:r>
        <w:rPr>
          <w:rFonts w:ascii="Times New Roman" w:hAnsi="Times New Roman" w:eastAsia="楷体_GB2312" w:cs="Times New Roman"/>
          <w:b/>
          <w:bCs/>
          <w:color w:val="000000" w:themeColor="text1"/>
          <w:sz w:val="32"/>
          <w:szCs w:val="32"/>
          <w14:textFill>
            <w14:solidFill>
              <w14:schemeClr w14:val="tx1"/>
            </w14:solidFill>
          </w14:textFill>
        </w:rPr>
        <w:t>第二节  提升产业链供应链自主可控能力</w:t>
      </w:r>
      <w:bookmarkEnd w:id="12"/>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锻造产业链长板。</w:t>
      </w:r>
      <w:r>
        <w:rPr>
          <w:rFonts w:ascii="Times New Roman" w:hAnsi="Times New Roman" w:eastAsia="仿宋_GB2312" w:cs="Times New Roman"/>
          <w:color w:val="000000" w:themeColor="text1"/>
          <w:sz w:val="32"/>
          <w:szCs w:val="32"/>
          <w14:textFill>
            <w14:solidFill>
              <w14:schemeClr w14:val="tx1"/>
            </w14:solidFill>
          </w14:textFill>
        </w:rPr>
        <w:t>着眼工业新兴优势产业链，做好产业链供应链战略设计和精准施策，编制产业链全景图和现状图，加大建链补链延链强链力度，努力培育新兴产业链长板。支持龙头企业并购延链，强化话语权和供应链地位，促进产业链向两端延伸、向高端攀升，形成若干具有全球核心竞争力的产业链领军企业。引导省内企业循链联动集聚发展，扩大优势产业链影响力。加强与央企合作，</w:t>
      </w:r>
      <w:r>
        <w:rPr>
          <w:rFonts w:ascii="Times New Roman" w:hAnsi="Times New Roman" w:eastAsia="仿宋" w:cs="Times New Roman"/>
          <w:color w:val="000000" w:themeColor="text1"/>
          <w:sz w:val="32"/>
          <w:szCs w:val="32"/>
          <w14:textFill>
            <w14:solidFill>
              <w14:schemeClr w14:val="tx1"/>
            </w14:solidFill>
          </w14:textFill>
        </w:rPr>
        <w:t>健全常态化的协调对接机制</w:t>
      </w:r>
      <w:r>
        <w:rPr>
          <w:rFonts w:ascii="Times New Roman" w:hAnsi="Times New Roman" w:eastAsia="仿宋_GB2312" w:cs="Times New Roman"/>
          <w:color w:val="000000" w:themeColor="text1"/>
          <w:sz w:val="32"/>
          <w:szCs w:val="32"/>
          <w14:textFill>
            <w14:solidFill>
              <w14:schemeClr w14:val="tx1"/>
            </w14:solidFill>
          </w14:textFill>
        </w:rPr>
        <w:t>，积极参与构建以央企为龙头的国内外产业链长板。</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弥补产业链短板。</w:t>
      </w:r>
      <w:r>
        <w:rPr>
          <w:rFonts w:ascii="Times New Roman" w:hAnsi="Times New Roman" w:eastAsia="仿宋_GB2312" w:cs="Times New Roman"/>
          <w:color w:val="000000" w:themeColor="text1"/>
          <w:sz w:val="32"/>
          <w:szCs w:val="32"/>
          <w14:textFill>
            <w14:solidFill>
              <w14:schemeClr w14:val="tx1"/>
            </w14:solidFill>
          </w14:textFill>
        </w:rPr>
        <w:t>坚持自主可控、安全高效，聚焦全省产业链关键环节，加大重要产品和重大技术装备攻关力度，推广先进适用技术，推动产业链整体升级。在国际先进领域，大力推进关键生产设备、零部件和材料就近国产化替代；在国内领先领域，瞄准国际一流水平奋力实现产品攻关，不断突破一批“大国重器”。促进重点产业横向联合，加强顶层设计、应用牵引、整机带动，突破一批共性技术和通用零部件短板。积极参与国家产业基础再造工程，加快提高工业“四基”能力。到2025年，工程机械、轨道交通产业实现全面自主可控；其他重点优势产业自主可控水平和生产装备、关键零部件国产化率显著提高。</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推进零部件配套发展。</w:t>
      </w:r>
      <w:r>
        <w:rPr>
          <w:rFonts w:ascii="Times New Roman" w:hAnsi="Times New Roman" w:eastAsia="仿宋_GB2312" w:cs="Times New Roman"/>
          <w:bCs/>
          <w:color w:val="000000" w:themeColor="text1"/>
          <w:sz w:val="32"/>
          <w:szCs w:val="32"/>
          <w14:textFill>
            <w14:solidFill>
              <w14:schemeClr w14:val="tx1"/>
            </w14:solidFill>
          </w14:textFill>
        </w:rPr>
        <w:t>引</w:t>
      </w:r>
      <w:r>
        <w:rPr>
          <w:rFonts w:ascii="Times New Roman" w:hAnsi="Times New Roman" w:eastAsia="仿宋_GB2312" w:cs="Times New Roman"/>
          <w:color w:val="000000" w:themeColor="text1"/>
          <w:sz w:val="32"/>
          <w:szCs w:val="32"/>
          <w14:textFill>
            <w14:solidFill>
              <w14:schemeClr w14:val="tx1"/>
            </w14:solidFill>
          </w14:textFill>
        </w:rPr>
        <w:t>导省内企业加强供需对接，促进形成稳定的上下游合作。积极引进国内外重要供应商在湖南布局生产基地，鼓励有条件企业自主研发替代。围绕重点产业在省内建设一批配套产业园，推动产业链主配协同发展，提高本地配套率。到2025年，工程机械零部件省内配套率提高到60%以上。</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促进供应链多元化。</w:t>
      </w:r>
      <w:r>
        <w:rPr>
          <w:rFonts w:ascii="Times New Roman" w:hAnsi="Times New Roman" w:eastAsia="仿宋_GB2312" w:cs="Times New Roman"/>
          <w:color w:val="000000" w:themeColor="text1"/>
          <w:sz w:val="32"/>
          <w:szCs w:val="32"/>
          <w14:textFill>
            <w14:solidFill>
              <w14:schemeClr w14:val="tx1"/>
            </w14:solidFill>
          </w14:textFill>
        </w:rPr>
        <w:t>加强国际、国内产业安全合作，推动上下游供应链多元化布局，完善装备、零部件供应多元化采购制度，形成具有更强创新力、更高附加值、更安全可靠的供应链，增强供应链的韧性和灵活性。建立重要产品和供应渠道的替代来源，完善供应链备链和风险管理机制，建设必要的产业备份系统</w:t>
      </w:r>
      <w:r>
        <w:rPr>
          <w:rFonts w:hint="eastAsia" w:ascii="Times New Roman" w:hAnsi="Times New Roman" w:eastAsia="仿宋_GB2312" w:cs="Times New Roman"/>
          <w:color w:val="000000" w:themeColor="text1"/>
          <w:sz w:val="32"/>
          <w:szCs w:val="32"/>
          <w14:textFill>
            <w14:solidFill>
              <w14:schemeClr w14:val="tx1"/>
            </w14:solidFill>
          </w14:textFill>
        </w:rPr>
        <w:t>，加强</w:t>
      </w:r>
      <w:r>
        <w:rPr>
          <w:rFonts w:ascii="Times New Roman" w:hAnsi="Times New Roman" w:eastAsia="仿宋_GB2312" w:cs="Times New Roman"/>
          <w:color w:val="000000" w:themeColor="text1"/>
          <w:sz w:val="32"/>
          <w:szCs w:val="32"/>
          <w14:textFill>
            <w14:solidFill>
              <w14:schemeClr w14:val="tx1"/>
            </w14:solidFill>
          </w14:textFill>
        </w:rPr>
        <w:t>关键原材料、零部件、元器件储备，全面提升重点产业供应链稳定性可靠性。</w:t>
      </w:r>
    </w:p>
    <w:p>
      <w:pPr>
        <w:spacing w:line="596" w:lineRule="exact"/>
        <w:ind w:firstLine="642" w:firstLineChars="20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加强质量品牌建设。</w:t>
      </w:r>
      <w:r>
        <w:rPr>
          <w:rFonts w:ascii="Times New Roman" w:hAnsi="Times New Roman" w:eastAsia="仿宋_GB2312" w:cs="Times New Roman"/>
          <w:color w:val="000000" w:themeColor="text1"/>
          <w:sz w:val="32"/>
          <w:szCs w:val="32"/>
          <w14:textFill>
            <w14:solidFill>
              <w14:schemeClr w14:val="tx1"/>
            </w14:solidFill>
          </w14:textFill>
        </w:rPr>
        <w:t>积极争取布局国家质量基础设施，加强标准、计量、专利等体系建设。加快消费品质量安全标准与国际标准或出口标准并轨，积极设立企业标准、地方标准，申报行业标准和国家标准。实施品牌提升工程，加强品牌建设，发展品牌文化，培育一批特色鲜明、竞争力强、市场信誉好的区域、产业、企业、产品品牌。</w:t>
      </w:r>
      <w:r>
        <w:rPr>
          <w:rFonts w:ascii="Times New Roman" w:hAnsi="Times New Roman" w:eastAsia="仿宋_GB2312" w:cs="Times New Roman"/>
          <w:color w:val="000000" w:themeColor="text1"/>
          <w:kern w:val="0"/>
          <w:sz w:val="32"/>
          <w:szCs w:val="32"/>
          <w14:textFill>
            <w14:solidFill>
              <w14:schemeClr w14:val="tx1"/>
            </w14:solidFill>
          </w14:textFill>
        </w:rPr>
        <w:t>完善质量监管体系，强化企业质量主体责任，建立健全质量安全预警、产品全生命周期质量追溯、售后服务等制度。</w:t>
      </w:r>
      <w:r>
        <w:rPr>
          <w:rFonts w:ascii="Times New Roman" w:hAnsi="Times New Roman" w:eastAsia="仿宋_GB2312" w:cs="Times New Roman"/>
          <w:color w:val="000000" w:themeColor="text1"/>
          <w:sz w:val="32"/>
          <w:szCs w:val="32"/>
          <w14:textFill>
            <w14:solidFill>
              <w14:schemeClr w14:val="tx1"/>
            </w14:solidFill>
          </w14:textFill>
        </w:rPr>
        <w:t>加强湖南知名品牌培育宣介和湘品出湘协调服务，依托中国品牌日、国家级会展等公共平台，打造湘品湘造质量形象。</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3" w:name="_Toc62051534"/>
      <w:r>
        <w:rPr>
          <w:rFonts w:ascii="Times New Roman" w:hAnsi="Times New Roman" w:eastAsia="楷体_GB2312" w:cs="Times New Roman"/>
          <w:b/>
          <w:bCs/>
          <w:color w:val="000000" w:themeColor="text1"/>
          <w:sz w:val="32"/>
          <w:szCs w:val="32"/>
          <w14:textFill>
            <w14:solidFill>
              <w14:schemeClr w14:val="tx1"/>
            </w14:solidFill>
          </w14:textFill>
        </w:rPr>
        <w:t>第三节  培育产业生态</w:t>
      </w:r>
      <w:bookmarkEnd w:id="13"/>
    </w:p>
    <w:p>
      <w:pPr>
        <w:spacing w:line="596" w:lineRule="exact"/>
        <w:ind w:firstLine="629" w:firstLineChars="196"/>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培育企业主体。</w:t>
      </w:r>
      <w:r>
        <w:rPr>
          <w:rFonts w:ascii="Times New Roman" w:hAnsi="Times New Roman" w:eastAsia="仿宋_GB2312" w:cs="Times New Roman"/>
          <w:color w:val="000000" w:themeColor="text1"/>
          <w:sz w:val="32"/>
          <w:szCs w:val="32"/>
          <w14:textFill>
            <w14:solidFill>
              <w14:schemeClr w14:val="tx1"/>
            </w14:solidFill>
          </w14:textFill>
        </w:rPr>
        <w:t>鼓励企业创新组织模式、重构创新模式、变革生产模式、优化商业模式，推行先进管理，强化创新驱动，实现内涵发展，不断增强核心竞争力。做强大企业，培育一批世界500强、中国500强和民营500强企业。推动中小企业深耕细分领域创新发展，形成一批拥有独门绝技的国家级专精特新“小巨人”或单项冠军企业。推进个转企、小升规、规改股、股上市，每年新增规模工业企业1000家以上。推进供应链协同、创新能力共享和数据驱动，促进国企民企、大中小企业协调互促、共同发展。</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推动融合发展。</w:t>
      </w:r>
      <w:r>
        <w:rPr>
          <w:rFonts w:ascii="Times New Roman" w:hAnsi="Times New Roman" w:eastAsia="仿宋_GB2312" w:cs="Times New Roman"/>
          <w:color w:val="000000" w:themeColor="text1"/>
          <w:sz w:val="32"/>
          <w:szCs w:val="32"/>
          <w14:textFill>
            <w14:solidFill>
              <w14:schemeClr w14:val="tx1"/>
            </w14:solidFill>
          </w14:textFill>
        </w:rPr>
        <w:t>以新型基础设施为依托，推进信息化与工业化深度融合，推进互联网、大数据、人工智能与先进制造业深度融合，以智能制造为主攻方向推动技术变革和产业升级，提高国产省产机器人等智造装备应用水平，不断完善智能制造生态系统。积极发展工业互联网，大力推进自主智能制造与5G、物联网结合，发展协同制造、共享制造、柔性制造，打造一批国内外一流标杆企业、示范工厂。加快建设长株潭东部先进制造业融合发展带。到2025年，全省重点行业关键工序数控化率达到全国先进水平。</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实现产业园区高质量发展</w:t>
      </w:r>
      <w:r>
        <w:rPr>
          <w:rFonts w:ascii="Times New Roman" w:hAnsi="Times New Roman" w:eastAsia="仿宋_GB2312" w:cs="Times New Roman"/>
          <w:color w:val="000000" w:themeColor="text1"/>
          <w:sz w:val="32"/>
          <w:szCs w:val="32"/>
          <w14:textFill>
            <w14:solidFill>
              <w14:schemeClr w14:val="tx1"/>
            </w14:solidFill>
          </w14:textFill>
        </w:rPr>
        <w:t>。强化园区发展质量效益导向，完善省级以上园区以“亩均论英雄”评价激励机制，实施分档激励和重要资源要素差别化配置。突出园区主导产业特色，统一发布各园区产业链招商目录，实行精准招商。鼓励园区开展跨区域合作，建设“飞地园区”，强化园区间的协同配套发展。不断提高产业园区集聚能力，到2025年，制造业企业入园率提高到85%以上，园区制造业营收和税收占规模制造业90%以上，园区制造业亩均投入强度、产出水平达到全国先进水平。</w:t>
      </w:r>
    </w:p>
    <w:p>
      <w:pPr>
        <w:spacing w:line="568" w:lineRule="exact"/>
        <w:ind w:firstLine="629"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完善先进制造业政策体系。</w:t>
      </w:r>
      <w:r>
        <w:rPr>
          <w:rFonts w:ascii="Times New Roman" w:hAnsi="Times New Roman" w:eastAsia="仿宋_GB2312" w:cs="Times New Roman"/>
          <w:color w:val="000000" w:themeColor="text1"/>
          <w:sz w:val="32"/>
          <w:szCs w:val="32"/>
          <w14:textFill>
            <w14:solidFill>
              <w14:schemeClr w14:val="tx1"/>
            </w14:solidFill>
          </w14:textFill>
        </w:rPr>
        <w:t>加快促进实体经济、先进制造业发展体制机制创新。全面落实国家产业政策，提高省内配套政策的普惠性和功能性。加快建立制造业高质量发展、产业链现代化指标体系和评价体系。精准开展产业和产业链服务，完善以产业项目建设为抓手，产业链、创新链、资金链、人才链、价值链良性循环的有效机制，形成产业发展高效协同推进体系。加强先进制造业要素支持，优化政府引导投入，发挥制造业中长期贷款机制作用，加大首台套、首批次产品支持力度，完善政产学研用联动机制。</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  企业主体培育工程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领航型大企业培育工程。</w:t>
            </w:r>
            <w:r>
              <w:rPr>
                <w:rFonts w:ascii="Times New Roman" w:hAnsi="Times New Roman" w:cs="Times New Roman"/>
                <w:bCs/>
                <w:color w:val="000000" w:themeColor="text1"/>
                <w:kern w:val="0"/>
                <w:sz w:val="24"/>
                <w14:textFill>
                  <w14:solidFill>
                    <w14:schemeClr w14:val="tx1"/>
                  </w14:solidFill>
                </w14:textFill>
              </w:rPr>
              <w:t>通过联合、兼并、重组、上市等方式，鼓励企业实现梯次发展和集团化发展，提升企业规模和竞争能力，重点培育一批市场前景佳、成长性好的行业龙头企业，力争培育一批主营业务收入超50亿元、100亿元的大企业大集团。力争培育2-3家世界500强、10家左右中国500强和一批民营500强。新增“中国服务500强企业”5家。</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小巨人企业培育工程。</w:t>
            </w:r>
            <w:r>
              <w:rPr>
                <w:rFonts w:ascii="Times New Roman" w:hAnsi="Times New Roman" w:cs="Times New Roman"/>
                <w:bCs/>
                <w:color w:val="000000" w:themeColor="text1"/>
                <w:kern w:val="0"/>
                <w:sz w:val="24"/>
                <w14:textFill>
                  <w14:solidFill>
                    <w14:schemeClr w14:val="tx1"/>
                  </w14:solidFill>
                </w14:textFill>
              </w:rPr>
              <w:t>加强关键环节的重点支持，鼓励企业专注细分市场、突破关键核心技术，培育一批创新能力强、专业市场占有率高、质量效益优的排头兵企业，培育100家以上国家级专精特新“小巨人”或单项冠军企业，培育一批独角兽企业和瞪羚企业。</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“四上”企业培育工程。</w:t>
            </w:r>
            <w:r>
              <w:rPr>
                <w:rFonts w:ascii="Times New Roman" w:hAnsi="Times New Roman" w:cs="Times New Roman"/>
                <w:bCs/>
                <w:color w:val="000000" w:themeColor="text1"/>
                <w:kern w:val="0"/>
                <w:sz w:val="24"/>
                <w14:textFill>
                  <w14:solidFill>
                    <w14:schemeClr w14:val="tx1"/>
                  </w14:solidFill>
                </w14:textFill>
              </w:rPr>
              <w:t>支持小微企业扩大经营和服务，引导社会融资规模持续向小微企业倾斜，围绕上下游配套产业，推动小微企业规模扩大、品质增强，每年新增规模工业企业1000家以上。积极支持资质等级建筑业企业、限额以上批零住宿餐饮企业、限额以上服务业企业加快发展，实现“四上”企业大幅增加。</w:t>
            </w:r>
          </w:p>
          <w:p>
            <w:pPr>
              <w:spacing w:line="32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营商环境优化工程。</w:t>
            </w:r>
            <w:r>
              <w:rPr>
                <w:rFonts w:ascii="Times New Roman" w:hAnsi="Times New Roman" w:cs="Times New Roman"/>
                <w:bCs/>
                <w:color w:val="000000" w:themeColor="text1"/>
                <w:kern w:val="0"/>
                <w:sz w:val="24"/>
                <w14:textFill>
                  <w14:solidFill>
                    <w14:schemeClr w14:val="tx1"/>
                  </w14:solidFill>
                </w14:textFill>
              </w:rPr>
              <w:t>从减环节、优流程、压时限、提效率入手，落实各项惠企政策，提升服务效能，打通关键环节，全力破除影响和阻碍市场主体发展的各种因素，真正为各类市场主体减轻负担。推进商事制度改革，为各类市场主体创造市场化、法治化、国际化的营商环境。</w:t>
            </w:r>
          </w:p>
        </w:tc>
      </w:tr>
    </w:tbl>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 w:name="_Toc62051535"/>
      <w:r>
        <w:rPr>
          <w:rFonts w:ascii="Times New Roman" w:hAnsi="Times New Roman" w:eastAsia="楷体_GB2312" w:cs="Times New Roman"/>
          <w:b/>
          <w:bCs/>
          <w:color w:val="000000" w:themeColor="text1"/>
          <w:sz w:val="32"/>
          <w:szCs w:val="32"/>
          <w14:textFill>
            <w14:solidFill>
              <w14:schemeClr w14:val="tx1"/>
            </w14:solidFill>
          </w14:textFill>
        </w:rPr>
        <w:t>第四节  推动数字经济发展</w:t>
      </w:r>
      <w:bookmarkEnd w:id="14"/>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推动数字产业化。</w:t>
      </w:r>
      <w:r>
        <w:rPr>
          <w:rFonts w:ascii="Times New Roman" w:hAnsi="Times New Roman" w:eastAsia="仿宋_GB2312" w:cs="Times New Roman"/>
          <w:color w:val="000000" w:themeColor="text1"/>
          <w:sz w:val="32"/>
          <w:szCs w:val="32"/>
          <w14:textFill>
            <w14:solidFill>
              <w14:schemeClr w14:val="tx1"/>
            </w14:solidFill>
          </w14:textFill>
        </w:rPr>
        <w:t>充分发挥数据新要素的重要作用，培育壮大数字经济核心产业。推进人工智能、集成电路、5G应用、大数据、云计算、软件服务及互联网产业发展，建设全国数字经济创新引领区、产业聚集区和应用先导区。加快推进大型绿色数据中心建设，培育一批第三方数据资源提供商和数据应用服务商，发展数据服务、数据分析、大数据交易治理等新业态。加快区块链产业布局发展，培育一批区块链龙头企业，积极拓展区块链应用场景，推动区块链技术在社会治理、产业供应链、民生保障等领域的应用。做强数字创意产业，推动数字创意在各领域的融合应用发展，构建“制造+内容+传输+应用”的全产业链体系。</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推进产业数字化。</w:t>
      </w:r>
      <w:r>
        <w:rPr>
          <w:rFonts w:ascii="Times New Roman" w:hAnsi="Times New Roman" w:eastAsia="仿宋_GB2312" w:cs="Times New Roman"/>
          <w:color w:val="000000" w:themeColor="text1"/>
          <w:sz w:val="32"/>
          <w:szCs w:val="32"/>
          <w14:textFill>
            <w14:solidFill>
              <w14:schemeClr w14:val="tx1"/>
            </w14:solidFill>
          </w14:textFill>
        </w:rPr>
        <w:t>推动制造业数字化转型，引导“数字化+网络化+智能化”发展，组建企业智能创新联盟，加快工业互联网在块状经济、制造业企业的深度应用，促进企业生产管理关键环节数字化、网络化升级，深入推进“中小企业上云”行动，建设一批自动工位、智能车间、智能工厂、智能企业。拓展服务新业态，推动智能物流、智慧交通、数字金融等领域发展，促进共享经济健康发展，推进体验式消费、个性需求定制、“互联网+教育”“互联网+医疗”等加快发展。发展数字农业，聚焦农业生产、加工、经营环节数字化改造，积极发展智慧农业，打造数字田园，提升质量追溯信息化水平。</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建设数字政府和数字社会。</w:t>
      </w:r>
      <w:r>
        <w:rPr>
          <w:rFonts w:ascii="Times New Roman" w:hAnsi="Times New Roman" w:eastAsia="仿宋_GB2312" w:cs="Times New Roman"/>
          <w:color w:val="000000" w:themeColor="text1"/>
          <w:sz w:val="32"/>
          <w:szCs w:val="32"/>
          <w14:textFill>
            <w14:solidFill>
              <w14:schemeClr w14:val="tx1"/>
            </w14:solidFill>
          </w14:textFill>
        </w:rPr>
        <w:t>加快数字政府建设，统筹各系统各部门各市州的信息化建设和数据资源共享，推进重点领域数据资源归集，建立基于大数据分析的经济社会管理体系，构建数据驱动的政府治理新机制。加快“天心数谷”和湖南大数据交易中心等一批公共服务、重点行业和大型企业数据中心建设。加快</w:t>
      </w:r>
      <w:r>
        <w:rPr>
          <w:rFonts w:ascii="Times New Roman" w:hAnsi="Times New Roman" w:eastAsia="仿宋_GB2312" w:cs="Times New Roman"/>
          <w:color w:val="000000" w:themeColor="text1"/>
          <w:kern w:val="0"/>
          <w:sz w:val="32"/>
          <w:szCs w:val="32"/>
          <w14:textFill>
            <w14:solidFill>
              <w14:schemeClr w14:val="tx1"/>
            </w14:solidFill>
          </w14:textFill>
        </w:rPr>
        <w:t>数据资源开发利用，推动政府数据共享，促进社会数据融合，扩大基础公共信息数据有序开放，发掘和释放数据资源的潜在价值。</w:t>
      </w:r>
      <w:r>
        <w:rPr>
          <w:rFonts w:ascii="Times New Roman" w:hAnsi="Times New Roman" w:eastAsia="仿宋_GB2312" w:cs="Times New Roman"/>
          <w:color w:val="000000" w:themeColor="text1"/>
          <w:sz w:val="32"/>
          <w:szCs w:val="32"/>
          <w14:textFill>
            <w14:solidFill>
              <w14:schemeClr w14:val="tx1"/>
            </w14:solidFill>
          </w14:textFill>
        </w:rPr>
        <w:t>加快数字社会建设，统筹规划建设一批行业信息化应用系统，建立重点领域的智慧化融合应用系统，提高公共服务数字化智能化水平。保障数据安全，完善适用于大数据环境下的数据分类分级安全保护制度，加强对政务数据、企业商业秘密和个人信息安全的保护。</w:t>
      </w:r>
    </w:p>
    <w:tbl>
      <w:tblPr>
        <w:tblStyle w:val="25"/>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940" w:type="dxa"/>
            <w:shd w:val="clear" w:color="auto" w:fill="auto"/>
            <w:vAlign w:val="center"/>
          </w:tcPr>
          <w:p>
            <w:pPr>
              <w:jc w:val="center"/>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专栏4  先进制造业高地八大工程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40" w:type="dxa"/>
            <w:shd w:val="clear" w:color="auto" w:fill="auto"/>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先进装备制造业倍增工程。</w:t>
            </w:r>
            <w:r>
              <w:rPr>
                <w:rFonts w:ascii="Times New Roman" w:hAnsi="Times New Roman" w:cs="Times New Roman"/>
                <w:color w:val="000000" w:themeColor="text1"/>
                <w:sz w:val="24"/>
                <w:szCs w:val="24"/>
                <w14:textFill>
                  <w14:solidFill>
                    <w14:schemeClr w14:val="tx1"/>
                  </w14:solidFill>
                </w14:textFill>
              </w:rPr>
              <w:t>加快壮大工程机械、轨道交通、航空动力、电子信息装备等先进装备制造业规模，提高机械装备电动化、智能化水平，加快电气信息装备提质增效、软硬件融合发展，强化关键零部件自主配套。实施先进装备制造业领航企业、链主企业和紧密配套倍增计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到2025年，</w:t>
            </w:r>
            <w:r>
              <w:rPr>
                <w:rFonts w:hint="eastAsia" w:ascii="Times New Roman" w:hAnsi="Times New Roman" w:cs="Times New Roman"/>
                <w:color w:val="000000" w:themeColor="text1"/>
                <w:sz w:val="24"/>
                <w:szCs w:val="24"/>
                <w14:textFill>
                  <w14:solidFill>
                    <w14:schemeClr w14:val="tx1"/>
                  </w14:solidFill>
                </w14:textFill>
              </w:rPr>
              <w:t>先进</w:t>
            </w:r>
            <w:r>
              <w:rPr>
                <w:rFonts w:ascii="Times New Roman" w:hAnsi="Times New Roman" w:cs="Times New Roman"/>
                <w:color w:val="000000" w:themeColor="text1"/>
                <w:sz w:val="24"/>
                <w:szCs w:val="24"/>
                <w14:textFill>
                  <w14:solidFill>
                    <w14:schemeClr w14:val="tx1"/>
                  </w14:solidFill>
                </w14:textFill>
              </w:rPr>
              <w:t>装备制造业产值比2020年翻一番。</w:t>
            </w:r>
          </w:p>
          <w:p>
            <w:pPr>
              <w:spacing w:line="320" w:lineRule="exact"/>
              <w:ind w:firstLine="473"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2"/>
                <w:sz w:val="24"/>
                <w:szCs w:val="24"/>
                <w14:textFill>
                  <w14:solidFill>
                    <w14:schemeClr w14:val="tx1"/>
                  </w14:solidFill>
                </w14:textFill>
              </w:rPr>
              <w:t>战略性新兴产业培育工程。</w:t>
            </w:r>
            <w:r>
              <w:rPr>
                <w:rFonts w:ascii="Times New Roman" w:hAnsi="Times New Roman" w:cs="Times New Roman"/>
                <w:color w:val="000000" w:themeColor="text1"/>
                <w:spacing w:val="-2"/>
                <w:sz w:val="24"/>
                <w:szCs w:val="24"/>
                <w14:textFill>
                  <w14:solidFill>
                    <w14:schemeClr w14:val="tx1"/>
                  </w14:solidFill>
                </w14:textFill>
              </w:rPr>
              <w:t>加快壮大新一代信息技术、生物技术、新能源、新材料、高端装备、新能源汽车、绿色环保以及航空航天、海洋装备等产业。推动互联网、大数据、人工智能等与各产业深度融合，推动战略性新兴产业集群发展，构建一批各具特色、优势互补、结构合理的增长引擎，培育新技术、新产品、新业态、新模式</w:t>
            </w:r>
            <w:r>
              <w:rPr>
                <w:rFonts w:ascii="Times New Roman" w:hAnsi="Times New Roman" w:cs="Times New Roman"/>
                <w:color w:val="000000" w:themeColor="text1"/>
                <w:sz w:val="24"/>
                <w:szCs w:val="24"/>
                <w14:textFill>
                  <w14:solidFill>
                    <w14:schemeClr w14:val="tx1"/>
                  </w14:solidFill>
                </w14:textFill>
              </w:rPr>
              <w:t>。</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食品医药创优工程。</w:t>
            </w:r>
            <w:r>
              <w:rPr>
                <w:rFonts w:ascii="Times New Roman" w:hAnsi="Times New Roman" w:cs="Times New Roman"/>
                <w:color w:val="000000" w:themeColor="text1"/>
                <w:sz w:val="24"/>
                <w:szCs w:val="24"/>
                <w14:textFill>
                  <w14:solidFill>
                    <w14:schemeClr w14:val="tx1"/>
                  </w14:solidFill>
                </w14:textFill>
              </w:rPr>
              <w:t>食品</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不断提升农副产品加工的智能化、绿色化水平，培育一批全国一流的食品加工龙头企业，树立绿色安全优质的“湘食”品牌形象。医药</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推进创新药、首位药、儿童药、短缺药开发及产业化，研发中药新品种。发展具有自主</w:t>
            </w:r>
            <w:r>
              <w:rPr>
                <w:rFonts w:hint="eastAsia" w:ascii="Times New Roman" w:hAnsi="Times New Roman" w:cs="Times New Roman"/>
                <w:color w:val="000000" w:themeColor="text1"/>
                <w:sz w:val="24"/>
                <w:szCs w:val="24"/>
                <w14:textFill>
                  <w14:solidFill>
                    <w14:schemeClr w14:val="tx1"/>
                  </w14:solidFill>
                </w14:textFill>
              </w:rPr>
              <w:t>技术的医疗器械。</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国防现代化工程。</w:t>
            </w:r>
            <w:r>
              <w:rPr>
                <w:rFonts w:ascii="Times New Roman" w:hAnsi="Times New Roman" w:cs="Times New Roman"/>
                <w:color w:val="000000" w:themeColor="text1"/>
                <w:sz w:val="24"/>
                <w:szCs w:val="24"/>
                <w14:textFill>
                  <w14:solidFill>
                    <w14:schemeClr w14:val="tx1"/>
                  </w14:solidFill>
                </w14:textFill>
              </w:rPr>
              <w:t>深入推进国防建设重点区域和创新示范基地建设，加快国防建设在协同创新、人才培养、公共服务网络体系建设等领域的深度发展。实施重点相关企业培育计划。聚焦航空航天、军用电子、关键材料、海洋装备、人工智能等领域，推进新型动力、电磁能、北斗卫星导航、中小航空发动机等项目建设。</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产业链供应链提升工程。</w:t>
            </w:r>
            <w:r>
              <w:rPr>
                <w:rFonts w:ascii="Times New Roman" w:hAnsi="Times New Roman" w:cs="Times New Roman"/>
                <w:color w:val="000000" w:themeColor="text1"/>
                <w:sz w:val="24"/>
                <w:szCs w:val="24"/>
                <w14:textFill>
                  <w14:solidFill>
                    <w14:schemeClr w14:val="tx1"/>
                  </w14:solidFill>
                </w14:textFill>
              </w:rPr>
              <w:t>坚持锻长板与补短板相结合，持续抓好工业新兴优势产业链，加强重要产品和重大技术装备攻关。构建重点产业链供应链安全评估和风险预警机制，加快制造业供应链安全体系建设，实施断链断供替代行动，促进龙头企业建立同准备份、降准备份，推动产业链供应链多元化，加快产业链核心环节本地化，提升主导产业本地配套率。推进产业链就近配套，引导企业和项目向专业化特色化园区集聚，形成紧密配套区域品牌。</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智能制造赋能工程。</w:t>
            </w:r>
            <w:r>
              <w:rPr>
                <w:rFonts w:ascii="Times New Roman" w:hAnsi="Times New Roman" w:cs="Times New Roman"/>
                <w:color w:val="000000" w:themeColor="text1"/>
                <w:sz w:val="24"/>
                <w:szCs w:val="24"/>
                <w14:textFill>
                  <w14:solidFill>
                    <w14:schemeClr w14:val="tx1"/>
                  </w14:solidFill>
                </w14:textFill>
              </w:rPr>
              <w:t>持续开展智能制造工程，强化智能制造供给能力。引导制造业企业应用新一代信息技术，开展数字化网络化智能化改造升级，全面提高工业企业智能化水平</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实施工业互联网融合创新行动，加强“5G+工业互联网”融合应用，深化5G与制造业各垂直行业领域的融合创新发展，不断提升工业互联网应用水平</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实施绿色工业发展行动计划，加快制造业绿色改造升级，支持开发资源节约环境友好的绿色产品，打造高效低耗的绿色供应链，大力发展再制造产业。大力发展工业软件，加快工业APP培育，推动中国软件名园创建，支持长沙创建中国软件名城。</w:t>
            </w:r>
          </w:p>
          <w:p>
            <w:pPr>
              <w:spacing w:line="320" w:lineRule="exact"/>
              <w:ind w:firstLine="473"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2"/>
                <w:sz w:val="24"/>
                <w:szCs w:val="24"/>
                <w14:textFill>
                  <w14:solidFill>
                    <w14:schemeClr w14:val="tx1"/>
                  </w14:solidFill>
                </w14:textFill>
              </w:rPr>
              <w:t>产业基础再造工程。</w:t>
            </w:r>
            <w:r>
              <w:rPr>
                <w:rFonts w:ascii="Times New Roman" w:hAnsi="Times New Roman" w:cs="Times New Roman"/>
                <w:color w:val="000000" w:themeColor="text1"/>
                <w:spacing w:val="-2"/>
                <w:sz w:val="24"/>
                <w:szCs w:val="24"/>
                <w14:textFill>
                  <w14:solidFill>
                    <w14:schemeClr w14:val="tx1"/>
                  </w14:solidFill>
                </w14:textFill>
              </w:rPr>
              <w:t>实施工业强基2.0版，编制重点产业核心基础零部件（元器件）、关键基础材料、先进基础工艺、产业技术基础清单，建设项目储备库。落实国家软件重大工程，推广运用填补国内空白的关键产品技术。深入开展“四基”攻关突破行动和新产品应用示范项目，形成基础产品和技术长效攻关机制。探索建立重大制造业技术成果转化激励制度。到2025年，基本形成国内先进、安全可控的产业基础</w:t>
            </w:r>
            <w:r>
              <w:rPr>
                <w:rFonts w:ascii="Times New Roman" w:hAnsi="Times New Roman" w:cs="Times New Roman"/>
                <w:color w:val="000000" w:themeColor="text1"/>
                <w:sz w:val="24"/>
                <w:szCs w:val="24"/>
                <w14:textFill>
                  <w14:solidFill>
                    <w14:schemeClr w14:val="tx1"/>
                  </w14:solidFill>
                </w14:textFill>
              </w:rPr>
              <w:t>。</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品牌提升工程。</w:t>
            </w:r>
            <w:r>
              <w:rPr>
                <w:rFonts w:ascii="Times New Roman" w:hAnsi="Times New Roman" w:cs="Times New Roman"/>
                <w:color w:val="000000" w:themeColor="text1"/>
                <w:sz w:val="24"/>
                <w:szCs w:val="24"/>
                <w14:textFill>
                  <w14:solidFill>
                    <w14:schemeClr w14:val="tx1"/>
                  </w14:solidFill>
                </w14:textFill>
              </w:rPr>
              <w:t>培育优质产品品牌，加大核心技术投入，打造“湘品”特色优势品牌，提升“湘货”中高端消费品牌有效供给。打造知名企业品牌，聚焦我省制造业和文化产业，积极培育专精特新“小巨人”企业，做优做强龙头企业和领军企业，打造世界一流企业。塑造极具影响力的区域品牌，集聚高端要素资源，着力塑造以世界级品牌园区、特色产业基地为重点的园区品牌、产业集群品牌</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各市州以“地名+特产”构建一个全品类、全产业链的区域品牌形象，形成区域母品牌与企业子品牌的叠加效应。</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5" w:name="_Toc62051536"/>
      <w:r>
        <w:rPr>
          <w:rFonts w:ascii="Times New Roman" w:hAnsi="Times New Roman" w:eastAsia="黑体" w:cs="Times New Roman"/>
          <w:color w:val="000000" w:themeColor="text1"/>
          <w:sz w:val="32"/>
          <w:szCs w:val="32"/>
          <w14:textFill>
            <w14:solidFill>
              <w14:schemeClr w14:val="tx1"/>
            </w14:solidFill>
          </w14:textFill>
        </w:rPr>
        <w:t>第六章  打造具有核心竞争力的科技创新高地</w:t>
      </w:r>
      <w:bookmarkEnd w:id="15"/>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把创新摆在核心地位，坚持科技自立自强和“四个面向”，着力推进“七大计划”，加快构建科技创新体系，全面增强创新驱动力，建设创新型省份。</w:t>
      </w:r>
    </w:p>
    <w:p>
      <w:pPr>
        <w:spacing w:before="447" w:beforeLines="100" w:after="447" w:afterLines="100" w:line="568" w:lineRule="exact"/>
        <w:ind w:firstLine="160" w:firstLineChars="50"/>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6" w:name="_Toc62051537"/>
      <w:r>
        <w:rPr>
          <w:rFonts w:ascii="Times New Roman" w:hAnsi="Times New Roman" w:eastAsia="楷体_GB2312" w:cs="Times New Roman"/>
          <w:b/>
          <w:color w:val="000000" w:themeColor="text1"/>
          <w:sz w:val="32"/>
          <w:szCs w:val="32"/>
          <w14:textFill>
            <w14:solidFill>
              <w14:schemeClr w14:val="tx1"/>
            </w14:solidFill>
          </w14:textFill>
        </w:rPr>
        <w:t>第一节  瞄准产业制高点攻克关键技术</w:t>
      </w:r>
      <w:bookmarkEnd w:id="16"/>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打好关键核心技术攻坚战。</w:t>
      </w:r>
      <w:r>
        <w:rPr>
          <w:rFonts w:ascii="Times New Roman" w:hAnsi="Times New Roman" w:eastAsia="仿宋_GB2312" w:cs="Times New Roman"/>
          <w:color w:val="000000" w:themeColor="text1"/>
          <w:kern w:val="0"/>
          <w:sz w:val="32"/>
          <w:szCs w:val="32"/>
          <w14:textFill>
            <w14:solidFill>
              <w14:schemeClr w14:val="tx1"/>
            </w14:solidFill>
          </w14:textFill>
        </w:rPr>
        <w:t>围绕产业链部署创新链，聚焦优势产业、新兴产业和未来产业领域，以新一代信息技术、自主可控和高性能计算机、高端装备制造、新材料等产业为重点，滚动编制关键核心技术攻关清单和进口替代清单，部署实施一批重大攻关项目，突破一批关键核心技术。奋力担当国家重大专项，在杂交水稻、新一代轨道交通、超级计算等领域推进一批国家重大专项工程。构建新型攻关机制，大力推进协同攻关。推动先进技术产品转化应用，大力加强航空航天、新材料、新动能装备、海洋装备等新兴产业技术研发。增强重点产业链供应链自主可控能力，推动“湖南制造”向“湖南创造”转变。</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加快科技成果转化应用</w:t>
      </w:r>
      <w:r>
        <w:rPr>
          <w:rFonts w:ascii="Times New Roman" w:hAnsi="Times New Roman" w:eastAsia="仿宋_GB2312" w:cs="Times New Roman"/>
          <w:color w:val="000000" w:themeColor="text1"/>
          <w:kern w:val="0"/>
          <w:sz w:val="32"/>
          <w:szCs w:val="32"/>
          <w14:textFill>
            <w14:solidFill>
              <w14:schemeClr w14:val="tx1"/>
            </w14:solidFill>
          </w14:textFill>
        </w:rPr>
        <w:t>。围绕创新链布局产业链。</w:t>
      </w:r>
      <w:r>
        <w:rPr>
          <w:rFonts w:ascii="Times New Roman" w:hAnsi="Times New Roman" w:eastAsia="仿宋_GB2312" w:cs="Times New Roman"/>
          <w:color w:val="000000" w:themeColor="text1"/>
          <w:sz w:val="32"/>
          <w:szCs w:val="32"/>
          <w14:textFill>
            <w14:solidFill>
              <w14:schemeClr w14:val="tx1"/>
            </w14:solidFill>
          </w14:textFill>
        </w:rPr>
        <w:t>着力推进优势新兴和未来产业及社会治理领域科技成果转化，提升科技对经济的贡献率，推动科技普惠民生。实施应用场景示范行动，搭建实验空间和场景条件，加强新技术新成果集中应用示范。</w:t>
      </w:r>
      <w:r>
        <w:rPr>
          <w:rFonts w:ascii="Times New Roman" w:hAnsi="Times New Roman" w:eastAsia="仿宋_GB2312" w:cs="Times New Roman"/>
          <w:color w:val="000000" w:themeColor="text1"/>
          <w:kern w:val="0"/>
          <w:sz w:val="32"/>
          <w:szCs w:val="32"/>
          <w14:textFill>
            <w14:solidFill>
              <w14:schemeClr w14:val="tx1"/>
            </w14:solidFill>
          </w14:textFill>
        </w:rPr>
        <w:t>加强产权交易服务平台、转移转化信息平台、技术转移中心等科技成果转化平台体系建设。探索建立国际国内权威公认的重大制造业技术成果在湘转化激励制度，吸引掌握重大核心技术科研团队在湘转化成果、开办企业。探索国家科技成果转化引导基金支持的湖南模式，带动金融资本和民间投资向科技成果转化集聚。打通成果转化的“堵点”和“难点”，充分发挥科技创新对产业优化升级的引领作用，释放产业发展新动能。</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 w:name="_Toc62051538"/>
      <w:r>
        <w:rPr>
          <w:rFonts w:ascii="Times New Roman" w:hAnsi="Times New Roman" w:eastAsia="楷体_GB2312" w:cs="Times New Roman"/>
          <w:b/>
          <w:color w:val="000000" w:themeColor="text1"/>
          <w:sz w:val="32"/>
          <w:szCs w:val="32"/>
          <w14:textFill>
            <w14:solidFill>
              <w14:schemeClr w14:val="tx1"/>
            </w14:solidFill>
          </w14:textFill>
        </w:rPr>
        <w:t>第二节  瞄准技术制高点抢占先发优势</w:t>
      </w:r>
      <w:bookmarkEnd w:id="1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大基础研究投入，统筹省内重点高校、科研院所和龙头企业科研力量，强化原始创新能力培育。突出“从0到1”的原创导向，主动对接国家在人工智能、生命健康、脑科学、生物育种、空天科技、深地深海等前沿领域布局，加大国家重大科技项目承接力度，在国家共性基础技术供给体系建设中贡献湖南力量。选择一批研究基础好、对我省创新能力带动作用强的重大科学问题开展研究，重点在材料、信息、生物、大气、光学、航空航天等方向超前部署一批长期性基础性研究，培育形成若干高水平原创成果。聚焦量子科学、</w:t>
      </w:r>
      <w:r>
        <w:rPr>
          <w:rFonts w:hint="eastAsia" w:ascii="Times New Roman" w:hAnsi="Times New Roman" w:eastAsia="仿宋_GB2312" w:cs="Times New Roman"/>
          <w:color w:val="000000" w:themeColor="text1"/>
          <w:kern w:val="0"/>
          <w:sz w:val="32"/>
          <w:szCs w:val="32"/>
          <w14:textFill>
            <w14:solidFill>
              <w14:schemeClr w14:val="tx1"/>
            </w14:solidFill>
          </w14:textFill>
        </w:rPr>
        <w:t>系统</w:t>
      </w:r>
      <w:r>
        <w:rPr>
          <w:rFonts w:ascii="Times New Roman" w:hAnsi="Times New Roman" w:eastAsia="仿宋_GB2312" w:cs="Times New Roman"/>
          <w:color w:val="000000" w:themeColor="text1"/>
          <w:kern w:val="0"/>
          <w:sz w:val="32"/>
          <w:szCs w:val="32"/>
          <w14:textFill>
            <w14:solidFill>
              <w14:schemeClr w14:val="tx1"/>
            </w14:solidFill>
          </w14:textFill>
        </w:rPr>
        <w:t>基因科学等前沿关键问题研究领域，推动颠覆性技术创新，争当新一轮科技革命和产业变革的引领者。</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8" w:name="_Toc62051539"/>
      <w:r>
        <w:rPr>
          <w:rFonts w:ascii="Times New Roman" w:hAnsi="Times New Roman" w:eastAsia="楷体_GB2312" w:cs="Times New Roman"/>
          <w:b/>
          <w:color w:val="000000" w:themeColor="text1"/>
          <w:sz w:val="32"/>
          <w:szCs w:val="32"/>
          <w14:textFill>
            <w14:solidFill>
              <w14:schemeClr w14:val="tx1"/>
            </w14:solidFill>
          </w14:textFill>
        </w:rPr>
        <w:t>第三节  瞄准人才制高点打造人才高地</w:t>
      </w:r>
      <w:bookmarkEnd w:id="18"/>
    </w:p>
    <w:p>
      <w:pPr>
        <w:spacing w:line="59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加强科技领军人才引育。</w:t>
      </w:r>
      <w:r>
        <w:rPr>
          <w:rFonts w:ascii="Times New Roman" w:hAnsi="Times New Roman" w:eastAsia="仿宋_GB2312" w:cs="Times New Roman"/>
          <w:color w:val="000000" w:themeColor="text1"/>
          <w:kern w:val="0"/>
          <w:sz w:val="32"/>
          <w:szCs w:val="32"/>
          <w14:textFill>
            <w14:solidFill>
              <w14:schemeClr w14:val="tx1"/>
            </w14:solidFill>
          </w14:textFill>
        </w:rPr>
        <w:t>实施更加开放的科技创新领军人才引进政策，搭建海外高层次人才引进的综合平台，建立健全我省技术移民制度。</w:t>
      </w:r>
      <w:r>
        <w:rPr>
          <w:rFonts w:ascii="Times New Roman" w:hAnsi="Times New Roman" w:eastAsia="仿宋_GB2312" w:cs="Times New Roman"/>
          <w:color w:val="000000" w:themeColor="text1"/>
          <w:sz w:val="32"/>
          <w:szCs w:val="32"/>
          <w14:textFill>
            <w14:solidFill>
              <w14:schemeClr w14:val="tx1"/>
            </w14:solidFill>
          </w14:textFill>
        </w:rPr>
        <w:t>实施院士引领创新产业计划，筹建湘籍院士产学研园区，支持联合建设院士专家工作站。</w:t>
      </w:r>
      <w:r>
        <w:rPr>
          <w:rFonts w:ascii="Times New Roman" w:hAnsi="Times New Roman" w:eastAsia="仿宋_GB2312" w:cs="Times New Roman"/>
          <w:color w:val="000000" w:themeColor="text1"/>
          <w:kern w:val="0"/>
          <w:sz w:val="32"/>
          <w:szCs w:val="32"/>
          <w14:textFill>
            <w14:solidFill>
              <w14:schemeClr w14:val="tx1"/>
            </w14:solidFill>
          </w14:textFill>
        </w:rPr>
        <w:t>建立靶向引才、专家荐才机制，引进一批科技领军人才、创新团队、青年科技人才和基础研究人才。推动科技领军人才引育与科研项目实施、创新平台建设有机结合。强化对承担国家重大任务科技领军人才的激励，完善年薪制度、学术假期制度和竞争性人才使用机制。深入实施芙蓉人才行动计划和引才、聚才、铸才、育才、扶才、优才六项人才工程。</w:t>
      </w:r>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加大产业领军人才和企业家的引育。</w:t>
      </w:r>
      <w:r>
        <w:rPr>
          <w:rFonts w:ascii="Times New Roman" w:hAnsi="Times New Roman" w:eastAsia="仿宋_GB2312" w:cs="Times New Roman"/>
          <w:color w:val="000000" w:themeColor="text1"/>
          <w:kern w:val="0"/>
          <w:sz w:val="32"/>
          <w:szCs w:val="32"/>
          <w14:textFill>
            <w14:solidFill>
              <w14:schemeClr w14:val="tx1"/>
            </w14:solidFill>
          </w14:textFill>
        </w:rPr>
        <w:t>完善以企业为主体的行业人才评价和引进机制，推动产业发展与人才招引同步谋划、同步推进。实施产业领军人才聚集行动，围绕我省新兴优势产业链建立人才特区，确定目录清单，完善政策配套，通过“企业定人选、政府给支持”实现精准引才。支持企业建立院士工作站、博士后科研工作站及博士后创新实践基地，为技术型和管理型领军人才提供技术创新和管理实践平台。完善科研机构和企业科技人员流动机制，健全双向兼职的科技人才发展模式。引导企业家强化国际化管理创新和跨文化经营能力，培育具有全球视野的现代企业家，培养创业创新型企业家和职业经理人。</w:t>
      </w:r>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加强高技能人才队伍建设。</w:t>
      </w:r>
      <w:r>
        <w:rPr>
          <w:rFonts w:ascii="Times New Roman" w:hAnsi="Times New Roman" w:eastAsia="仿宋_GB2312" w:cs="Times New Roman"/>
          <w:color w:val="000000" w:themeColor="text1"/>
          <w:kern w:val="0"/>
          <w:sz w:val="32"/>
          <w:szCs w:val="32"/>
          <w14:textFill>
            <w14:solidFill>
              <w14:schemeClr w14:val="tx1"/>
            </w14:solidFill>
          </w14:textFill>
        </w:rPr>
        <w:t>大力弘扬工匠精神，培养更多高技能人才和大国工匠。实施高技能人才振兴计划，大力培育支撑湖南制造的技术技能人才队伍，夯实企业智能化升级的技术人才支撑。建立产教融合、校企合作的技术技能人才培养模式，加快构建湖南现代职业教育体系。发展技术技能培训产业，加强公共实训基地、技工院校和职业培训机构建设，促进企业和职业院校成为技术技能人才培养的“双主体”。研究制定技术技能人才激励办法，健全市场化人才评价机制，改进行业领域职称评审。畅通技能人才和专业技术人才互认通道，构建产教训融合、政企社协同、育选用贯通的高技能人才培育体系。</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9" w:name="_Toc62051540"/>
      <w:r>
        <w:rPr>
          <w:rFonts w:ascii="Times New Roman" w:hAnsi="Times New Roman" w:eastAsia="楷体_GB2312" w:cs="Times New Roman"/>
          <w:b/>
          <w:color w:val="000000" w:themeColor="text1"/>
          <w:sz w:val="32"/>
          <w:szCs w:val="32"/>
          <w14:textFill>
            <w14:solidFill>
              <w14:schemeClr w14:val="tx1"/>
            </w14:solidFill>
          </w14:textFill>
        </w:rPr>
        <w:t>第四节  瞄准平台制高点培育创新引擎</w:t>
      </w:r>
      <w:bookmarkEnd w:id="19"/>
    </w:p>
    <w:p>
      <w:pPr>
        <w:spacing w:line="59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打造国家区域科技创新中心。</w:t>
      </w:r>
      <w:r>
        <w:rPr>
          <w:rFonts w:ascii="Times New Roman" w:hAnsi="Times New Roman" w:eastAsia="仿宋_GB2312" w:cs="Times New Roman"/>
          <w:color w:val="000000" w:themeColor="text1"/>
          <w:kern w:val="0"/>
          <w:sz w:val="32"/>
          <w:szCs w:val="32"/>
          <w14:textFill>
            <w14:solidFill>
              <w14:schemeClr w14:val="tx1"/>
            </w14:solidFill>
          </w14:textFill>
        </w:rPr>
        <w:t>推进“两区两山三中心”建设。高水平建设长株潭国家自主创新示范区，打造国内先进、具有国际影响力的长株潭科技创新中心。高标准推进湘江新区发展，建设国家级车联网先导区，争取布局国家大科学装置，打造湘江西岸科技创新走廊。推进岳麓山国家大学科技城建设，争取若干高校和一批学科进入“双一流”行列，促进产教研深度融合，打造全国一流的大学城、科技城、创业城。推进马栏山5G+超高清视频文创产业园建设，打造具有国际竞争力的“中国V谷”。支持建设国家先进轨道交通装备创新中心、岳麓山种业创新中心、岳麓山（工业）创新中心，不断提升优势领域科技创新能力。加强三市创新政策体系、成果转化服务体系、科技金融机制、科技合作模式等方面的协同，推进长株潭科技创新共同体建设，加快形成全域创新体系。</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健全科技创新平台体系。</w:t>
      </w:r>
      <w:r>
        <w:rPr>
          <w:rFonts w:ascii="Times New Roman" w:hAnsi="Times New Roman" w:eastAsia="仿宋_GB2312" w:cs="Times New Roman"/>
          <w:color w:val="000000" w:themeColor="text1"/>
          <w:sz w:val="32"/>
          <w:szCs w:val="32"/>
          <w14:textFill>
            <w14:solidFill>
              <w14:schemeClr w14:val="tx1"/>
            </w14:solidFill>
          </w14:textFill>
        </w:rPr>
        <w:t>构建多层次、多领域、多元化的创新平台网络，围绕重点领域及重大战略需求，培育一批国家级和省级重点实验室、工程研究中心、产业创新中心、技术创新中心等创新平台，形成国家战略科技力量。围绕新一代信息技术、高端装备制造、新材料、生物、节能环保、数字创意和科技服务等7大产业领域，布局建设</w:t>
      </w:r>
      <w:r>
        <w:rPr>
          <w:rFonts w:ascii="Times New Roman" w:hAnsi="Times New Roman" w:eastAsia="仿宋_GB2312" w:cs="Times New Roman"/>
          <w:sz w:val="32"/>
          <w:szCs w:val="32"/>
        </w:rPr>
        <w:t>30个左右</w:t>
      </w:r>
      <w:r>
        <w:rPr>
          <w:rFonts w:ascii="Times New Roman" w:hAnsi="Times New Roman" w:eastAsia="仿宋_GB2312" w:cs="Times New Roman"/>
          <w:color w:val="000000" w:themeColor="text1"/>
          <w:sz w:val="32"/>
          <w:szCs w:val="32"/>
          <w14:textFill>
            <w14:solidFill>
              <w14:schemeClr w14:val="tx1"/>
            </w14:solidFill>
          </w14:textFill>
        </w:rPr>
        <w:t>国家级标志性创新平台。推进郴州</w:t>
      </w:r>
      <w:r>
        <w:rPr>
          <w:rFonts w:ascii="Times New Roman" w:hAnsi="Times New Roman" w:eastAsia="仿宋_GB2312" w:cs="Times New Roman"/>
          <w:color w:val="000000" w:themeColor="text1"/>
          <w:kern w:val="0"/>
          <w:sz w:val="32"/>
          <w:szCs w:val="32"/>
          <w14:textFill>
            <w14:solidFill>
              <w14:schemeClr w14:val="tx1"/>
            </w14:solidFill>
          </w14:textFill>
        </w:rPr>
        <w:t>国家可持续发展议程创新示范区建设，探索形成可持续发展有效模式。</w:t>
      </w:r>
      <w:r>
        <w:rPr>
          <w:rFonts w:ascii="Times New Roman" w:hAnsi="Times New Roman" w:eastAsia="仿宋_GB2312" w:cs="Times New Roman"/>
          <w:color w:val="000000" w:themeColor="text1"/>
          <w:sz w:val="32"/>
          <w:szCs w:val="32"/>
          <w14:textFill>
            <w14:solidFill>
              <w14:schemeClr w14:val="tx1"/>
            </w14:solidFill>
          </w14:textFill>
        </w:rPr>
        <w:t>鼓励发展众创空间、创新工场、虚拟创新社区等新型孵化平台。加强高新技术产业开发区建设，打造创新平台集聚地。</w:t>
      </w:r>
    </w:p>
    <w:p>
      <w:pPr>
        <w:spacing w:line="596" w:lineRule="exact"/>
        <w:ind w:firstLine="634"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pacing w:val="-2"/>
          <w:kern w:val="0"/>
          <w:sz w:val="32"/>
          <w:szCs w:val="32"/>
          <w14:textFill>
            <w14:solidFill>
              <w14:schemeClr w14:val="tx1"/>
            </w14:solidFill>
          </w14:textFill>
        </w:rPr>
        <w:t>提高企业创新能力。</w:t>
      </w:r>
      <w:r>
        <w:rPr>
          <w:rFonts w:ascii="Times New Roman" w:hAnsi="Times New Roman" w:eastAsia="仿宋_GB2312" w:cs="Times New Roman"/>
          <w:color w:val="000000" w:themeColor="text1"/>
          <w:spacing w:val="-2"/>
          <w:kern w:val="0"/>
          <w:sz w:val="32"/>
          <w:szCs w:val="32"/>
          <w14:textFill>
            <w14:solidFill>
              <w14:schemeClr w14:val="tx1"/>
            </w14:solidFill>
          </w14:textFill>
        </w:rPr>
        <w:t>强化企业创新主体地位，发挥企业在技术创新中的重要作用。完善创新型企业的梯度培育体系，发挥大企业创新引领支撑作用，支持创新型中小微企业成长为创新重要策源地，推动产业链上下游、大中小企业融通创新。到2025年，高新技术企业数量争取达到13000家，科技型中小微企业数量翻一番。鼓励企业加大研发投入，对企业基础研究投入实行优惠政策，推动规模以上工业企业研发机构、科技活动全覆盖。支持企业牵头组建创新联合体、研发机构与专利平台，引导企业承担国家重大科技项目。建立企业主导的产业技术创新机制，激发企业创新内生动力，促进创新主体向园区加速集聚</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推进新型研发机构建设。</w:t>
      </w:r>
      <w:r>
        <w:rPr>
          <w:rFonts w:ascii="Times New Roman" w:hAnsi="Times New Roman" w:eastAsia="仿宋_GB2312" w:cs="Times New Roman"/>
          <w:color w:val="000000" w:themeColor="text1"/>
          <w:spacing w:val="-2"/>
          <w:sz w:val="32"/>
          <w:szCs w:val="32"/>
          <w14:textFill>
            <w14:solidFill>
              <w14:schemeClr w14:val="tx1"/>
            </w14:solidFill>
          </w14:textFill>
        </w:rPr>
        <w:t>培育一批以市场为导向的技术创新中心、产业研究开发院、行业技术中心等新型研发机构</w:t>
      </w:r>
      <w:r>
        <w:rPr>
          <w:rFonts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支持</w:t>
      </w:r>
      <w:r>
        <w:rPr>
          <w:rFonts w:ascii="Times New Roman" w:hAnsi="Times New Roman" w:eastAsia="仿宋_GB2312" w:cs="Times New Roman"/>
          <w:color w:val="000000" w:themeColor="text1"/>
          <w:spacing w:val="-2"/>
          <w:kern w:val="0"/>
          <w:sz w:val="32"/>
          <w:szCs w:val="32"/>
          <w14:textFill>
            <w14:solidFill>
              <w14:schemeClr w14:val="tx1"/>
            </w14:solidFill>
          </w14:textFill>
        </w:rPr>
        <w:t>骨干企业与科研机构、高等院校</w:t>
      </w:r>
      <w:r>
        <w:rPr>
          <w:rFonts w:ascii="Times New Roman" w:hAnsi="Times New Roman" w:eastAsia="仿宋_GB2312" w:cs="Times New Roman"/>
          <w:color w:val="000000" w:themeColor="text1"/>
          <w:spacing w:val="-2"/>
          <w:sz w:val="32"/>
          <w:szCs w:val="32"/>
          <w14:textFill>
            <w14:solidFill>
              <w14:schemeClr w14:val="tx1"/>
            </w14:solidFill>
          </w14:textFill>
        </w:rPr>
        <w:t>合作创办新型研发机构。</w:t>
      </w:r>
      <w:r>
        <w:rPr>
          <w:rFonts w:ascii="Times New Roman" w:hAnsi="Times New Roman" w:eastAsia="仿宋_GB2312" w:cs="Times New Roman"/>
          <w:color w:val="000000" w:themeColor="text1"/>
          <w:spacing w:val="-2"/>
          <w:kern w:val="0"/>
          <w:sz w:val="32"/>
          <w:szCs w:val="32"/>
          <w14:textFill>
            <w14:solidFill>
              <w14:schemeClr w14:val="tx1"/>
            </w14:solidFill>
          </w14:textFill>
        </w:rPr>
        <w:t>支持高校和科研院所进入高新区设立新型研发机构，开展技术研发、企业孵化等活动。支持组建共性技术研发平台和产业技术创新战略联盟，</w:t>
      </w:r>
      <w:r>
        <w:rPr>
          <w:rFonts w:ascii="Times New Roman" w:hAnsi="Times New Roman" w:eastAsia="仿宋_GB2312" w:cs="Times New Roman"/>
          <w:color w:val="000000" w:themeColor="text1"/>
          <w:spacing w:val="-2"/>
          <w:sz w:val="32"/>
          <w:szCs w:val="32"/>
          <w14:textFill>
            <w14:solidFill>
              <w14:schemeClr w14:val="tx1"/>
            </w14:solidFill>
          </w14:textFill>
        </w:rPr>
        <w:t>推动跨领域跨行业协同创新</w:t>
      </w:r>
      <w:r>
        <w:rPr>
          <w:rFonts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到2025年</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力争全省建成各类新型研发机构400家以上</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充分发挥各级各类创新平台的引领示范作用，形成科技创新高地的支撑点。</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20" w:name="_Toc62051541"/>
      <w:r>
        <w:rPr>
          <w:rFonts w:ascii="Times New Roman" w:hAnsi="Times New Roman" w:eastAsia="楷体_GB2312" w:cs="Times New Roman"/>
          <w:b/>
          <w:color w:val="000000" w:themeColor="text1"/>
          <w:sz w:val="32"/>
          <w:szCs w:val="32"/>
          <w14:textFill>
            <w14:solidFill>
              <w14:schemeClr w14:val="tx1"/>
            </w14:solidFill>
          </w14:textFill>
        </w:rPr>
        <w:t>第五节  瞄准一流创新环境优化创新生态</w:t>
      </w:r>
      <w:bookmarkEnd w:id="20"/>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加大研发投入。</w:t>
      </w:r>
      <w:r>
        <w:rPr>
          <w:rFonts w:ascii="Times New Roman" w:hAnsi="Times New Roman" w:eastAsia="仿宋_GB2312" w:cs="Times New Roman"/>
          <w:color w:val="000000" w:themeColor="text1"/>
          <w:sz w:val="32"/>
          <w:szCs w:val="32"/>
          <w14:textFill>
            <w14:solidFill>
              <w14:schemeClr w14:val="tx1"/>
            </w14:solidFill>
          </w14:textFill>
        </w:rPr>
        <w:t>加大科研资源的财政投入和统筹，创新科研资源配置模式，推动重点领域项目、基地、人才、资金一体化配置。健全政府投入为主、社会多渠道投入机制，强化财政资金杠杆作用。鼓励社会资本加大科研条件</w:t>
      </w:r>
      <w:r>
        <w:rPr>
          <w:rFonts w:ascii="Times New Roman" w:hAnsi="Times New Roman" w:eastAsia="仿宋_GB2312" w:cs="Times New Roman"/>
          <w:color w:val="000000" w:themeColor="text1"/>
          <w:kern w:val="0"/>
          <w:sz w:val="32"/>
          <w:szCs w:val="32"/>
          <w14:textFill>
            <w14:solidFill>
              <w14:schemeClr w14:val="tx1"/>
            </w14:solidFill>
          </w14:textFill>
        </w:rPr>
        <w:t>投资</w:t>
      </w:r>
      <w:r>
        <w:rPr>
          <w:rFonts w:ascii="Times New Roman" w:hAnsi="Times New Roman" w:eastAsia="仿宋_GB2312" w:cs="Times New Roman"/>
          <w:color w:val="000000" w:themeColor="text1"/>
          <w:sz w:val="32"/>
          <w:szCs w:val="32"/>
          <w14:textFill>
            <w14:solidFill>
              <w14:schemeClr w14:val="tx1"/>
            </w14:solidFill>
          </w14:textFill>
        </w:rPr>
        <w:t>，支持社会资本依规设立科技创新奖项、参与兴办新型研发机构。完善科技创新奖补机制。优先重大科研基地设施、省级实验室和新型研发机构及科技创新项目的要素保障。</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完善创新政策体系。</w:t>
      </w:r>
      <w:r>
        <w:rPr>
          <w:rFonts w:ascii="Times New Roman" w:hAnsi="Times New Roman" w:eastAsia="仿宋_GB2312" w:cs="Times New Roman"/>
          <w:color w:val="000000" w:themeColor="text1"/>
          <w:sz w:val="32"/>
          <w:szCs w:val="32"/>
          <w14:textFill>
            <w14:solidFill>
              <w14:schemeClr w14:val="tx1"/>
            </w14:solidFill>
          </w14:textFill>
        </w:rPr>
        <w:t>推进创新生态优化计划，健全科技规划和计划执行机制。落实科技强国行动纲要和国家战略性科学计划、科学工程，探索关键核心技术攻关新型举国体制的湖南模式。加强科技创新资源统筹，建立健全跨部门跨行业跨区域实施重大科技攻关的机制。改进科技项目组织管理方式，实行“揭榜挂帅”等制度。推进科技评价制度改革，建立以质量、贡献、绩效为导向的分类评价体系</w:t>
      </w:r>
      <w:r>
        <w:rPr>
          <w:rFonts w:ascii="Times New Roman" w:hAnsi="Times New Roman" w:eastAsia="仿宋_GB2312" w:cs="Times New Roman"/>
          <w:color w:val="000000" w:themeColor="text1"/>
          <w:spacing w:val="-2"/>
          <w:sz w:val="32"/>
          <w:szCs w:val="32"/>
          <w14:textFill>
            <w14:solidFill>
              <w14:schemeClr w14:val="tx1"/>
            </w14:solidFill>
          </w14:textFill>
        </w:rPr>
        <w:t>。完善科技伦理体系，加强科研诚信建设。深化科技成果使用权、处置权、收益权改革，完善成果转化收益分配机制，实施科技成果转化计划。</w:t>
      </w:r>
      <w:r>
        <w:rPr>
          <w:rFonts w:ascii="Times New Roman" w:hAnsi="Times New Roman" w:eastAsia="仿宋_GB2312" w:cs="Times New Roman"/>
          <w:color w:val="000000" w:themeColor="text1"/>
          <w:sz w:val="32"/>
          <w:szCs w:val="32"/>
          <w14:textFill>
            <w14:solidFill>
              <w14:schemeClr w14:val="tx1"/>
            </w14:solidFill>
          </w14:textFill>
        </w:rPr>
        <w:t>培育创新文化，</w:t>
      </w:r>
      <w:r>
        <w:rPr>
          <w:rFonts w:ascii="Times New Roman" w:hAnsi="Times New Roman" w:eastAsia="仿宋_GB2312" w:cs="Times New Roman"/>
          <w:color w:val="000000" w:themeColor="text1"/>
          <w:spacing w:val="-2"/>
          <w:sz w:val="32"/>
          <w:szCs w:val="32"/>
          <w14:textFill>
            <w14:solidFill>
              <w14:schemeClr w14:val="tx1"/>
            </w14:solidFill>
          </w14:textFill>
        </w:rPr>
        <w:t>营造崇尚创新的社会氛围</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有序推进具备条件的市县建设科技普及设施，</w:t>
      </w:r>
      <w:r>
        <w:rPr>
          <w:rFonts w:ascii="Times New Roman" w:hAnsi="Times New Roman" w:eastAsia="仿宋_GB2312" w:cs="Times New Roman"/>
          <w:color w:val="000000" w:themeColor="text1"/>
          <w:sz w:val="32"/>
          <w:szCs w:val="32"/>
          <w14:textFill>
            <w14:solidFill>
              <w14:schemeClr w14:val="tx1"/>
            </w14:solidFill>
          </w14:textFill>
        </w:rPr>
        <w:t>全面提升公民科学素养和创新意识。</w:t>
      </w:r>
    </w:p>
    <w:p>
      <w:pPr>
        <w:spacing w:line="59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强化知识产权保护和应用。</w:t>
      </w:r>
      <w:r>
        <w:rPr>
          <w:rFonts w:ascii="Times New Roman" w:hAnsi="Times New Roman" w:eastAsia="仿宋_GB2312" w:cs="Times New Roman"/>
          <w:color w:val="000000" w:themeColor="text1"/>
          <w:kern w:val="0"/>
          <w:sz w:val="32"/>
          <w:szCs w:val="32"/>
          <w14:textFill>
            <w14:solidFill>
              <w14:schemeClr w14:val="tx1"/>
            </w14:solidFill>
          </w14:textFill>
        </w:rPr>
        <w:t>依托湖南省知识产权交易中心，建成覆盖全省、辐射周边、连通国内市场的知识产权交易平台。完善知识产权保护制度体系，推进知识产权侵权违法档案与征信系统的有效衔接，优化知识产权执法管理机制。健全多元化知识产权纠纷解决机制和涉外知识产权争端应对机制，构建知识产权保护网络和服务体系。鼓励企业进行海外知识产权布局。</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推进科技金融融合。</w:t>
      </w:r>
      <w:r>
        <w:rPr>
          <w:rFonts w:ascii="Times New Roman" w:hAnsi="Times New Roman" w:eastAsia="仿宋_GB2312" w:cs="Times New Roman"/>
          <w:color w:val="000000" w:themeColor="text1"/>
          <w:sz w:val="32"/>
          <w:szCs w:val="32"/>
          <w14:textFill>
            <w14:solidFill>
              <w14:schemeClr w14:val="tx1"/>
            </w14:solidFill>
          </w14:textFill>
        </w:rPr>
        <w:t>发展壮大天使投资、创业投资，支持湖南股权交易所建设科技创新专板，加大科技企业上市培育力度，</w:t>
      </w:r>
      <w:r>
        <w:rPr>
          <w:rFonts w:ascii="Times New Roman" w:hAnsi="Times New Roman" w:eastAsia="仿宋_GB2312" w:cs="Times New Roman"/>
          <w:color w:val="000000" w:themeColor="text1"/>
          <w:kern w:val="0"/>
          <w:sz w:val="32"/>
          <w:szCs w:val="32"/>
          <w14:textFill>
            <w14:solidFill>
              <w14:schemeClr w14:val="tx1"/>
            </w14:solidFill>
          </w14:textFill>
        </w:rPr>
        <w:t>支持科技企业直接融资。</w:t>
      </w:r>
      <w:r>
        <w:rPr>
          <w:rFonts w:ascii="Times New Roman" w:hAnsi="Times New Roman" w:eastAsia="仿宋_GB2312" w:cs="Times New Roman"/>
          <w:color w:val="000000" w:themeColor="text1"/>
          <w:sz w:val="32"/>
          <w:szCs w:val="32"/>
          <w14:textFill>
            <w14:solidFill>
              <w14:schemeClr w14:val="tx1"/>
            </w14:solidFill>
          </w14:textFill>
        </w:rPr>
        <w:t>推动建立政府投资基金投向种子期、初创期企业的容错机制。促进科技金融专营组织机构创新发展，</w:t>
      </w:r>
      <w:r>
        <w:rPr>
          <w:rFonts w:ascii="Times New Roman" w:hAnsi="Times New Roman" w:eastAsia="仿宋_GB2312" w:cs="Times New Roman"/>
          <w:color w:val="000000" w:themeColor="text1"/>
          <w:kern w:val="0"/>
          <w:sz w:val="32"/>
          <w:szCs w:val="32"/>
          <w14:textFill>
            <w14:solidFill>
              <w14:schemeClr w14:val="tx1"/>
            </w14:solidFill>
          </w14:textFill>
        </w:rPr>
        <w:t>支持</w:t>
      </w:r>
      <w:r>
        <w:rPr>
          <w:rFonts w:ascii="Times New Roman" w:hAnsi="Times New Roman" w:eastAsia="仿宋_GB2312" w:cs="Times New Roman"/>
          <w:color w:val="000000" w:themeColor="text1"/>
          <w:sz w:val="32"/>
          <w:szCs w:val="32"/>
          <w14:textFill>
            <w14:solidFill>
              <w14:schemeClr w14:val="tx1"/>
            </w14:solidFill>
          </w14:textFill>
        </w:rPr>
        <w:t>金融机构发行新型融资工具、创新科技保险产品。</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深化科技开放合作。</w:t>
      </w:r>
      <w:r>
        <w:rPr>
          <w:rFonts w:ascii="Times New Roman" w:hAnsi="Times New Roman" w:eastAsia="仿宋_GB2312" w:cs="Times New Roman"/>
          <w:color w:val="000000" w:themeColor="text1"/>
          <w:sz w:val="32"/>
          <w:szCs w:val="32"/>
          <w14:textFill>
            <w14:solidFill>
              <w14:schemeClr w14:val="tx1"/>
            </w14:solidFill>
          </w14:textFill>
        </w:rPr>
        <w:t>加强科研设施开放共享，逐步推动公共财政投资形成的大型科研仪器向社会开</w:t>
      </w:r>
      <w:r>
        <w:rPr>
          <w:rFonts w:ascii="Times New Roman" w:hAnsi="Times New Roman" w:eastAsia="仿宋_GB2312" w:cs="Times New Roman"/>
          <w:color w:val="000000" w:themeColor="text1"/>
          <w:spacing w:val="-2"/>
          <w:sz w:val="32"/>
          <w:szCs w:val="32"/>
          <w14:textFill>
            <w14:solidFill>
              <w14:schemeClr w14:val="tx1"/>
            </w14:solidFill>
          </w14:textFill>
        </w:rPr>
        <w:t>放。强化跨省创新资源协作，助力国家创新链整体效能提升。支持建立若干区域重大国际科技创新合作共同体。支持设立一批国际联合研究中心和海外研发基地，建立若干产学研国际联盟。支持有条件的企业设立海外研发机构，开展产学研国际合作</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133" w:type="dxa"/>
            <w:vAlign w:val="center"/>
          </w:tcPr>
          <w:p>
            <w:pPr>
              <w:spacing w:before="100" w:beforeAutospacing="1" w:after="100" w:afterAutospacing="1" w:line="5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专栏5  科技创新七大行动计划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133" w:type="dxa"/>
          </w:tcPr>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关键核心技术攻关计划。</w:t>
            </w:r>
            <w:r>
              <w:rPr>
                <w:rFonts w:ascii="Times New Roman" w:hAnsi="Times New Roman" w:eastAsia="宋体" w:cs="Times New Roman"/>
                <w:color w:val="000000" w:themeColor="text1"/>
                <w:sz w:val="24"/>
                <w14:textFill>
                  <w14:solidFill>
                    <w14:schemeClr w14:val="tx1"/>
                  </w14:solidFill>
                </w14:textFill>
              </w:rPr>
              <w:t>围绕“四个面向”，开展关键核心技术联合攻关。工程机械领域，突破挖掘机械、起重机械等主机产品，以及高端液压件、轴承等零部件关键技术。轨道交通领域，推进牵引和控制系统、中高速磁悬浮、轨道交通监测试验认证、动力分散型双层动车组等制造技术与装备应用技术攻关。航空航天领域，在大飞机起落架、中小型航空发动机等领域深化突破。电子信息领域，加快操作系统、IGBT、量子计算机、5G、工业软件等领域关键技术研发。新材料领域，提升碳基材料、先进储能材料、新型合金材料、化工新材料等研制水平。生物医药领域，推进生物种业、基因检测等关键技术研发。</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基础研究发展计划。</w:t>
            </w:r>
            <w:r>
              <w:rPr>
                <w:rFonts w:ascii="Times New Roman" w:hAnsi="Times New Roman" w:eastAsia="宋体" w:cs="Times New Roman"/>
                <w:color w:val="000000" w:themeColor="text1"/>
                <w:sz w:val="24"/>
                <w14:textFill>
                  <w14:solidFill>
                    <w14:schemeClr w14:val="tx1"/>
                  </w14:solidFill>
                </w14:textFill>
              </w:rPr>
              <w:t>集中围绕数学、材料、化学、生物、冶金、矿产等优势学科，推进高等院校强基计划，打造10个左右世界一流、壮大40个左右国内一流的理工农医学科。选择新材料、电子信息、生物与农业、人口与健康等研究基础好、带动作用强的领域，超前布局一批长期性基础性研究。聚焦量子科学、合成生物、大数据等可能引领产业变革的颠覆性技术，布局核心技术研发。</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创新主体增量提质计划。</w:t>
            </w:r>
            <w:r>
              <w:rPr>
                <w:rFonts w:ascii="Times New Roman" w:hAnsi="Times New Roman" w:eastAsia="宋体" w:cs="Times New Roman"/>
                <w:color w:val="000000" w:themeColor="text1"/>
                <w:sz w:val="24"/>
                <w14:textFill>
                  <w14:solidFill>
                    <w14:schemeClr w14:val="tx1"/>
                  </w14:solidFill>
                </w14:textFill>
              </w:rPr>
              <w:t>支持领军企业牵头，联合科研院所、上下游企业、行业协会实施重大科技产业化项目，打造若干具有产业生态主导力的领军企业。围绕产业链薄弱环节和细分领域，大力发展能生产关键设备、基础材料和零部件的“专精特新”企业。依托众创空间、双创基地等创新创业载体，构建全链条创新创业服务体系，孵化培育一批成长能力强的科技型中小微企业。</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芙蓉人才行动计划。</w:t>
            </w:r>
            <w:r>
              <w:rPr>
                <w:rFonts w:ascii="Times New Roman" w:hAnsi="Times New Roman" w:eastAsia="宋体" w:cs="Times New Roman"/>
                <w:color w:val="000000" w:themeColor="text1"/>
                <w:sz w:val="24"/>
                <w14:textFill>
                  <w14:solidFill>
                    <w14:schemeClr w14:val="tx1"/>
                  </w14:solidFill>
                </w14:textFill>
              </w:rPr>
              <w:t>实施“智汇潇湘”人才引聚工程，到2025年，在重点领域引育海内外高层次创新团队50个、创新创业人才500名。在本土选拔培养500名研究方向处于科技前沿领域、在本学科领域有重大发现、具有领军能力的高层次人才。实施企业经营管理素质提升计划，重点培育100名适应国际发展环境的现代企业家。实施芙蓉工匠培育工程，推动校企合作和新型学徒制人才培养，深化技能人才评定和激励改革，每年新增高技能人才10万人。培育充实乡村产业领军人才、新型职业农民、基层干部等，推动乡村振兴。推进新型智库建设，创建国家高端智库。</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创新平台建设计划。</w:t>
            </w:r>
            <w:r>
              <w:rPr>
                <w:rFonts w:ascii="Times New Roman" w:hAnsi="Times New Roman" w:eastAsia="宋体" w:cs="Times New Roman"/>
                <w:color w:val="000000" w:themeColor="text1"/>
                <w:sz w:val="24"/>
                <w14:textFill>
                  <w14:solidFill>
                    <w14:schemeClr w14:val="tx1"/>
                  </w14:solidFill>
                </w14:textFill>
              </w:rPr>
              <w:t>实施两区（长株潭国家自主创新示范区、湘江新区）两山（岳麓山大学科技城、马栏山视频文创产业园）三中心（国家先进轨道交通装备创新中心、岳麓山种业创新中心、岳麓山工业创新中心）工程，打造国家区域科技创新中心。布局一批国家和省级工程（技术）研究中心、企业技术中心、重点实验室等创新平台。支持搭建中试生产、检验检测等公共服务平台，推动关键共性技术研究。</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创新生态优化计划。</w:t>
            </w:r>
            <w:r>
              <w:rPr>
                <w:rFonts w:ascii="Times New Roman" w:hAnsi="Times New Roman" w:eastAsia="宋体" w:cs="Times New Roman"/>
                <w:color w:val="000000" w:themeColor="text1"/>
                <w:sz w:val="24"/>
                <w14:textFill>
                  <w14:solidFill>
                    <w14:schemeClr w14:val="tx1"/>
                  </w14:solidFill>
                </w14:textFill>
              </w:rPr>
              <w:t>深化科研管理体制改革，放宽高校和科研机构科技创新自主决策权，完善适应颠覆性创新的研发组织模式，建立行之有效的知识产权保护措施。健全多渠道投入机制，加大研发经费投入力度。对优势创新领域的重大创新工程，按照“一事一策”的原则予以支持。加大科技创新项目用地、资金等要素保障。推进跨省和国际合作，建立一批区域重大科技创新合作共同体，推进产业链联合创新，提升科技创新水平。</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科技成果转化计划。</w:t>
            </w:r>
            <w:r>
              <w:rPr>
                <w:rFonts w:ascii="Times New Roman" w:hAnsi="Times New Roman" w:eastAsia="宋体" w:cs="Times New Roman"/>
                <w:color w:val="000000" w:themeColor="text1"/>
                <w:sz w:val="24"/>
                <w14:textFill>
                  <w14:solidFill>
                    <w14:schemeClr w14:val="tx1"/>
                  </w14:solidFill>
                </w14:textFill>
              </w:rPr>
              <w:t>推动潇湘科技要素大市场分市场向全省覆盖，培育30家专业化技术转移示范机构。深化科技成果使用权、处置权、收益权改革，完善技术成果转化交易监管体系，创新转化利益分配机制，推进科技成果转化。建立以市场为导向，以企业为主体的产学研用协同创新体系。畅通科技成果信息收集和共享渠道，大力开展精准对接服务，促进更多成果在湘落地转化。支持科技银行、保险、担保、资产评估与交易等机构发展，为科技成果转化提供金融支撑。</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21" w:name="_Toc62051542"/>
      <w:r>
        <w:rPr>
          <w:rFonts w:ascii="Times New Roman" w:hAnsi="Times New Roman" w:eastAsia="黑体" w:cs="Times New Roman"/>
          <w:color w:val="000000" w:themeColor="text1"/>
          <w:sz w:val="32"/>
          <w:szCs w:val="32"/>
          <w14:textFill>
            <w14:solidFill>
              <w14:schemeClr w14:val="tx1"/>
            </w14:solidFill>
          </w14:textFill>
        </w:rPr>
        <w:t>第七章  打造内陆地区改革开放高地</w:t>
      </w:r>
      <w:bookmarkEnd w:id="21"/>
    </w:p>
    <w:p>
      <w:pPr>
        <w:spacing w:line="596" w:lineRule="exact"/>
        <w:ind w:firstLine="632"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充分发挥市场在资源配置中的决定性作用，更好发挥政府作用，以经济体制改革为重点全面深化改革，建设高标准市场体系，构建高水平社会主义市场经济体制。坚持开放崛起，充分发挥“一带一部”区位优势，高质量推动自贸试验区建设，瞄准做强产业实体</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着眼畅通经济循环</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聚焦优化营商环境抓开放，构建全方位、多层次、宽领域、高水平的开放格局，加快建设开放强省。</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2" w:name="_Toc62051543"/>
      <w:r>
        <w:rPr>
          <w:rFonts w:ascii="Times New Roman" w:hAnsi="Times New Roman" w:eastAsia="楷体_GB2312" w:cs="Times New Roman"/>
          <w:b/>
          <w:bCs/>
          <w:color w:val="000000" w:themeColor="text1"/>
          <w:sz w:val="32"/>
          <w:szCs w:val="32"/>
          <w14:textFill>
            <w14:solidFill>
              <w14:schemeClr w14:val="tx1"/>
            </w14:solidFill>
          </w14:textFill>
        </w:rPr>
        <w:t>第一节  激发市场主体活力</w:t>
      </w:r>
      <w:bookmarkEnd w:id="22"/>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深化国资国企改革。</w:t>
      </w:r>
      <w:r>
        <w:rPr>
          <w:rFonts w:ascii="Times New Roman" w:hAnsi="Times New Roman" w:eastAsia="仿宋_GB2312" w:cs="Times New Roman"/>
          <w:color w:val="000000" w:themeColor="text1"/>
          <w:sz w:val="32"/>
          <w:szCs w:val="32"/>
          <w14:textFill>
            <w14:solidFill>
              <w14:schemeClr w14:val="tx1"/>
            </w14:solidFill>
          </w14:textFill>
        </w:rPr>
        <w:t>毫不动摇巩固和发展公有制经济，不断增强国有经济竞争力、创新力、控制力、影响力和抗风险能力。深入实施国企改革行动，做强做优做大国有资本和国有企业。加快全省国有资本布局优化和结构调整，实施战略重组、专业化整合，推动国有资本向战略性新兴产业和未来产业、优势传统产业、国计民生和国家安全产业集聚，清理退出不具备优势的非主营业务和低效无效资产。加快完善中国特色现代企业制度，健全法人治理结构和市场化经营机制。积极稳妥深化混合所有制改革，探索建立有别于国有独资、全资公司的混合所有制企业治理机制和监管制度。健全管资本为主的国有资产监管体制，科学界定国有资产出资人监管边界，建立监管权力清单和责任清单。深化国有资本投资、运营公司改革。加强国有资产会计统计制度建设，构建有效降低国有企业杠杆率的长效机制。推动行政事业性国有资产立法工作，分类推进不同类型经营性国有资产授权体制改革。</w:t>
      </w:r>
    </w:p>
    <w:p>
      <w:pPr>
        <w:pStyle w:val="21"/>
        <w:spacing w:line="596" w:lineRule="exact"/>
        <w:ind w:left="0" w:leftChars="0"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支持非公经济改革发展。</w:t>
      </w:r>
      <w:r>
        <w:rPr>
          <w:rFonts w:ascii="Times New Roman" w:hAnsi="Times New Roman" w:eastAsia="仿宋_GB2312" w:cs="Times New Roman"/>
          <w:color w:val="000000" w:themeColor="text1"/>
          <w:sz w:val="32"/>
          <w:szCs w:val="32"/>
          <w14:textFill>
            <w14:solidFill>
              <w14:schemeClr w14:val="tx1"/>
            </w14:solidFill>
          </w14:textFill>
        </w:rPr>
        <w:t>毫不动摇鼓励、支持、引导非公有制经济发展，健全支持非</w:t>
      </w:r>
      <w:r>
        <w:rPr>
          <w:rFonts w:hint="eastAsia" w:ascii="Times New Roman" w:hAnsi="Times New Roman" w:eastAsia="仿宋_GB2312" w:cs="Times New Roman"/>
          <w:color w:val="000000" w:themeColor="text1"/>
          <w:sz w:val="32"/>
          <w:szCs w:val="32"/>
          <w14:textFill>
            <w14:solidFill>
              <w14:schemeClr w14:val="tx1"/>
            </w14:solidFill>
          </w14:textFill>
        </w:rPr>
        <w:t>公有制</w:t>
      </w:r>
      <w:r>
        <w:rPr>
          <w:rFonts w:ascii="Times New Roman" w:hAnsi="Times New Roman" w:eastAsia="仿宋_GB2312" w:cs="Times New Roman"/>
          <w:color w:val="000000" w:themeColor="text1"/>
          <w:sz w:val="32"/>
          <w:szCs w:val="32"/>
          <w14:textFill>
            <w14:solidFill>
              <w14:schemeClr w14:val="tx1"/>
            </w14:solidFill>
          </w14:textFill>
        </w:rPr>
        <w:t>经济发展的市场、政策、法治和社会环境，促进非公有制经济健康发展和非公有制经济人士健康成长。营造各种所有制主体依法平等使用资源要素、公开公平公正参与竞争、同等受到法律保护的市场环境。推动民营资本更大范围更深层次进入法律法规未明确禁止准入的行业和领域。出台支持发展民营银行等中小金融机构的政策，增加面向中小微企业的金融服务供给。依法平等保护民营企业产权和企业家权益，弘扬优秀企业家精神。完善构建亲清政商关系的政策体系，建立规范化机制化政企沟通渠道。建设长沙民营经济示范城市。</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持续完善产权制度。</w:t>
      </w:r>
      <w:r>
        <w:rPr>
          <w:rFonts w:ascii="Times New Roman" w:hAnsi="Times New Roman" w:eastAsia="仿宋_GB2312" w:cs="Times New Roman"/>
          <w:color w:val="000000" w:themeColor="text1"/>
          <w:sz w:val="32"/>
          <w:szCs w:val="32"/>
          <w14:textFill>
            <w14:solidFill>
              <w14:schemeClr w14:val="tx1"/>
            </w14:solidFill>
          </w14:textFill>
        </w:rPr>
        <w:t>坚持保护产权、维护契约、统一市场、平等交换、公平竞争、有效监管的基本导向，健全归属清晰、权责明确、保护严格、流转顺畅的现代产权制度。建立健全自然资源资产、国有资产、民营经济产权、农村集体产权、居民财产权益和知识产权等产权制度，补齐产权制度短板。创新产权激励制度与方式，实现产权有效激励。健全产权执法司法保护制度，加强企业商业秘密保护，依法打击侵犯产权犯罪。</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3" w:name="_Toc62051544"/>
      <w:r>
        <w:rPr>
          <w:rFonts w:ascii="Times New Roman" w:hAnsi="Times New Roman" w:eastAsia="楷体_GB2312" w:cs="Times New Roman"/>
          <w:b/>
          <w:bCs/>
          <w:color w:val="000000" w:themeColor="text1"/>
          <w:sz w:val="32"/>
          <w:szCs w:val="32"/>
          <w14:textFill>
            <w14:solidFill>
              <w14:schemeClr w14:val="tx1"/>
            </w14:solidFill>
          </w14:textFill>
        </w:rPr>
        <w:t>第二节  完善要素市场化配置体制机制</w:t>
      </w:r>
      <w:bookmarkEnd w:id="23"/>
    </w:p>
    <w:p>
      <w:pPr>
        <w:spacing w:line="568"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建设统一开放的要素市场。</w:t>
      </w:r>
      <w:r>
        <w:rPr>
          <w:rFonts w:ascii="Times New Roman" w:hAnsi="Times New Roman" w:eastAsia="仿宋_GB2312" w:cs="Times New Roman"/>
          <w:bCs/>
          <w:color w:val="000000" w:themeColor="text1"/>
          <w:sz w:val="32"/>
          <w:szCs w:val="32"/>
          <w14:textFill>
            <w14:solidFill>
              <w14:schemeClr w14:val="tx1"/>
            </w14:solidFill>
          </w14:textFill>
        </w:rPr>
        <w:t>完善土地管理制度，建立健全城乡统一的建设用地市场，推进产业用地市场化配置改革。深化户籍制度改革，放开放宽城市落户限制，完善技术技能评价制度，引导劳动力要素合理畅通有序流动。增加有效金融服务供给，支持企业利用多层次资本市场开展直接融资。改革科技</w:t>
      </w:r>
      <w:r>
        <w:rPr>
          <w:rFonts w:ascii="Times New Roman" w:hAnsi="Times New Roman" w:eastAsia="仿宋_GB2312" w:cs="Times New Roman"/>
          <w:bCs/>
          <w:color w:val="000000" w:themeColor="text1"/>
          <w:spacing w:val="-2"/>
          <w:sz w:val="32"/>
          <w:szCs w:val="32"/>
          <w14:textFill>
            <w14:solidFill>
              <w14:schemeClr w14:val="tx1"/>
            </w14:solidFill>
          </w14:textFill>
        </w:rPr>
        <w:t>创新资源市场配置方式，积极培育技术转移机构和技术经理人，加快发展技术要素市场。加强数据资源整合和安全保护，推进政府数据开放共享，提升社会数据资源价值，加快培育数据要素市场。推动要素融合发展，探索新型要素对传统要素提升路径</w:t>
      </w:r>
      <w:r>
        <w:rPr>
          <w:rFonts w:ascii="Times New Roman" w:hAnsi="Times New Roman" w:eastAsia="仿宋_GB2312" w:cs="Times New Roman"/>
          <w:bCs/>
          <w:color w:val="000000" w:themeColor="text1"/>
          <w:sz w:val="32"/>
          <w:szCs w:val="32"/>
          <w14:textFill>
            <w14:solidFill>
              <w14:schemeClr w14:val="tx1"/>
            </w14:solidFill>
          </w14:textFill>
        </w:rPr>
        <w:t>。</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完善要素价格决定机制。</w:t>
      </w:r>
      <w:r>
        <w:rPr>
          <w:rFonts w:ascii="Times New Roman" w:hAnsi="Times New Roman" w:eastAsia="仿宋_GB2312" w:cs="Times New Roman"/>
          <w:color w:val="000000" w:themeColor="text1"/>
          <w:sz w:val="32"/>
          <w:szCs w:val="32"/>
          <w14:textFill>
            <w14:solidFill>
              <w14:schemeClr w14:val="tx1"/>
            </w14:solidFill>
          </w14:textFill>
        </w:rPr>
        <w:t>健全主要由市场决定要素价格机制，着力破除限制资源要素自由流动的价格机制障碍。构建生产要素由市场评价贡献、按贡献决定报酬机制，引导市场主体依法合理行使要素定价自主权，推动政府定价机制由制定具体价格水平向制定定价规则转变。</w:t>
      </w:r>
      <w:r>
        <w:rPr>
          <w:rFonts w:ascii="Times New Roman" w:hAnsi="Times New Roman" w:eastAsia="仿宋_GB2312" w:cs="Times New Roman"/>
          <w:color w:val="000000" w:themeColor="text1"/>
          <w:spacing w:val="-2"/>
          <w:sz w:val="32"/>
          <w:szCs w:val="32"/>
          <w14:textFill>
            <w14:solidFill>
              <w14:schemeClr w14:val="tx1"/>
            </w14:solidFill>
          </w14:textFill>
        </w:rPr>
        <w:t>完善市场价格调控体系，加强和创新市场价格监管。进一步深化垄断行业价格市场化改革。深化公用事业和公共服务价格改革，建立健全价格动态调整机制。创新完善绿色发展价格机制，制定完善绿色消费价格政策。稳步推进农产品价格改革。</w:t>
      </w:r>
    </w:p>
    <w:p>
      <w:pPr>
        <w:spacing w:line="568" w:lineRule="exact"/>
        <w:ind w:firstLine="642"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健全要素交易机制。</w:t>
      </w:r>
      <w:r>
        <w:rPr>
          <w:rFonts w:ascii="Times New Roman" w:hAnsi="Times New Roman" w:eastAsia="仿宋_GB2312" w:cs="Times New Roman"/>
          <w:color w:val="000000" w:themeColor="text1"/>
          <w:spacing w:val="-2"/>
          <w:sz w:val="32"/>
          <w:szCs w:val="32"/>
          <w14:textFill>
            <w14:solidFill>
              <w14:schemeClr w14:val="tx1"/>
            </w14:solidFill>
          </w14:textFill>
        </w:rPr>
        <w:t>深化公共资源交易市场化改革，打造规范统一的共享共用公共资源交易平台。健全科技成果转化、知识产权交易等公共服务平台，逐步打造覆盖全省、分层分级的区域性科技要素市场体系。打造中国V链数字资产交易中心。建立完善的要素交易规则和服务体系。提升要素交易监管水平，增强要素应急配置能力</w:t>
      </w:r>
      <w:r>
        <w:rPr>
          <w:rFonts w:hint="eastAsia" w:ascii="Times New Roman" w:hAnsi="Times New Roman" w:eastAsia="仿宋_GB2312" w:cs="Times New Roman"/>
          <w:color w:val="000000" w:themeColor="text1"/>
          <w:spacing w:val="-2"/>
          <w:sz w:val="32"/>
          <w:szCs w:val="32"/>
          <w14:textFill>
            <w14:solidFill>
              <w14:schemeClr w14:val="tx1"/>
            </w14:solidFill>
          </w14:textFill>
        </w:rPr>
        <w:t>，促进</w:t>
      </w:r>
      <w:r>
        <w:rPr>
          <w:rFonts w:ascii="Times New Roman" w:hAnsi="Times New Roman" w:eastAsia="仿宋_GB2312" w:cs="Times New Roman"/>
          <w:color w:val="000000" w:themeColor="text1"/>
          <w:spacing w:val="-2"/>
          <w:sz w:val="32"/>
          <w:szCs w:val="32"/>
          <w14:textFill>
            <w14:solidFill>
              <w14:schemeClr w14:val="tx1"/>
            </w14:solidFill>
          </w14:textFill>
        </w:rPr>
        <w:t>劳动、资本、土地、知识、技术、管理、数据等生产要素的良性循环</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4" w:name="_Toc62051545"/>
      <w:r>
        <w:rPr>
          <w:rFonts w:ascii="Times New Roman" w:hAnsi="Times New Roman" w:eastAsia="楷体_GB2312" w:cs="Times New Roman"/>
          <w:b/>
          <w:bCs/>
          <w:color w:val="000000" w:themeColor="text1"/>
          <w:sz w:val="32"/>
          <w:szCs w:val="32"/>
          <w14:textFill>
            <w14:solidFill>
              <w14:schemeClr w14:val="tx1"/>
            </w14:solidFill>
          </w14:textFill>
        </w:rPr>
        <w:t>第三节  深化财税金融体制改革</w:t>
      </w:r>
      <w:bookmarkEnd w:id="24"/>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建立现代财税体制。</w:t>
      </w:r>
      <w:r>
        <w:rPr>
          <w:rFonts w:ascii="Times New Roman" w:hAnsi="Times New Roman" w:eastAsia="仿宋_GB2312" w:cs="Times New Roman"/>
          <w:color w:val="000000" w:themeColor="text1"/>
          <w:sz w:val="32"/>
          <w:szCs w:val="32"/>
          <w14:textFill>
            <w14:solidFill>
              <w14:schemeClr w14:val="tx1"/>
            </w14:solidFill>
          </w14:textFill>
        </w:rPr>
        <w:t>加强财政资源统筹，集中财力办大事，实施“三高四新”财源建设工程，增强国省重大战略任务财力保障。健全省以下财政体制，推进省与市县财政事权和支出责任划分改革，深化财政转移支付改革，增强基层公共服务保障能力。深化预算管理体制改革，强化对预算编制的宏观指导，推进全口径预算管理。全面实施预算绩效管理，完善标准科学、规范透明、约束有力的预算制度，推进财政支出标准化，提高财政资源配置效率和财政资金使用效益。依法构建管理规范、责任清晰、公开透明、风险可控的政府举债融资机制。强化非税收入管理，加快地方税体系建设，培育壮大地方税税源，健全以税收、社会保障、转移支付等为主要手段的再分配调节机制。</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建立现代金融体制。</w:t>
      </w:r>
      <w:r>
        <w:rPr>
          <w:rFonts w:ascii="Times New Roman" w:hAnsi="Times New Roman" w:eastAsia="仿宋_GB2312" w:cs="Times New Roman"/>
          <w:color w:val="000000" w:themeColor="text1"/>
          <w:sz w:val="32"/>
          <w:szCs w:val="32"/>
          <w14:textFill>
            <w14:solidFill>
              <w14:schemeClr w14:val="tx1"/>
            </w14:solidFill>
          </w14:textFill>
        </w:rPr>
        <w:t>构建金融有效支持实体经济的体制机制，</w:t>
      </w:r>
      <w:r>
        <w:rPr>
          <w:rFonts w:hint="eastAsia" w:ascii="Times New Roman" w:hAnsi="Times New Roman" w:eastAsia="仿宋_GB2312" w:cs="Times New Roman"/>
          <w:color w:val="000000" w:themeColor="text1"/>
          <w:sz w:val="32"/>
          <w:szCs w:val="32"/>
          <w14:textFill>
            <w14:solidFill>
              <w14:schemeClr w14:val="tx1"/>
            </w14:solidFill>
          </w14:textFill>
        </w:rPr>
        <w:t>促进产融融合，</w:t>
      </w:r>
      <w:r>
        <w:rPr>
          <w:rFonts w:ascii="Times New Roman" w:hAnsi="Times New Roman" w:eastAsia="仿宋_GB2312" w:cs="Times New Roman"/>
          <w:color w:val="000000" w:themeColor="text1"/>
          <w:sz w:val="32"/>
          <w:szCs w:val="32"/>
          <w14:textFill>
            <w14:solidFill>
              <w14:schemeClr w14:val="tx1"/>
            </w14:solidFill>
          </w14:textFill>
        </w:rPr>
        <w:t>提升金融科技水平，增强金融普惠性。健全多层次资本市场体系，加大上市后备资源培育力度，积极有序发展股权融资，拓展多元化、互补型股权融资渠道，提高直接融资比重。多渠道扩大信贷规模，优化资金期限结构，创新金融产品和服务方式，降低实体经济融资成本。推进保险改革创新，积极发挥保险在社会治理中的补充作用。推动地方法人金融机构加快发展，打造一批具有重要区域影响力的地方金融企业，构建布局合理、功能完善、经营稳健、充满活力的金融服务体系。深化农村信用社系统改革，促进小额贷款公司、融资担保公司、区域股权市场、融资租赁公司、商业保理公司、地方资产管理公司等地方类金融组织持续健康发展。积极稳妥推进央行数字货币试点工作。完善金融监管体制，重视和规范互联网金融，提高监管透明度和法治化水平，守住不发生系统性区域性金融风险底线。</w:t>
      </w:r>
    </w:p>
    <w:p>
      <w:pPr>
        <w:spacing w:line="660" w:lineRule="exact"/>
        <w:ind w:firstLine="666"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深化投融资体制改革</w:t>
      </w:r>
      <w:r>
        <w:rPr>
          <w:rFonts w:ascii="Times New Roman" w:hAnsi="Times New Roman" w:eastAsia="仿宋_GB2312" w:cs="Times New Roman"/>
          <w:color w:val="000000" w:themeColor="text1"/>
          <w:spacing w:val="6"/>
          <w:sz w:val="32"/>
          <w:szCs w:val="32"/>
          <w14:textFill>
            <w14:solidFill>
              <w14:schemeClr w14:val="tx1"/>
            </w14:solidFill>
          </w14:textFill>
        </w:rPr>
        <w:t>。深化政府投资项目</w:t>
      </w:r>
      <w:r>
        <w:rPr>
          <w:rFonts w:ascii="Times New Roman" w:hAnsi="Times New Roman" w:eastAsia="仿宋_GB2312" w:cs="Times New Roman"/>
          <w:kern w:val="0"/>
          <w:sz w:val="32"/>
          <w:szCs w:val="36"/>
        </w:rPr>
        <w:t>审批制度改革，优化企业投资项目核准备案管理流程，</w:t>
      </w:r>
      <w:r>
        <w:rPr>
          <w:rFonts w:ascii="Times New Roman" w:hAnsi="Times New Roman" w:eastAsia="仿宋_GB2312" w:cs="Times New Roman"/>
          <w:sz w:val="32"/>
          <w:szCs w:val="36"/>
        </w:rPr>
        <w:t>区分政府投资、企业投资重大限制类和一般类，实施分类管理。</w:t>
      </w:r>
      <w:r>
        <w:rPr>
          <w:rFonts w:ascii="Times New Roman" w:hAnsi="Times New Roman" w:eastAsia="仿宋_GB2312" w:cs="Times New Roman"/>
          <w:kern w:val="0"/>
          <w:sz w:val="32"/>
          <w:szCs w:val="36"/>
        </w:rPr>
        <w:t>深化投资项目在线监管平台应用，推行并联审批、容缺受理和承诺制改革，实行区域评估和“多规合一”</w:t>
      </w:r>
      <w:r>
        <w:rPr>
          <w:rFonts w:ascii="Times New Roman" w:hAnsi="Times New Roman" w:eastAsia="仿宋_GB2312" w:cs="Times New Roman"/>
          <w:spacing w:val="-2"/>
          <w:kern w:val="0"/>
          <w:sz w:val="32"/>
          <w:szCs w:val="36"/>
        </w:rPr>
        <w:t>。</w:t>
      </w:r>
      <w:r>
        <w:rPr>
          <w:rFonts w:ascii="Times New Roman" w:hAnsi="Times New Roman" w:eastAsia="仿宋_GB2312" w:cs="Times New Roman"/>
          <w:kern w:val="0"/>
          <w:sz w:val="32"/>
          <w:szCs w:val="36"/>
        </w:rPr>
        <w:t>加快构建开放性投融资体制，建立投融资在线对接平台，畅通项目主体和融资机构对接渠道。加快融资平台公司市场化转型，依法依规进行公益性项目融资。依法创新项目融资方式，探索采取定向股权投资基金、国有资本市场化融资等方式，加大重大项目融资支持。大力发展直接融资，在防范风险的前提下，扩大债务融资工具发行规模，支持符合条件</w:t>
      </w:r>
      <w:r>
        <w:rPr>
          <w:rFonts w:hint="eastAsia" w:ascii="Times New Roman" w:hAnsi="Times New Roman" w:eastAsia="仿宋_GB2312" w:cs="Times New Roman"/>
          <w:kern w:val="0"/>
          <w:sz w:val="32"/>
          <w:szCs w:val="36"/>
        </w:rPr>
        <w:t>的</w:t>
      </w:r>
      <w:r>
        <w:rPr>
          <w:rFonts w:ascii="Times New Roman" w:hAnsi="Times New Roman" w:eastAsia="仿宋_GB2312" w:cs="Times New Roman"/>
          <w:kern w:val="0"/>
          <w:sz w:val="32"/>
          <w:szCs w:val="36"/>
        </w:rPr>
        <w:t>企业上市融资，稳妥推进基础设施领域不动产信托基金（REITs）试点，扩大开发性金融、保险等对项目建设的投资，构建金融有效支持实体经济的体制机制。完善引进外资、央企合作、激活民资工作机制，推动投资主体多元化</w:t>
      </w:r>
      <w:r>
        <w:rPr>
          <w:rFonts w:ascii="Times New Roman" w:hAnsi="Times New Roman" w:eastAsia="仿宋_GB2312" w:cs="Times New Roman"/>
          <w:sz w:val="32"/>
          <w:szCs w:val="36"/>
        </w:rPr>
        <w:t>。</w:t>
      </w:r>
    </w:p>
    <w:tbl>
      <w:tblPr>
        <w:tblStyle w:val="25"/>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853" w:type="dxa"/>
            <w:vAlign w:val="center"/>
          </w:tcPr>
          <w:p>
            <w:pPr>
              <w:spacing w:line="3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专栏6  金融服务实体经济工程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853" w:type="dxa"/>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产融对接工程。</w:t>
            </w:r>
            <w:r>
              <w:rPr>
                <w:rFonts w:ascii="Times New Roman" w:hAnsi="Times New Roman" w:cs="Times New Roman"/>
                <w:color w:val="000000" w:themeColor="text1"/>
                <w:sz w:val="24"/>
                <w:szCs w:val="24"/>
                <w14:textFill>
                  <w14:solidFill>
                    <w14:schemeClr w14:val="tx1"/>
                  </w14:solidFill>
                </w14:textFill>
              </w:rPr>
              <w:t>促进各项银政、银企、银担战略合作，加强项目对接，争取更大信贷规模，建立制造业企业“白名单”制度，满足企业个性化融资需求。加大对“两新一重”等重点领域信贷投放，提高中长期贷款比重。逐步扩大“潇湘财银贷”试点范围，健全财政信贷风险补偿机制。力争全省贷款年均增速保持在10%以上，先进制造业等行业和领域贷款所占比重明显提高。</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“两类基金”发展工程。</w:t>
            </w:r>
            <w:r>
              <w:rPr>
                <w:rFonts w:ascii="Times New Roman" w:hAnsi="Times New Roman" w:cs="Times New Roman"/>
                <w:color w:val="000000" w:themeColor="text1"/>
                <w:sz w:val="24"/>
                <w:szCs w:val="24"/>
                <w14:textFill>
                  <w14:solidFill>
                    <w14:schemeClr w14:val="tx1"/>
                  </w14:solidFill>
                </w14:textFill>
              </w:rPr>
              <w:t>大力发展私募股权基金，支持设立创业投资企业，引导社会资本参与产业项目建设，到2025年底，力争全省私募股权投资规模实现翻番。壮大我省新兴产业投资基金，支持其与专业投资机构和产业龙头企业组建子基金，参与投资战略性新兴产业和科技型企业，加快科技成果转化。</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企业上市“破零倍增”工程。</w:t>
            </w:r>
            <w:r>
              <w:rPr>
                <w:rFonts w:ascii="Times New Roman" w:hAnsi="Times New Roman" w:cs="Times New Roman"/>
                <w:color w:val="000000" w:themeColor="text1"/>
                <w:sz w:val="24"/>
                <w:szCs w:val="24"/>
                <w14:textFill>
                  <w14:solidFill>
                    <w14:schemeClr w14:val="tx1"/>
                  </w14:solidFill>
                </w14:textFill>
              </w:rPr>
              <w:t>以注册制改革为契机，加大上市后备资源培育，建立企业上市工作事项办理绿色通道，推动企业境内外上市。支持区域股权市场发展，争取将湖南股权交易所纳入全国区域性股权市场试点范围，加快制度和业务创新，到2025年，力争所有市州实现至少1家上市公司，全省上市公司数量和湖南股权交易所挂牌企业数量实现翻番。</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“两个平台”建设工程。</w:t>
            </w:r>
            <w:r>
              <w:rPr>
                <w:rFonts w:ascii="Times New Roman" w:hAnsi="Times New Roman" w:cs="Times New Roman"/>
                <w:color w:val="000000" w:themeColor="text1"/>
                <w:sz w:val="24"/>
                <w:szCs w:val="24"/>
                <w14:textFill>
                  <w14:solidFill>
                    <w14:schemeClr w14:val="tx1"/>
                  </w14:solidFill>
                </w14:textFill>
              </w:rPr>
              <w:t>打造中小企业融资服务平台，加快建设金融机构信息和产品数据库、中小企业数据库、信用信息数据库、项目信息数据库，整合政府信息、企业信息和金融机构资源，满足中小微企业融资需求。加快建设地方金融风险监测预警平台，探索建立覆盖全省的地方金融风险监测预警系统，提高风险识别率，推动风险处置关口前移。</w:t>
            </w:r>
          </w:p>
          <w:p>
            <w:pPr>
              <w:adjustRightInd w:val="0"/>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“两个体系”建设工程。</w:t>
            </w:r>
            <w:r>
              <w:rPr>
                <w:rFonts w:ascii="Times New Roman" w:hAnsi="Times New Roman" w:cs="Times New Roman"/>
                <w:color w:val="000000" w:themeColor="text1"/>
                <w:sz w:val="24"/>
                <w:szCs w:val="24"/>
                <w14:textFill>
                  <w14:solidFill>
                    <w14:schemeClr w14:val="tx1"/>
                  </w14:solidFill>
                </w14:textFill>
              </w:rPr>
              <w:t>健全中小企业金融服务体系，加大小微企业“首贷户”信贷投放，大力推动“信易贷”融资，建立“信易贷”风险补偿和白名单制度。加快政府性融资担保体系建设，落实“4321”新型政银担风险分担机制。探索开展乡村金融信用试点，持续加大涉农信贷支持。</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5" w:name="_Toc62051546"/>
      <w:r>
        <w:rPr>
          <w:rFonts w:ascii="Times New Roman" w:hAnsi="Times New Roman" w:eastAsia="楷体_GB2312" w:cs="Times New Roman"/>
          <w:b/>
          <w:bCs/>
          <w:color w:val="000000" w:themeColor="text1"/>
          <w:sz w:val="32"/>
          <w:szCs w:val="32"/>
          <w14:textFill>
            <w14:solidFill>
              <w14:schemeClr w14:val="tx1"/>
            </w14:solidFill>
          </w14:textFill>
        </w:rPr>
        <w:t>第四节  完善经济治理体系</w:t>
      </w:r>
      <w:bookmarkEnd w:id="25"/>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优化营商环境</w:t>
      </w:r>
      <w:r>
        <w:rPr>
          <w:rFonts w:ascii="Times New Roman" w:hAnsi="Times New Roman" w:eastAsia="仿宋_GB2312" w:cs="Times New Roman"/>
          <w:color w:val="000000" w:themeColor="text1"/>
          <w:spacing w:val="-2"/>
          <w:sz w:val="32"/>
          <w:szCs w:val="32"/>
          <w14:textFill>
            <w14:solidFill>
              <w14:schemeClr w14:val="tx1"/>
            </w14:solidFill>
          </w14:textFill>
        </w:rPr>
        <w:t>。实施“放管服”改革行动，最大限度减少政府对市场的直接干预。深化行政审批制度改革，</w:t>
      </w:r>
      <w:r>
        <w:rPr>
          <w:rFonts w:hint="eastAsia" w:ascii="Times New Roman" w:hAnsi="Times New Roman" w:eastAsia="仿宋_GB2312" w:cs="Times New Roman"/>
          <w:color w:val="000000" w:themeColor="text1"/>
          <w:spacing w:val="-2"/>
          <w:sz w:val="32"/>
          <w:szCs w:val="32"/>
          <w14:textFill>
            <w14:solidFill>
              <w14:schemeClr w14:val="tx1"/>
            </w14:solidFill>
          </w14:textFill>
        </w:rPr>
        <w:t>优化</w:t>
      </w:r>
      <w:r>
        <w:rPr>
          <w:rFonts w:ascii="Times New Roman" w:hAnsi="Times New Roman" w:eastAsia="仿宋_GB2312" w:cs="Times New Roman"/>
          <w:color w:val="000000" w:themeColor="text1"/>
          <w:spacing w:val="-2"/>
          <w:sz w:val="32"/>
          <w:szCs w:val="32"/>
          <w14:textFill>
            <w14:solidFill>
              <w14:schemeClr w14:val="tx1"/>
            </w14:solidFill>
          </w14:textFill>
        </w:rPr>
        <w:t>审批服务。全面深化投资项目审批制度、招投标体制改革。持续推进“一件事一次办”和商事制度改革，推进政务服务标准化</w:t>
      </w:r>
      <w:r>
        <w:rPr>
          <w:rFonts w:ascii="Times New Roman" w:hAnsi="Times New Roman" w:eastAsia="仿宋_GB2312" w:cs="Times New Roman"/>
          <w:color w:val="000000" w:themeColor="text1"/>
          <w:spacing w:val="-2"/>
          <w:kern w:val="0"/>
          <w:sz w:val="32"/>
          <w:szCs w:val="32"/>
          <w14:textFill>
            <w14:solidFill>
              <w14:schemeClr w14:val="tx1"/>
            </w14:solidFill>
          </w14:textFill>
        </w:rPr>
        <w:t>、规范化、便利化</w:t>
      </w:r>
      <w:r>
        <w:rPr>
          <w:rFonts w:ascii="Times New Roman" w:hAnsi="Times New Roman" w:eastAsia="仿宋_GB2312" w:cs="Times New Roman"/>
          <w:color w:val="000000" w:themeColor="text1"/>
          <w:spacing w:val="-2"/>
          <w:sz w:val="32"/>
          <w:szCs w:val="32"/>
          <w14:textFill>
            <w14:solidFill>
              <w14:schemeClr w14:val="tx1"/>
            </w14:solidFill>
          </w14:textFill>
        </w:rPr>
        <w:t>建设</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，深化政务公开</w:t>
      </w:r>
      <w:r>
        <w:rPr>
          <w:rFonts w:ascii="Times New Roman" w:hAnsi="Times New Roman" w:eastAsia="仿宋_GB2312" w:cs="Times New Roman"/>
          <w:color w:val="000000" w:themeColor="text1"/>
          <w:spacing w:val="-2"/>
          <w:sz w:val="32"/>
          <w:szCs w:val="32"/>
          <w14:textFill>
            <w14:solidFill>
              <w14:schemeClr w14:val="tx1"/>
            </w14:solidFill>
          </w14:textFill>
        </w:rPr>
        <w:t>。深入开展“互联网+政务服务”，加快数字政府和服务型政府建设。深化机构和行政体制改革，统筹党政群机构改革，完善事业单位分类改革，推进政事分开、事企分开和管办分离</w:t>
      </w:r>
      <w:r>
        <w:rPr>
          <w:rFonts w:ascii="Times New Roman" w:hAnsi="Times New Roman" w:eastAsia="仿宋_GB2312" w:cs="Times New Roman"/>
          <w:color w:val="000000" w:themeColor="text1"/>
          <w:spacing w:val="-2"/>
          <w:kern w:val="0"/>
          <w:sz w:val="32"/>
          <w:szCs w:val="32"/>
          <w14:textFill>
            <w14:solidFill>
              <w14:schemeClr w14:val="tx1"/>
            </w14:solidFill>
          </w14:textFill>
        </w:rPr>
        <w:t>，全面实行政府权责清单制度</w:t>
      </w:r>
      <w:r>
        <w:rPr>
          <w:rFonts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深化行业协会、商会和中介机构改革。</w:t>
      </w:r>
      <w:r>
        <w:rPr>
          <w:rFonts w:ascii="Times New Roman" w:hAnsi="Times New Roman" w:eastAsia="仿宋_GB2312" w:cs="Times New Roman"/>
          <w:color w:val="000000" w:themeColor="text1"/>
          <w:spacing w:val="-2"/>
          <w:sz w:val="32"/>
          <w:szCs w:val="32"/>
          <w14:textFill>
            <w14:solidFill>
              <w14:schemeClr w14:val="tx1"/>
            </w14:solidFill>
          </w14:textFill>
        </w:rPr>
        <w:t>推进企业园区市场化改革，进一步下放管理权限，完善管理运营机制，提高园区质量和效益。完善营商环境评价，加快打造市场化、法治化、国际化营商环境</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全面落实公平竞争制度。</w:t>
      </w:r>
      <w:r>
        <w:rPr>
          <w:rFonts w:ascii="Times New Roman" w:hAnsi="Times New Roman" w:eastAsia="仿宋_GB2312" w:cs="Times New Roman"/>
          <w:color w:val="000000" w:themeColor="text1"/>
          <w:sz w:val="32"/>
          <w:szCs w:val="32"/>
          <w14:textFill>
            <w14:solidFill>
              <w14:schemeClr w14:val="tx1"/>
            </w14:solidFill>
          </w14:textFill>
        </w:rPr>
        <w:t>强化公平竞争审查的刚性约束，稳妥有序清理废除妨碍统一市场和公平竞争的规定和做法。加强和改进反垄断和反不正当竞争执法，持续深入开展不正当竞争行为治理。探索建立公平竞争审查考核机制，加大问责处罚力度。健全破产制度。</w:t>
      </w:r>
      <w:r>
        <w:rPr>
          <w:rFonts w:ascii="Times New Roman" w:hAnsi="Times New Roman" w:eastAsia="仿宋_GB2312" w:cs="Times New Roman"/>
          <w:bCs/>
          <w:color w:val="000000" w:themeColor="text1"/>
          <w:sz w:val="32"/>
          <w:szCs w:val="32"/>
          <w14:textFill>
            <w14:solidFill>
              <w14:schemeClr w14:val="tx1"/>
            </w14:solidFill>
          </w14:textFill>
        </w:rPr>
        <w:t>落实统一的市场准入负面清单制度，</w:t>
      </w:r>
      <w:r>
        <w:rPr>
          <w:rFonts w:ascii="Times New Roman" w:hAnsi="Times New Roman" w:eastAsia="仿宋_GB2312" w:cs="Times New Roman"/>
          <w:color w:val="000000" w:themeColor="text1"/>
          <w:sz w:val="32"/>
          <w:szCs w:val="32"/>
          <w14:textFill>
            <w14:solidFill>
              <w14:schemeClr w14:val="tx1"/>
            </w14:solidFill>
          </w14:textFill>
        </w:rPr>
        <w:t>建立统一的清单代码体系，完善与市场准入负面清单紧密衔接的行政审批体制和事中事后监管体系，清理擅自违规设立或保留的市场准入隐性门槛。探索以服务业为重点进一步放宽市场准入限制。深化生产许可证制度改革。</w:t>
      </w:r>
    </w:p>
    <w:p>
      <w:pPr>
        <w:spacing w:line="596" w:lineRule="exact"/>
        <w:ind w:firstLine="642"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构建新型监管机制。</w:t>
      </w:r>
      <w:r>
        <w:rPr>
          <w:rFonts w:ascii="Times New Roman" w:hAnsi="Times New Roman" w:eastAsia="仿宋_GB2312" w:cs="Times New Roman"/>
          <w:color w:val="000000" w:themeColor="text1"/>
          <w:sz w:val="32"/>
          <w:szCs w:val="32"/>
          <w14:textFill>
            <w14:solidFill>
              <w14:schemeClr w14:val="tx1"/>
            </w14:solidFill>
          </w14:textFill>
        </w:rPr>
        <w:t>严格市场监管、质量监管、安全监管，加强事中事后监管，落实监管责任，健全监管规则，创新监管方式。加强全省社会信用体系建设，全面推行信用告知承诺制，健全公共信用综合评价体系，实施信用分类分级监管，健全守信激励和失信惩戒机制，完善信用修复机制，保护信用主体合法权益，构建以信用为基础的新型监管机制。建立政务诚信监测治理体系，健全政府失信责任追究制度。实施涉企经营许可事项清单管理，对新产业新业态实行包容审慎监管。</w:t>
      </w:r>
    </w:p>
    <w:tbl>
      <w:tblPr>
        <w:tblStyle w:val="25"/>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90" w:type="dxa"/>
            <w:shd w:val="clear" w:color="auto" w:fill="auto"/>
            <w:vAlign w:val="center"/>
          </w:tcPr>
          <w:p>
            <w:pPr>
              <w:spacing w:before="100" w:beforeAutospacing="1" w:after="100" w:afterAutospacing="1"/>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专栏7  四大改革行动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890" w:type="dxa"/>
            <w:shd w:val="clear" w:color="auto" w:fill="auto"/>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深化国资国企改革行动。</w:t>
            </w:r>
            <w:r>
              <w:rPr>
                <w:rFonts w:ascii="Times New Roman" w:hAnsi="Times New Roman" w:cs="Times New Roman"/>
                <w:color w:val="000000" w:themeColor="text1"/>
                <w:sz w:val="24"/>
                <w:szCs w:val="24"/>
                <w14:textFill>
                  <w14:solidFill>
                    <w14:schemeClr w14:val="tx1"/>
                  </w14:solidFill>
                </w14:textFill>
              </w:rPr>
              <w:t>实施国企改革三年行动计划，引导增量国有资本向重点优势产业集聚，持续优化存量国有资产，分层分类深化国有企业混合所有制改革，稳慎开展混合所有制企业骨干员工持股，规范国有企业董事会建设，落实董事会职权，推行经理层成员任期制和契约化管理，动态调整优化国资监管机构权责清单，推进国有资本投资、运营公司改革试点，改进国有企业考核评价体系。</w:t>
            </w:r>
          </w:p>
          <w:p>
            <w:pPr>
              <w:adjustRightInd w:val="0"/>
              <w:snapToGrid w:val="0"/>
              <w:spacing w:line="320" w:lineRule="exact"/>
              <w:ind w:firstLine="481" w:firstLineChars="200"/>
              <w:rPr>
                <w:rFonts w:ascii="Times New Roman" w:hAnsi="Times New Roman" w:eastAsia="仿宋_GB2312" w:cs="Times New Roman"/>
                <w:kern w:val="0"/>
                <w:sz w:val="36"/>
                <w:szCs w:val="36"/>
              </w:rPr>
            </w:pPr>
            <w:r>
              <w:rPr>
                <w:rFonts w:ascii="Times New Roman" w:hAnsi="Times New Roman" w:cs="Times New Roman"/>
                <w:b/>
                <w:bCs/>
                <w:color w:val="000000" w:themeColor="text1"/>
                <w:sz w:val="24"/>
                <w:szCs w:val="24"/>
                <w14:textFill>
                  <w14:solidFill>
                    <w14:schemeClr w14:val="tx1"/>
                  </w14:solidFill>
                </w14:textFill>
              </w:rPr>
              <w:t>投融资体制改革行动。</w:t>
            </w:r>
            <w:r>
              <w:rPr>
                <w:rFonts w:ascii="Times New Roman" w:hAnsi="Times New Roman" w:cs="Times New Roman"/>
                <w:color w:val="000000" w:themeColor="text1"/>
                <w:sz w:val="24"/>
                <w:szCs w:val="24"/>
                <w14:textFill>
                  <w14:solidFill>
                    <w14:schemeClr w14:val="tx1"/>
                  </w14:solidFill>
                </w14:textFill>
              </w:rPr>
              <w:t>投资，全面落实政府投资条例，严格投资概算、建设标准、建设工期，提高投资绩效。推行投资项目并联审批、容缺受理和承诺制改革，全面推行区域评估和“多规合一”，推广应用“标准地”数字地图。融资，多渠道筹措项目建设资金，大力发展直接融资，推动龙头骨干企业上市融资，规范采用PPP模式，稳妥推进基础设施REITs试点。加快省内平台公司实体化、市场化转型。</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要素市场化配置改革行动。</w:t>
            </w:r>
            <w:r>
              <w:rPr>
                <w:rFonts w:ascii="Times New Roman" w:hAnsi="Times New Roman" w:cs="Times New Roman"/>
                <w:bCs/>
                <w:color w:val="000000" w:themeColor="text1"/>
                <w:sz w:val="24"/>
                <w:szCs w:val="24"/>
                <w14:textFill>
                  <w14:solidFill>
                    <w14:schemeClr w14:val="tx1"/>
                  </w14:solidFill>
                </w14:textFill>
              </w:rPr>
              <w:t>土地，</w:t>
            </w:r>
            <w:r>
              <w:rPr>
                <w:rFonts w:ascii="Times New Roman" w:hAnsi="Times New Roman" w:cs="Times New Roman"/>
                <w:color w:val="000000" w:themeColor="text1"/>
                <w:sz w:val="24"/>
                <w:szCs w:val="24"/>
                <w14:textFill>
                  <w14:solidFill>
                    <w14:schemeClr w14:val="tx1"/>
                  </w14:solidFill>
                </w14:textFill>
              </w:rPr>
              <w:t>推广浏阳“三块地”改革经验，探索建立园区“标准地+承诺制”机制，盘活存量用地，改革土地计划管理方式。</w:t>
            </w:r>
            <w:r>
              <w:rPr>
                <w:rFonts w:ascii="Times New Roman" w:hAnsi="Times New Roman" w:cs="Times New Roman"/>
                <w:bCs/>
                <w:color w:val="000000" w:themeColor="text1"/>
                <w:sz w:val="24"/>
                <w:szCs w:val="24"/>
                <w14:textFill>
                  <w14:solidFill>
                    <w14:schemeClr w14:val="tx1"/>
                  </w14:solidFill>
                </w14:textFill>
              </w:rPr>
              <w:t>劳动力，</w:t>
            </w:r>
            <w:r>
              <w:rPr>
                <w:rFonts w:ascii="Times New Roman" w:hAnsi="Times New Roman" w:cs="Times New Roman"/>
                <w:color w:val="000000" w:themeColor="text1"/>
                <w:sz w:val="24"/>
                <w:szCs w:val="24"/>
                <w14:textFill>
                  <w14:solidFill>
                    <w14:schemeClr w14:val="tx1"/>
                  </w14:solidFill>
                </w14:textFill>
              </w:rPr>
              <w:t>试行经常居住地登记户口制度，推进长株潭都市圈户籍制度一体化，畅通劳动力和人才流动渠道，健全技术技能评价制度。</w:t>
            </w:r>
            <w:r>
              <w:rPr>
                <w:rFonts w:ascii="Times New Roman" w:hAnsi="Times New Roman" w:cs="Times New Roman"/>
                <w:bCs/>
                <w:color w:val="000000" w:themeColor="text1"/>
                <w:sz w:val="24"/>
                <w:szCs w:val="24"/>
                <w14:textFill>
                  <w14:solidFill>
                    <w14:schemeClr w14:val="tx1"/>
                  </w14:solidFill>
                </w14:textFill>
              </w:rPr>
              <w:t>资本，</w:t>
            </w:r>
            <w:r>
              <w:rPr>
                <w:rFonts w:ascii="Times New Roman" w:hAnsi="Times New Roman" w:cs="Times New Roman"/>
                <w:color w:val="000000" w:themeColor="text1"/>
                <w:sz w:val="24"/>
                <w:szCs w:val="24"/>
                <w14:textFill>
                  <w14:solidFill>
                    <w14:schemeClr w14:val="tx1"/>
                  </w14:solidFill>
                </w14:textFill>
              </w:rPr>
              <w:t>加快推进企业上市，推动科技创新专板挂牌企业持续稳定增加，稳步扩大债券市场规模，着力提升金融服务市场主体能力。加强银保融合服务乡村，推动基础金融服务扩面提质。技术，推进职务科技成果赋权改革试点建设，积极申报设立中国（湖南）知识产权保护中心，加快建设一批科技创新、成果转化和技术转移平台。</w:t>
            </w:r>
            <w:r>
              <w:rPr>
                <w:rFonts w:ascii="Times New Roman" w:hAnsi="Times New Roman" w:cs="Times New Roman"/>
                <w:bCs/>
                <w:color w:val="000000" w:themeColor="text1"/>
                <w:sz w:val="24"/>
                <w:szCs w:val="24"/>
                <w14:textFill>
                  <w14:solidFill>
                    <w14:schemeClr w14:val="tx1"/>
                  </w14:solidFill>
                </w14:textFill>
              </w:rPr>
              <w:t>数据，</w:t>
            </w:r>
            <w:r>
              <w:rPr>
                <w:rFonts w:ascii="Times New Roman" w:hAnsi="Times New Roman" w:cs="Times New Roman"/>
                <w:color w:val="000000" w:themeColor="text1"/>
                <w:sz w:val="24"/>
                <w:szCs w:val="24"/>
                <w14:textFill>
                  <w14:solidFill>
                    <w14:schemeClr w14:val="tx1"/>
                  </w14:solidFill>
                </w14:textFill>
              </w:rPr>
              <w:t>积极申报国家大数据综合试验区，合理布局数据中心和大数据交易中心，组织实施一批大数据应用示范工程，推动落实《湖南省政务信息资源共享管理办法》。</w:t>
            </w:r>
          </w:p>
          <w:p>
            <w:pPr>
              <w:spacing w:line="320" w:lineRule="exact"/>
              <w:ind w:firstLine="481"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“放管服”改革行动。</w:t>
            </w:r>
            <w:r>
              <w:rPr>
                <w:rFonts w:ascii="Times New Roman" w:hAnsi="Times New Roman" w:cs="Times New Roman"/>
                <w:color w:val="000000" w:themeColor="text1"/>
                <w:sz w:val="24"/>
                <w:szCs w:val="24"/>
                <w14:textFill>
                  <w14:solidFill>
                    <w14:schemeClr w14:val="tx1"/>
                  </w14:solidFill>
                </w14:textFill>
              </w:rPr>
              <w:t>持续拓宽“一件事一次办”改革范围，深入推进“证照分离”改革全覆盖试点建设，进一步压缩企业开办时间到1个工作日内，持续精简行政许可事项，推进行政审批中介服务标准化建设，加强运用互联网、大数据、人工智能等技术手段进行行政管理，健全以“双随机</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一公开”监管为手段、以重点监管为补充、以信用监管为基础、以智慧监管为支撑的新型监管机制。</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6" w:name="_Toc62051547"/>
      <w:r>
        <w:rPr>
          <w:rFonts w:ascii="Times New Roman" w:hAnsi="Times New Roman" w:eastAsia="楷体_GB2312" w:cs="Times New Roman"/>
          <w:b/>
          <w:bCs/>
          <w:color w:val="000000" w:themeColor="text1"/>
          <w:sz w:val="32"/>
          <w:szCs w:val="32"/>
          <w14:textFill>
            <w14:solidFill>
              <w14:schemeClr w14:val="tx1"/>
            </w14:solidFill>
          </w14:textFill>
        </w:rPr>
        <w:t>第五节  加快建设中国（湖南）自贸试验区</w:t>
      </w:r>
      <w:bookmarkEnd w:id="26"/>
    </w:p>
    <w:p>
      <w:pPr>
        <w:spacing w:line="540" w:lineRule="exact"/>
        <w:ind w:firstLine="624" w:firstLineChars="200"/>
        <w:rPr>
          <w:rFonts w:ascii="Times New Roman" w:hAnsi="Times New Roman" w:eastAsia="仿宋_GB2312" w:cs="Times New Roman"/>
          <w:color w:val="000000" w:themeColor="text1"/>
          <w:spacing w:val="-4"/>
          <w:kern w:val="0"/>
          <w:sz w:val="32"/>
          <w:szCs w:val="32"/>
          <w14:textFill>
            <w14:solidFill>
              <w14:schemeClr w14:val="tx1"/>
            </w14:solidFill>
          </w14:textFill>
        </w:rPr>
      </w:pP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以制度创新为核心，以可复制可推广为基本要求，以加快融入区域全面经济伙伴关系协定（</w:t>
      </w:r>
      <w:r>
        <w:rPr>
          <w:rFonts w:ascii="Times New Roman" w:hAnsi="Times New Roman" w:eastAsia="仿宋_GB2312" w:cs="Times New Roman"/>
          <w:color w:val="000000" w:themeColor="text1"/>
          <w:spacing w:val="-4"/>
          <w:kern w:val="0"/>
          <w:sz w:val="32"/>
          <w:szCs w:val="32"/>
          <w14:textFill>
            <w14:solidFill>
              <w14:schemeClr w14:val="tx1"/>
            </w14:solidFill>
          </w14:textFill>
        </w:rPr>
        <w:t>RCEP</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和中欧全面投资协定为主要导向，推进自贸试验区长沙、岳阳、郴州三大片区发展。围绕推动贸易高质量发展、深化金融领域开放创新、打造联通长江经济带和粤港澳大湾区的国际投资贸易走廊、探索中非经贸合作新路径新机制、支持先进制造业高质量发展等方面，实施</w:t>
      </w:r>
      <w:r>
        <w:rPr>
          <w:rFonts w:ascii="Times New Roman" w:hAnsi="Times New Roman" w:eastAsia="仿宋_GB2312" w:cs="Times New Roman"/>
          <w:color w:val="000000" w:themeColor="text1"/>
          <w:spacing w:val="-4"/>
          <w:kern w:val="0"/>
          <w:sz w:val="32"/>
          <w:szCs w:val="32"/>
          <w14:textFill>
            <w14:solidFill>
              <w14:schemeClr w14:val="tx1"/>
            </w14:solidFill>
          </w14:textFill>
        </w:rPr>
        <w:t>121</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项改革试点任务，力争形成更多有国际竞争力的制度创新成果，努力建成贸易投资便利、产业布局优化、金融服务完善、监管安全高效、辐射带动作用突出的高标准高质量自由贸易园区。</w:t>
      </w:r>
    </w:p>
    <w:tbl>
      <w:tblPr>
        <w:tblStyle w:val="25"/>
        <w:tblW w:w="8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590" w:type="dxa"/>
            <w:shd w:val="clear" w:color="auto" w:fill="auto"/>
            <w:vAlign w:val="center"/>
          </w:tcPr>
          <w:p>
            <w:pPr>
              <w:spacing w:before="100" w:beforeAutospacing="1" w:after="100" w:afterAutospacing="1"/>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专栏8  自贸试验区建设工程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590" w:type="dxa"/>
            <w:shd w:val="clear" w:color="auto" w:fill="auto"/>
          </w:tcPr>
          <w:p>
            <w:pPr>
              <w:spacing w:line="320" w:lineRule="exact"/>
              <w:ind w:firstLine="472" w:firstLineChars="196"/>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一产业。</w:t>
            </w:r>
            <w:r>
              <w:rPr>
                <w:rFonts w:ascii="Times New Roman" w:hAnsi="Times New Roman" w:eastAsia="宋体" w:cs="Times New Roman"/>
                <w:bCs/>
                <w:color w:val="000000" w:themeColor="text1"/>
                <w:kern w:val="0"/>
                <w:sz w:val="24"/>
                <w14:textFill>
                  <w14:solidFill>
                    <w14:schemeClr w14:val="tx1"/>
                  </w14:solidFill>
                </w14:textFill>
              </w:rPr>
              <w:t>围绕打造世界级先进制造业集群，申建国家级工业设计研究院，组建集群发展促进机构，创建工业跨境电商服务平台，推进网络基础设施建设与改造提升，探索高端装备融资租赁服务，创新柔性引才机制，开展再制造产业发展及市场化应用，打造“飞地经济”示范区，探索以货易货拉动国家产能合作新模式。</w:t>
            </w:r>
          </w:p>
          <w:p>
            <w:pPr>
              <w:spacing w:line="320" w:lineRule="exact"/>
              <w:ind w:firstLine="472" w:firstLineChars="196"/>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一园区。</w:t>
            </w:r>
            <w:r>
              <w:rPr>
                <w:rFonts w:ascii="Times New Roman" w:hAnsi="Times New Roman" w:eastAsia="宋体" w:cs="Times New Roman"/>
                <w:bCs/>
                <w:color w:val="000000" w:themeColor="text1"/>
                <w:kern w:val="0"/>
                <w:sz w:val="24"/>
                <w14:textFill>
                  <w14:solidFill>
                    <w14:schemeClr w14:val="tx1"/>
                  </w14:solidFill>
                </w14:textFill>
              </w:rPr>
              <w:t>建设中非经贸深度合作先行区。持续办好中非经贸博览会，拓展湘非互联互通新通道，打造中非经贸合作促进创新示范园，建设非洲非资源性产品集散交易加工中心，建设中非跨境人民币服务中心，支持对非合作特色产业和专业园区发展，建设中非经贸合作研究促进会，搭建境外综合服务体系，打造中非经贸人才智库体系。</w:t>
            </w:r>
          </w:p>
          <w:p>
            <w:pPr>
              <w:spacing w:line="320" w:lineRule="exact"/>
              <w:ind w:firstLine="472" w:firstLineChars="196"/>
              <w:rPr>
                <w:rFonts w:ascii="Times New Roman" w:hAnsi="Times New Roman" w:eastAsia="宋体" w:cs="Times New Roman"/>
                <w:bCs/>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一走廊。</w:t>
            </w:r>
            <w:r>
              <w:rPr>
                <w:rFonts w:ascii="Times New Roman" w:hAnsi="Times New Roman" w:eastAsia="宋体" w:cs="Times New Roman"/>
                <w:bCs/>
                <w:color w:val="000000" w:themeColor="text1"/>
                <w:kern w:val="0"/>
                <w:sz w:val="24"/>
                <w14:textFill>
                  <w14:solidFill>
                    <w14:schemeClr w14:val="tx1"/>
                  </w14:solidFill>
                </w14:textFill>
              </w:rPr>
              <w:t>打造国际投资贸易走廊。通过实施产业协同发展、招大引强补链、开放平台搭建、创新能力提升、基础设施联通等五大重点工程，着力把国际投资贸易走廊建设成为制度创新的试验田、产业升级的动力源。</w:t>
            </w:r>
          </w:p>
          <w:p>
            <w:pPr>
              <w:spacing w:line="320" w:lineRule="exact"/>
              <w:ind w:firstLine="472" w:firstLineChars="196"/>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三片区。</w:t>
            </w:r>
            <w:r>
              <w:rPr>
                <w:rFonts w:ascii="Times New Roman" w:hAnsi="Times New Roman" w:eastAsia="宋体" w:cs="Times New Roman"/>
                <w:bCs/>
                <w:color w:val="000000" w:themeColor="text1"/>
                <w:kern w:val="0"/>
                <w:sz w:val="24"/>
                <w14:textFill>
                  <w14:solidFill>
                    <w14:schemeClr w14:val="tx1"/>
                  </w14:solidFill>
                </w14:textFill>
              </w:rPr>
              <w:t>长沙片区重点对接“一带一路”建设，突出临空经济，打造全球高端装备制造业基地、内陆地区高端现代服务业中心、中非经贸深度合作先行区，进出口总额年均增长15%，三年新增市场主体10000家。岳阳片区重点对接长江经济带发展战略，打造长江中游综合性航运物流中心、内陆临港经济示范区，进出口总额年均增长15%，三年新增市场主体6000家。郴州片区重点对接粤港澳大湾区建设，突出湘港澳直通，打造内陆地区承接产业转移和加工贸易转型升级重要平台以及湘粤港澳合作示范区，进出口总额年均增长15%，三年新增市场主体2000家。</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7" w:name="_Toc62051548"/>
      <w:r>
        <w:rPr>
          <w:rFonts w:ascii="Times New Roman" w:hAnsi="Times New Roman" w:eastAsia="楷体_GB2312" w:cs="Times New Roman"/>
          <w:b/>
          <w:bCs/>
          <w:color w:val="000000" w:themeColor="text1"/>
          <w:sz w:val="32"/>
          <w:szCs w:val="32"/>
          <w14:textFill>
            <w14:solidFill>
              <w14:schemeClr w14:val="tx1"/>
            </w14:solidFill>
          </w14:textFill>
        </w:rPr>
        <w:t>第六节  构建开放支撑体系</w:t>
      </w:r>
      <w:bookmarkEnd w:id="27"/>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夯实开放平台通道。</w:t>
      </w:r>
      <w:r>
        <w:rPr>
          <w:rFonts w:ascii="Times New Roman" w:hAnsi="Times New Roman" w:eastAsia="仿宋_GB2312" w:cs="Times New Roman"/>
          <w:color w:val="000000" w:themeColor="text1"/>
          <w:sz w:val="32"/>
          <w:szCs w:val="32"/>
          <w14:textFill>
            <w14:solidFill>
              <w14:schemeClr w14:val="tx1"/>
            </w14:solidFill>
          </w14:textFill>
        </w:rPr>
        <w:t>持续办好中非经贸博览会，高水平建设中非经贸深度合作先行区，打造国际化投资贸易平台。提高园区开放型经济发展水平，参与境外经贸合作园区建设，打造重点国别深耕平台和基地。拓展综合保税区功能，加快海关特殊监管区域转型升级。推进国际陆路通道建设，发挥枢纽集结作用，推进中欧班列（长沙）运输服务覆盖全省。加快长沙黄花机场、张家界荷花机场等航空口岸建设，推进岳阳城陵矶港、长沙霞凝港建设，大力发展江海联运，开通岳阳至香港、日韩、东盟等国家（地区）的直航和接力航线，完善口岸集疏运体系，提升口岸通关及国际运输保障能力。积极参与中国国际进口博览会、中国进出口商品交易会（广交会）等大型展会，推动中国（湖南）国际矿物宝石博览会市场化转型。</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完善开放体制机制</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加快推进跨境贸易降费提速，</w:t>
      </w:r>
      <w:r>
        <w:rPr>
          <w:rFonts w:ascii="Times New Roman" w:hAnsi="Times New Roman" w:eastAsia="仿宋_GB2312" w:cs="Times New Roman"/>
          <w:color w:val="000000" w:themeColor="text1"/>
          <w:kern w:val="0"/>
          <w:sz w:val="32"/>
          <w:szCs w:val="32"/>
          <w14:textFill>
            <w14:solidFill>
              <w14:schemeClr w14:val="tx1"/>
            </w14:solidFill>
          </w14:textFill>
        </w:rPr>
        <w:t>动态更新</w:t>
      </w:r>
      <w:r>
        <w:rPr>
          <w:rFonts w:ascii="Times New Roman" w:hAnsi="Times New Roman" w:eastAsia="仿宋_GB2312" w:cs="Times New Roman"/>
          <w:color w:val="000000" w:themeColor="text1"/>
          <w:sz w:val="32"/>
          <w:szCs w:val="32"/>
          <w14:textFill>
            <w14:solidFill>
              <w14:schemeClr w14:val="tx1"/>
            </w14:solidFill>
          </w14:textFill>
        </w:rPr>
        <w:t>口岸收费目录清单，不断降低通关整体费用。支持金融机构创新外贸融资服务产品和模式，完善外贸融资担保和风险补偿机制。放宽外资市场准入，实施外商投资准入前国民待遇加负面清单管理制度，营造内外资企业一视同仁、公平竞争的市场环境。加强外资保护，开展投</w:t>
      </w:r>
      <w:r>
        <w:rPr>
          <w:rFonts w:ascii="Times New Roman" w:hAnsi="Times New Roman" w:eastAsia="仿宋_GB2312" w:cs="Times New Roman"/>
          <w:color w:val="000000" w:themeColor="text1"/>
          <w:sz w:val="32"/>
          <w:szCs w:val="32"/>
          <w:lang w:val="zh-CN"/>
          <w14:textFill>
            <w14:solidFill>
              <w14:schemeClr w14:val="tx1"/>
            </w14:solidFill>
          </w14:textFill>
        </w:rPr>
        <w:t>资环境综合评价，</w:t>
      </w:r>
      <w:r>
        <w:rPr>
          <w:rFonts w:ascii="Times New Roman" w:hAnsi="Times New Roman" w:eastAsia="仿宋_GB2312" w:cs="Times New Roman"/>
          <w:color w:val="000000" w:themeColor="text1"/>
          <w:sz w:val="32"/>
          <w:szCs w:val="32"/>
          <w14:textFill>
            <w14:solidFill>
              <w14:schemeClr w14:val="tx1"/>
            </w14:solidFill>
          </w14:textFill>
        </w:rPr>
        <w:t>完善外商投资企业投诉工作联席会议制度，依法稳妥处理外资企业投诉，依法保护外资企业合法权益。</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开拓对外开放格局。</w:t>
      </w:r>
      <w:r>
        <w:rPr>
          <w:rFonts w:ascii="Times New Roman" w:hAnsi="Times New Roman" w:eastAsia="仿宋_GB2312" w:cs="Times New Roman"/>
          <w:color w:val="000000" w:themeColor="text1"/>
          <w:sz w:val="32"/>
          <w:szCs w:val="32"/>
          <w14:textFill>
            <w14:solidFill>
              <w14:schemeClr w14:val="tx1"/>
            </w14:solidFill>
          </w14:textFill>
        </w:rPr>
        <w:t>积极</w:t>
      </w:r>
      <w:r>
        <w:rPr>
          <w:rFonts w:ascii="Times New Roman" w:hAnsi="Times New Roman" w:eastAsia="仿宋_GB2312" w:cs="Times New Roman"/>
          <w:color w:val="000000" w:themeColor="text1"/>
          <w:spacing w:val="-2"/>
          <w:sz w:val="32"/>
          <w:szCs w:val="32"/>
          <w14:textFill>
            <w14:solidFill>
              <w14:schemeClr w14:val="tx1"/>
            </w14:solidFill>
          </w14:textFill>
        </w:rPr>
        <w:t>主动融入共建“一带一路”，积极实施区域全面经济伙伴关系协定</w:t>
      </w:r>
      <w:r>
        <w:rPr>
          <w:rFonts w:ascii="Times New Roman" w:hAnsi="Times New Roman" w:eastAsia="仿宋_GB2312" w:cs="Times New Roman"/>
          <w:color w:val="000000" w:themeColor="text1"/>
          <w:kern w:val="0"/>
          <w:sz w:val="32"/>
          <w:szCs w:val="32"/>
          <w14:textFill>
            <w14:solidFill>
              <w14:schemeClr w14:val="tx1"/>
            </w14:solidFill>
          </w14:textFill>
        </w:rPr>
        <w:t>（RCEP）</w:t>
      </w:r>
      <w:r>
        <w:rPr>
          <w:rFonts w:ascii="Times New Roman" w:hAnsi="Times New Roman" w:eastAsia="仿宋_GB2312" w:cs="Times New Roman"/>
          <w:color w:val="000000" w:themeColor="text1"/>
          <w:spacing w:val="-2"/>
          <w:sz w:val="32"/>
          <w:szCs w:val="32"/>
          <w14:textFill>
            <w14:solidFill>
              <w14:schemeClr w14:val="tx1"/>
            </w14:solidFill>
          </w14:textFill>
        </w:rPr>
        <w:t>，参与打造沿线区域合作的贸易流、产业带、联通网和人文圈，建设辐射带动力强的重要开放门户。推动国际市场多元化，</w:t>
      </w:r>
      <w:r>
        <w:rPr>
          <w:rFonts w:ascii="Times New Roman" w:hAnsi="Times New Roman" w:eastAsia="仿宋_GB2312" w:cs="Times New Roman"/>
          <w:color w:val="000000" w:themeColor="text1"/>
          <w:spacing w:val="-6"/>
          <w:sz w:val="32"/>
          <w:szCs w:val="32"/>
          <w14:textFill>
            <w14:solidFill>
              <w14:schemeClr w14:val="tx1"/>
            </w14:solidFill>
          </w14:textFill>
        </w:rPr>
        <w:t>做深日韩、东南亚、西欧、北美以及港澳台等传统市场，拓展南美、中亚、西亚、中东欧等新兴市场，深耕非洲等重点市场，带动产能、技术、标准和服务走出去，实现重点区域、重点领域的突破。加强与欧美发达国家合作，积极推进战略性新兴产业领域的合作。加强与发展中国家合作，突出东盟、非洲两大区域，持续深化传统产业的投资开发</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8" w:name="_Toc62051549"/>
      <w:r>
        <w:rPr>
          <w:rFonts w:ascii="Times New Roman" w:hAnsi="Times New Roman" w:eastAsia="楷体_GB2312" w:cs="Times New Roman"/>
          <w:b/>
          <w:bCs/>
          <w:color w:val="000000" w:themeColor="text1"/>
          <w:sz w:val="32"/>
          <w:szCs w:val="32"/>
          <w14:textFill>
            <w14:solidFill>
              <w14:schemeClr w14:val="tx1"/>
            </w14:solidFill>
          </w14:textFill>
        </w:rPr>
        <w:t>第七节  加快外贸提质升级</w:t>
      </w:r>
      <w:bookmarkEnd w:id="28"/>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提高贸易便利化水平。</w:t>
      </w:r>
      <w:r>
        <w:rPr>
          <w:rFonts w:ascii="Times New Roman" w:hAnsi="Times New Roman" w:eastAsia="仿宋_GB2312" w:cs="Times New Roman"/>
          <w:color w:val="000000" w:themeColor="text1"/>
          <w:sz w:val="32"/>
          <w:szCs w:val="32"/>
          <w14:textFill>
            <w14:solidFill>
              <w14:schemeClr w14:val="tx1"/>
            </w14:solidFill>
          </w14:textFill>
        </w:rPr>
        <w:t>加强智慧口岸和国际贸易“单一窗口”建设，推广“提前申报”“岸边直提”“抵港直装”等模式。提升口岸应对疫情等风险防控能力，确保进口安全，加强跨关区运输、通关、监管等方面合作，提升通关、转关业务便捷度，提高“一站式”机检查验比例。加快外贸综合服务企业发展，完善报关及融资、退税、物流等一站式服务。</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提升对外贸易优势。</w:t>
      </w:r>
      <w:r>
        <w:rPr>
          <w:rFonts w:ascii="Times New Roman" w:hAnsi="Times New Roman" w:eastAsia="仿宋_GB2312" w:cs="Times New Roman"/>
          <w:color w:val="000000" w:themeColor="text1"/>
          <w:sz w:val="32"/>
          <w:szCs w:val="32"/>
          <w14:textFill>
            <w14:solidFill>
              <w14:schemeClr w14:val="tx1"/>
            </w14:solidFill>
          </w14:textFill>
        </w:rPr>
        <w:t>做强外贸主体，突出我省优势产业，帮助行业龙头企业提高国际化经营水平，引导企业开拓一批重点市场，推动中小企业走“专精特新”国际化道路，推动内外贸融合发展。创新国际市场开拓手段，引导和支持外贸企业线上线下结合开拓国际市场。优化外贸结构，鼓励扩大高新技术、高附加值、高效益产品出口规模，增加先进技术设备、关键零部件、重要资源性产品和一般消费品进口。加快贸易新业态发展，推进市场采购贸易试点、汽车平行进口试点，大力培育保税维修和再制造、现货交易、易货贸易、内外贸结合商品市场等。全面推进长沙、岳阳、湘潭、郴州等跨境电子商务综合试验区建设，扩大跨境电商零售进口试点范围，推动跨境电商与农村电商融合发展，打造中西部跨境电商集散中心。</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大力发展服务贸易。</w:t>
      </w:r>
      <w:r>
        <w:rPr>
          <w:rFonts w:ascii="Times New Roman" w:hAnsi="Times New Roman" w:eastAsia="仿宋_GB2312" w:cs="Times New Roman"/>
          <w:color w:val="000000" w:themeColor="text1"/>
          <w:sz w:val="32"/>
          <w:szCs w:val="32"/>
          <w14:textFill>
            <w14:solidFill>
              <w14:schemeClr w14:val="tx1"/>
            </w14:solidFill>
          </w14:textFill>
        </w:rPr>
        <w:t>支持数字、文化、技术等领域服务贸易，增加技术、设备、中间品和研发设计、节能环保、环境服务等生产性服务进口，扩大高品质消费品和生活性服务进口。加快服务外包转型升级，促进离岸外包和在岸外包协调发展，引导发达地区服务外包产业向我省流动。加快建立面向全球的高标准服务贸易平台，培育壮大服务贸易示范基地，积极开展保税服务贸易试点，促进服务贸易集聚发展。大力发展数字贸易，推动传统贸易形态数字化转型，鼓励离岸数据中心、软件服务外包、云计算等数字服务业态发展。</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9" w:name="_Toc62051550"/>
      <w:r>
        <w:rPr>
          <w:rFonts w:ascii="Times New Roman" w:hAnsi="Times New Roman" w:eastAsia="楷体_GB2312" w:cs="Times New Roman"/>
          <w:b/>
          <w:bCs/>
          <w:color w:val="000000" w:themeColor="text1"/>
          <w:sz w:val="32"/>
          <w:szCs w:val="32"/>
          <w14:textFill>
            <w14:solidFill>
              <w14:schemeClr w14:val="tx1"/>
            </w14:solidFill>
          </w14:textFill>
        </w:rPr>
        <w:t>第八节  推动高质量引进来</w:t>
      </w:r>
      <w:bookmarkEnd w:id="29"/>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提升利用外资水平。</w:t>
      </w:r>
      <w:r>
        <w:rPr>
          <w:rFonts w:ascii="Times New Roman" w:hAnsi="Times New Roman" w:eastAsia="仿宋_GB2312" w:cs="Times New Roman"/>
          <w:color w:val="000000" w:themeColor="text1"/>
          <w:sz w:val="32"/>
          <w:szCs w:val="32"/>
          <w14:textFill>
            <w14:solidFill>
              <w14:schemeClr w14:val="tx1"/>
            </w14:solidFill>
          </w14:textFill>
        </w:rPr>
        <w:t>着力招大引强，重点引进“三类500强”企业、行业领军企业、外贸实体企业、总部经济和研发中心、结算中心等。坚持引资、引技、引智相结合，继续加大高端制造业和服务业利用外资的力度。鼓励外商投资企业在湘开展研发创新，支持外资参与公共服务、基础设施建设。加强外资大项目服务保障，大力推动外资项目落地。开展外商直接投资“破零倍增”行动。“十四五”期间，实现利用外商直接投资等主要指标增幅高于全国平均水平。</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着力开展产业链招商。</w:t>
      </w:r>
      <w:r>
        <w:rPr>
          <w:rFonts w:ascii="Times New Roman" w:hAnsi="Times New Roman" w:eastAsia="仿宋_GB2312" w:cs="Times New Roman"/>
          <w:color w:val="000000" w:themeColor="text1"/>
          <w:sz w:val="32"/>
          <w:szCs w:val="32"/>
          <w14:textFill>
            <w14:solidFill>
              <w14:schemeClr w14:val="tx1"/>
            </w14:solidFill>
          </w14:textFill>
        </w:rPr>
        <w:t>围绕新兴优势产业链项目，瞄准龙头企业和细分领域开展精准招商，加快吸引一批行业领军企业和关键核心企业。组织电子信息、装备制造、生物医药、新材料等头部企业针对配套本地化编制完善强链补链招商企业名录，采取政企联动、线上线下相结合等方式开展产业链供应链精准招商。</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创新招商引资方式</w:t>
      </w:r>
      <w:r>
        <w:rPr>
          <w:rFonts w:ascii="Times New Roman" w:hAnsi="Times New Roman" w:eastAsia="仿宋_GB2312" w:cs="Times New Roman"/>
          <w:color w:val="000000" w:themeColor="text1"/>
          <w:sz w:val="32"/>
          <w:szCs w:val="32"/>
          <w14:textFill>
            <w14:solidFill>
              <w14:schemeClr w14:val="tx1"/>
            </w14:solidFill>
          </w14:textFill>
        </w:rPr>
        <w:t>。积极探索市场化专业招商。深入实施对接湘商会、建设新家乡行动，着力引进一批湘商企业总部、项目回归湖南，吸引省内重点高校校友回湘兴业。务实办好“沪洽周”“港洽周”、全球湘商大会、湘台经贸合作会等重大招商活动，提高精准度和实效性。</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0" w:name="_Toc62051551"/>
      <w:r>
        <w:rPr>
          <w:rFonts w:ascii="Times New Roman" w:hAnsi="Times New Roman" w:eastAsia="楷体_GB2312" w:cs="Times New Roman"/>
          <w:b/>
          <w:bCs/>
          <w:color w:val="000000" w:themeColor="text1"/>
          <w:sz w:val="32"/>
          <w:szCs w:val="32"/>
          <w14:textFill>
            <w14:solidFill>
              <w14:schemeClr w14:val="tx1"/>
            </w14:solidFill>
          </w14:textFill>
        </w:rPr>
        <w:t>第九节  推动高水平走出去</w:t>
      </w:r>
      <w:bookmarkEnd w:id="30"/>
    </w:p>
    <w:p>
      <w:pPr>
        <w:spacing w:line="568" w:lineRule="exact"/>
        <w:ind w:firstLine="626"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color w:val="000000" w:themeColor="text1"/>
          <w:spacing w:val="-4"/>
          <w:sz w:val="32"/>
          <w:szCs w:val="32"/>
          <w14:textFill>
            <w14:solidFill>
              <w14:schemeClr w14:val="tx1"/>
            </w14:solidFill>
          </w14:textFill>
        </w:rPr>
        <w:t>推动湘企出海。</w:t>
      </w:r>
      <w:r>
        <w:rPr>
          <w:rFonts w:ascii="Times New Roman" w:hAnsi="Times New Roman" w:eastAsia="仿宋_GB2312" w:cs="Times New Roman"/>
          <w:color w:val="000000" w:themeColor="text1"/>
          <w:spacing w:val="-4"/>
          <w:sz w:val="32"/>
          <w:szCs w:val="32"/>
          <w14:textFill>
            <w14:solidFill>
              <w14:schemeClr w14:val="tx1"/>
            </w14:solidFill>
          </w14:textFill>
        </w:rPr>
        <w:t>建立“走出去”企业联盟，发挥龙头企业的带动作用和“一带一路”产业促进基金作用，引导中小企业抱团出海。建立央企与湘企合作机制，推动企业由单打独斗向借船出海转变，推动单一企业“走出去”向产业链“走出去”转变。培育一批大型本土跨国企业，加快全球生产布局，引导建立境外营销网络</w:t>
      </w:r>
      <w:r>
        <w:rPr>
          <w:rFonts w:hint="eastAsia" w:ascii="Times New Roman" w:hAnsi="Times New Roman" w:eastAsia="仿宋_GB2312" w:cs="Times New Roman"/>
          <w:color w:val="000000" w:themeColor="text1"/>
          <w:spacing w:val="-4"/>
          <w:sz w:val="32"/>
          <w:szCs w:val="32"/>
          <w14:textFill>
            <w14:solidFill>
              <w14:schemeClr w14:val="tx1"/>
            </w14:solidFill>
          </w14:textFill>
        </w:rPr>
        <w:t>和</w:t>
      </w:r>
      <w:r>
        <w:rPr>
          <w:rFonts w:ascii="Times New Roman" w:hAnsi="Times New Roman" w:eastAsia="仿宋_GB2312" w:cs="Times New Roman"/>
          <w:color w:val="000000" w:themeColor="text1"/>
          <w:spacing w:val="-4"/>
          <w:sz w:val="32"/>
          <w:szCs w:val="32"/>
          <w14:textFill>
            <w14:solidFill>
              <w14:schemeClr w14:val="tx1"/>
            </w14:solidFill>
          </w14:textFill>
        </w:rPr>
        <w:t>销售中心、研发中心等功能性机构。鼓励龙头企业开展高质量跨国并购，利用海外要素资源。完善“湘企出海+”综合服务平台，提升对“走出去”企业的公共服务能力。</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推动产能出海。</w:t>
      </w:r>
      <w:r>
        <w:rPr>
          <w:rFonts w:ascii="Times New Roman" w:hAnsi="Times New Roman" w:eastAsia="仿宋_GB2312" w:cs="Times New Roman"/>
          <w:color w:val="000000" w:themeColor="text1"/>
          <w:sz w:val="32"/>
          <w:szCs w:val="32"/>
          <w14:textFill>
            <w14:solidFill>
              <w14:schemeClr w14:val="tx1"/>
            </w14:solidFill>
          </w14:textFill>
        </w:rPr>
        <w:t>积极开展国际产能合作，落实国家贸易投资融合工程，重点推动工程机械、轨道交通、钢铁、矿产有色、建筑建材、电力设备、农业等优势产能</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走出去</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。以对外承包工程带动成套装备、关键零部件和服务“走出去”，深度融入全球市场。推</w:t>
      </w:r>
      <w:r>
        <w:rPr>
          <w:rFonts w:hint="eastAsia" w:ascii="Times New Roman" w:hAnsi="Times New Roman" w:eastAsia="仿宋_GB2312" w:cs="Times New Roman"/>
          <w:color w:val="000000" w:themeColor="text1"/>
          <w:sz w:val="32"/>
          <w:szCs w:val="32"/>
          <w14:textFill>
            <w14:solidFill>
              <w14:schemeClr w14:val="tx1"/>
            </w14:solidFill>
          </w14:textFill>
        </w:rPr>
        <w:t>动</w:t>
      </w:r>
      <w:r>
        <w:rPr>
          <w:rFonts w:ascii="Times New Roman" w:hAnsi="Times New Roman" w:eastAsia="仿宋_GB2312" w:cs="Times New Roman"/>
          <w:color w:val="000000" w:themeColor="text1"/>
          <w:sz w:val="32"/>
          <w:szCs w:val="32"/>
          <w14:textFill>
            <w14:solidFill>
              <w14:schemeClr w14:val="tx1"/>
            </w14:solidFill>
          </w14:textFill>
        </w:rPr>
        <w:t>我省优势技术和标准“走出去”，深度参与国际标准制定，增强湖南标准国际影响力。务实开展第三方市场合作，以发达国家为重点合作伙伴，共同开拓第三方市场，提高产能合作的层次和水平。</w:t>
      </w:r>
    </w:p>
    <w:p>
      <w:pPr>
        <w:spacing w:line="568" w:lineRule="exact"/>
        <w:ind w:firstLine="642" w:firstLineChars="200"/>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加强风险防控。</w:t>
      </w:r>
      <w:r>
        <w:rPr>
          <w:rFonts w:ascii="Times New Roman" w:hAnsi="Times New Roman" w:eastAsia="仿宋_GB2312" w:cs="Times New Roman"/>
          <w:color w:val="000000" w:themeColor="text1"/>
          <w:sz w:val="32"/>
          <w:szCs w:val="32"/>
          <w14:textFill>
            <w14:solidFill>
              <w14:schemeClr w14:val="tx1"/>
            </w14:solidFill>
          </w14:textFill>
        </w:rPr>
        <w:t>引导企业遵守东道国法律法规，提高风险防范意识和能力，注重投资前风险评估、投资中风险防范、投资后风险管理。建立境外投资总体风险、国别风险和项目风险评估监测预警体系，实时发布预警信息。鼓励企业、金融机构运用出口信用保险防范出口收汇风险、海外投资风险以及还贷风险，及时化解和转移东道国的政治风险和商业风险。</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专栏9  五大开放行动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对接500强、提升产业链。</w:t>
            </w:r>
            <w:r>
              <w:rPr>
                <w:rFonts w:ascii="Times New Roman" w:hAnsi="Times New Roman" w:cs="Times New Roman"/>
                <w:bCs/>
                <w:color w:val="000000" w:themeColor="text1"/>
                <w:kern w:val="0"/>
                <w:sz w:val="24"/>
                <w14:textFill>
                  <w14:solidFill>
                    <w14:schemeClr w14:val="tx1"/>
                  </w14:solidFill>
                </w14:textFill>
              </w:rPr>
              <w:t>精准锁定“三类500强”企业，对招商项目进行差异化精准包装，搭建多样化招商平台，继续办好“沪洽周”“港洽周”等招商活动，大力引进外向型龙头企业和知名创新创业团队来湘发展。力争每年引进“三类500强”企业来湘投资项目100个以上。</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对接新丝路、推动走出去。</w:t>
            </w:r>
            <w:r>
              <w:rPr>
                <w:rFonts w:ascii="Times New Roman" w:hAnsi="Times New Roman" w:cs="Times New Roman"/>
                <w:bCs/>
                <w:color w:val="000000" w:themeColor="text1"/>
                <w:kern w:val="0"/>
                <w:sz w:val="24"/>
                <w14:textFill>
                  <w14:solidFill>
                    <w14:schemeClr w14:val="tx1"/>
                  </w14:solidFill>
                </w14:textFill>
              </w:rPr>
              <w:t>深度参与“一带一路”建设，主动融入区域全面经济伙伴关系协定（RCEP），主攻东盟市场，开拓非洲市场，拓展中亚、西亚、中东欧等新兴市场，推动农业、工程机械、承包工程、轨道交通等“走出去”。</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对接大战略、提升大平台。</w:t>
            </w:r>
            <w:r>
              <w:rPr>
                <w:rFonts w:ascii="Times New Roman" w:hAnsi="Times New Roman" w:cs="Times New Roman"/>
                <w:bCs/>
                <w:color w:val="000000" w:themeColor="text1"/>
                <w:kern w:val="0"/>
                <w:sz w:val="24"/>
                <w14:textFill>
                  <w14:solidFill>
                    <w14:schemeClr w14:val="tx1"/>
                  </w14:solidFill>
                </w14:textFill>
              </w:rPr>
              <w:t>深入对接制度开放，突出抓好RCEP框架下与东非、东盟的深度合作。探索推进自贸试验区联动创新，高标准高质量建设湖南自贸试验区，加快推进《中国（湖南）自由贸易试验区条例》立法。推进中非经贸合作创新示范园等七大平台建设，统筹推进综保区、跨境电商综合试验区、保税物流中心等协同发展，推动各类园区开放平台建设。</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对接湘商会、建设新家乡。</w:t>
            </w:r>
            <w:r>
              <w:rPr>
                <w:rFonts w:ascii="Times New Roman" w:hAnsi="Times New Roman" w:cs="Times New Roman"/>
                <w:bCs/>
                <w:color w:val="000000" w:themeColor="text1"/>
                <w:kern w:val="0"/>
                <w:sz w:val="24"/>
                <w14:textFill>
                  <w14:solidFill>
                    <w14:schemeClr w14:val="tx1"/>
                  </w14:solidFill>
                </w14:textFill>
              </w:rPr>
              <w:t>积极引导广大湘商回湘创新创业，推动湘商产业回归、总部回归、资本回归、人才回归，着力强化湘商回归服务。创新招商方式，聚焦“两新一重”、先进制造业、数字经济等重点领域，实施产业链招商提质行动。</w:t>
            </w:r>
          </w:p>
          <w:p>
            <w:pPr>
              <w:spacing w:line="32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对接北上广、优化大环境。</w:t>
            </w:r>
            <w:r>
              <w:rPr>
                <w:rFonts w:ascii="Times New Roman" w:hAnsi="Times New Roman" w:cs="Times New Roman"/>
                <w:bCs/>
                <w:color w:val="000000" w:themeColor="text1"/>
                <w:kern w:val="0"/>
                <w:sz w:val="24"/>
                <w14:textFill>
                  <w14:solidFill>
                    <w14:schemeClr w14:val="tx1"/>
                  </w14:solidFill>
                </w14:textFill>
              </w:rPr>
              <w:t>复制推广自贸试验区、京沪两地优化营商环境改革举措，着眼服务企业全生命周期，以国家营商环境评价内容为重点，以全面深化“放管服”改革为手段，以信息技术为支撑，全面实行再对标、再优化、再提升，推进实施16项重点任务，加快形成稳定、公平、透明、可预期的一流营商环境。</w:t>
            </w:r>
          </w:p>
        </w:tc>
      </w:tr>
      <w:bookmarkEnd w:id="0"/>
    </w:tbl>
    <w:p>
      <w:pPr>
        <w:spacing w:before="447" w:beforeLines="100" w:after="447" w:afterLines="100" w:line="568"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1" w:name="_Toc62051552"/>
      <w:bookmarkStart w:id="32" w:name="_Toc55504438"/>
      <w:bookmarkStart w:id="33" w:name="_Toc55511578"/>
      <w:bookmarkStart w:id="34" w:name="_Toc54614955"/>
      <w:r>
        <w:rPr>
          <w:rFonts w:ascii="Times New Roman" w:hAnsi="Times New Roman" w:eastAsia="黑体" w:cs="Times New Roman"/>
          <w:color w:val="000000" w:themeColor="text1"/>
          <w:sz w:val="32"/>
          <w:szCs w:val="32"/>
          <w14:textFill>
            <w14:solidFill>
              <w14:schemeClr w14:val="tx1"/>
            </w14:solidFill>
          </w14:textFill>
        </w:rPr>
        <w:t xml:space="preserve">第八章  </w:t>
      </w:r>
      <w:r>
        <w:rPr>
          <w:rFonts w:ascii="Times New Roman" w:hAnsi="Times New Roman" w:eastAsia="黑体" w:cs="Times New Roman"/>
          <w:bCs/>
          <w:color w:val="000000" w:themeColor="text1"/>
          <w:sz w:val="32"/>
          <w:szCs w:val="32"/>
          <w14:textFill>
            <w14:solidFill>
              <w14:schemeClr w14:val="tx1"/>
            </w14:solidFill>
          </w14:textFill>
        </w:rPr>
        <w:t>打造现代服务业发展引领区</w:t>
      </w:r>
      <w:bookmarkEnd w:id="31"/>
    </w:p>
    <w:p>
      <w:pPr>
        <w:spacing w:line="568" w:lineRule="exact"/>
        <w:ind w:firstLine="640" w:firstLineChars="200"/>
        <w:jc w:val="left"/>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顺应产业发展新业态和居民生活多样化，大力促进服务业升级发展、创新发展和融合发展，提升服务业供给能力，构建功能完善、特色鲜明、竞争力强的现代化服务业新体系。</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5" w:name="_Toc62051553"/>
      <w:r>
        <w:rPr>
          <w:rFonts w:ascii="Times New Roman" w:hAnsi="Times New Roman" w:eastAsia="楷体_GB2312" w:cs="Times New Roman"/>
          <w:b/>
          <w:bCs/>
          <w:color w:val="000000" w:themeColor="text1"/>
          <w:sz w:val="32"/>
          <w:szCs w:val="32"/>
          <w14:textFill>
            <w14:solidFill>
              <w14:schemeClr w14:val="tx1"/>
            </w14:solidFill>
          </w14:textFill>
        </w:rPr>
        <w:t>第一节  促进服务业升级发展</w:t>
      </w:r>
      <w:bookmarkEnd w:id="35"/>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推动生产性服务业向专业化、价值链高端延伸。</w:t>
      </w:r>
      <w:r>
        <w:rPr>
          <w:rFonts w:ascii="Times New Roman" w:hAnsi="Times New Roman" w:eastAsia="仿宋_GB2312" w:cs="Times New Roman"/>
          <w:color w:val="000000" w:themeColor="text1"/>
          <w:sz w:val="32"/>
          <w:szCs w:val="32"/>
          <w14:textFill>
            <w14:solidFill>
              <w14:schemeClr w14:val="tx1"/>
            </w14:solidFill>
          </w14:textFill>
        </w:rPr>
        <w:t>发展现代物流业，提高供应链管理水平，促进第三方物流、冷链物流、快递物流等发展，提升物流信息化、标准化、网络化水平。壮大现代金融业，发展普惠金融、绿色金融、科技金融等，做大做强地方金融机构，加快湘江新区金融中心和湘江基金小镇建设，打造湖南区域金融中心。拓展软件和信息技术服务业，发展数据信息服务、信息技术咨询、设计和运维信息安全等。完善科技服务业，发展研发设计、基础检测、知识产权服务等，加快科技要素市场、科学设备和仪器共享平台、知识产权保护综合服务平台、国家检验检测高技术服务业集聚区建设，逐步构建省市县互联互通的科技服务体系。提升商务服务业，发展广告、会议会展、人力资源、会计审计、咨询评估、法律服务等。</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推动生活性服务业向高品质、多样化升级。</w:t>
      </w:r>
      <w:r>
        <w:rPr>
          <w:rFonts w:ascii="Times New Roman" w:hAnsi="Times New Roman" w:eastAsia="仿宋_GB2312" w:cs="Times New Roman"/>
          <w:color w:val="000000" w:themeColor="text1"/>
          <w:sz w:val="32"/>
          <w:szCs w:val="32"/>
          <w14:textFill>
            <w14:solidFill>
              <w14:schemeClr w14:val="tx1"/>
            </w14:solidFill>
          </w14:textFill>
        </w:rPr>
        <w:t>做大健康服务业，发展健康管理、中医养生、医疗康复、体育健身等，规范发展社会办医，培育药品流通、医疗器械、中药材和化妆品市场，加快湖南健康产业园建设。做优教育培训业，鼓励社会力量兴办各类教育，发展职业教育、老年教育、校外教育等，推进教育服务外包和数字教育资源开发。健全居民家庭服务体系，提升家政、育幼、物业等服务，开展家政服务提质扩容“领跑者”行动，促进居民家庭服务市场多层次、多样式发展。促进湘菜产业发展，挖掘湘菜文化特色，塑造湘菜知名品牌，推动湘菜出湘出境。</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6" w:name="_Toc62051554"/>
      <w:r>
        <w:rPr>
          <w:rFonts w:ascii="Times New Roman" w:hAnsi="Times New Roman" w:eastAsia="楷体_GB2312" w:cs="Times New Roman"/>
          <w:b/>
          <w:bCs/>
          <w:color w:val="000000" w:themeColor="text1"/>
          <w:sz w:val="32"/>
          <w:szCs w:val="32"/>
          <w14:textFill>
            <w14:solidFill>
              <w14:schemeClr w14:val="tx1"/>
            </w14:solidFill>
          </w14:textFill>
        </w:rPr>
        <w:t>第二节  促进服务业创新发展</w:t>
      </w:r>
      <w:bookmarkEnd w:id="36"/>
    </w:p>
    <w:p>
      <w:pPr>
        <w:spacing w:line="568" w:lineRule="exact"/>
        <w:ind w:firstLine="642"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加快服务业精细发展。</w:t>
      </w:r>
      <w:r>
        <w:rPr>
          <w:rFonts w:ascii="Times New Roman" w:hAnsi="Times New Roman" w:eastAsia="仿宋_GB2312" w:cs="Times New Roman"/>
          <w:color w:val="000000" w:themeColor="text1"/>
          <w:sz w:val="32"/>
          <w:szCs w:val="32"/>
          <w14:textFill>
            <w14:solidFill>
              <w14:schemeClr w14:val="tx1"/>
            </w14:solidFill>
          </w14:textFill>
        </w:rPr>
        <w:t>提升专业化程度，引导生产服务、商务服务、科技服务企业专注核心业务，打造一批细分领域技术领先的服务业中小企业，培育一批主业突出、实力雄厚的大型专业服务集团。提升标准化水平，完善商贸旅游、社区服务、养老服务、家政服务等传统服务领域标准，加快电子商务、供应链管理、检测认证等新兴服务领域标准修订，推动政府主导和市场自主制定标准协调发展。提升品牌化效应，开展“湖湘服务”品牌培育行动，健全品牌运营管理体系，树立行业标杆和服务典范，支持具有文化、民族、地域特色的服务品牌建设，创建一批湖南服务品牌。</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深化服务业融合发展。</w:t>
      </w:r>
      <w:r>
        <w:rPr>
          <w:rFonts w:ascii="Times New Roman" w:hAnsi="Times New Roman" w:eastAsia="仿宋_GB2312" w:cs="Times New Roman"/>
          <w:color w:val="000000" w:themeColor="text1"/>
          <w:sz w:val="32"/>
          <w:szCs w:val="32"/>
          <w14:textFill>
            <w14:solidFill>
              <w14:schemeClr w14:val="tx1"/>
            </w14:solidFill>
          </w14:textFill>
        </w:rPr>
        <w:t>推动</w:t>
      </w:r>
      <w:r>
        <w:rPr>
          <w:rFonts w:hint="eastAsia" w:ascii="Times New Roman" w:hAnsi="Times New Roman" w:eastAsia="仿宋_GB2312" w:cs="Times New Roman"/>
          <w:color w:val="000000" w:themeColor="text1"/>
          <w:sz w:val="32"/>
          <w:szCs w:val="32"/>
          <w14:textFill>
            <w14:solidFill>
              <w14:schemeClr w14:val="tx1"/>
            </w14:solidFill>
          </w14:textFill>
        </w:rPr>
        <w:t>现代</w:t>
      </w:r>
      <w:r>
        <w:rPr>
          <w:rFonts w:ascii="Times New Roman" w:hAnsi="Times New Roman" w:eastAsia="仿宋_GB2312" w:cs="Times New Roman"/>
          <w:color w:val="000000" w:themeColor="text1"/>
          <w:sz w:val="32"/>
          <w:szCs w:val="32"/>
          <w14:textFill>
            <w14:solidFill>
              <w14:schemeClr w14:val="tx1"/>
            </w14:solidFill>
          </w14:textFill>
        </w:rPr>
        <w:t>服务业和</w:t>
      </w:r>
      <w:r>
        <w:rPr>
          <w:rFonts w:hint="eastAsia" w:ascii="Times New Roman" w:hAnsi="Times New Roman" w:eastAsia="仿宋_GB2312" w:cs="Times New Roman"/>
          <w:color w:val="000000" w:themeColor="text1"/>
          <w:sz w:val="32"/>
          <w:szCs w:val="32"/>
          <w14:textFill>
            <w14:solidFill>
              <w14:schemeClr w14:val="tx1"/>
            </w14:solidFill>
          </w14:textFill>
        </w:rPr>
        <w:t>先进</w:t>
      </w:r>
      <w:r>
        <w:rPr>
          <w:rFonts w:ascii="Times New Roman" w:hAnsi="Times New Roman" w:eastAsia="仿宋_GB2312" w:cs="Times New Roman"/>
          <w:color w:val="000000" w:themeColor="text1"/>
          <w:sz w:val="32"/>
          <w:szCs w:val="32"/>
          <w14:textFill>
            <w14:solidFill>
              <w14:schemeClr w14:val="tx1"/>
            </w14:solidFill>
          </w14:textFill>
        </w:rPr>
        <w:t>制造业深度融合，支持有条件的制造企业向研发设计、设备制造、工程总包和系统控制、维护管理等一体化服务总集成总承包商转变，支持服务企业利用信息、营销渠道等优势，向制造环节拓展。推动服务业和农业深度融合，大力发展农业生产性服务业，加强信息服务、科技服务、电商下乡、冷链物流对现代农业的支撑作用，支持农业龙头企业发展面向大宗产品及区域特色农业的专业化服务，加快发展农业综合服务商。推动服务业内部融合发展，支持服务企业拓展经营领域，大力实施“互联网+”“旅游+”“文化+”行动，加快服务业数字化转型，促进以信息服务、物流、贸易、设计为主的生产型服务业和以消费体验、文化、健康为主的消费型服务业融合发展。</w:t>
      </w:r>
    </w:p>
    <w:p>
      <w:pPr>
        <w:spacing w:line="596" w:lineRule="exact"/>
        <w:ind w:firstLine="642"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拓展服务新业态。</w:t>
      </w:r>
      <w:r>
        <w:rPr>
          <w:rFonts w:ascii="Times New Roman" w:hAnsi="Times New Roman" w:eastAsia="仿宋_GB2312" w:cs="Times New Roman"/>
          <w:color w:val="000000" w:themeColor="text1"/>
          <w:sz w:val="32"/>
          <w:szCs w:val="32"/>
          <w14:textFill>
            <w14:solidFill>
              <w14:schemeClr w14:val="tx1"/>
            </w14:solidFill>
          </w14:textFill>
        </w:rPr>
        <w:t>发展平台经济，在信息资讯、商贸物流等领域，支持平台性企业跨地区、跨行业整合资源，带动上下游产业发展。发展共享经济，围绕交通出行、旅游住宿、生活服务等领域打造一批共享经济平台，引导企业提供柔性化、分布式服务，建立网络化共享体系。发展创意经济，加快数字创意和文化创意产业发展，推进创客空间、创新工场、文创基地等创意空间载体建设，培育一批创客群体。发展总部经济，深化服务业对外开放，吸引国内外著名服务业企业来湘设立区域总部或功能总部，促进知识、资本、技术密集型服务业发展。</w:t>
      </w:r>
    </w:p>
    <w:tbl>
      <w:tblPr>
        <w:tblStyle w:val="25"/>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021" w:type="dxa"/>
            <w:vAlign w:val="center"/>
          </w:tcPr>
          <w:p>
            <w:pPr>
              <w:spacing w:line="3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专栏10  服务业</w:t>
            </w:r>
            <w:r>
              <w:rPr>
                <w:rFonts w:hint="eastAsia" w:ascii="Times New Roman" w:hAnsi="Times New Roman" w:eastAsia="黑体" w:cs="Times New Roman"/>
                <w:color w:val="000000" w:themeColor="text1"/>
                <w:kern w:val="0"/>
                <w:sz w:val="28"/>
                <w:szCs w:val="28"/>
                <w14:textFill>
                  <w14:solidFill>
                    <w14:schemeClr w14:val="tx1"/>
                  </w14:solidFill>
                </w14:textFill>
              </w:rPr>
              <w:t>提质增效</w:t>
            </w:r>
            <w:r>
              <w:rPr>
                <w:rFonts w:ascii="Times New Roman" w:hAnsi="Times New Roman" w:eastAsia="黑体" w:cs="Times New Roman"/>
                <w:color w:val="000000" w:themeColor="text1"/>
                <w:kern w:val="0"/>
                <w:sz w:val="28"/>
                <w:szCs w:val="28"/>
                <w14:textFill>
                  <w14:solidFill>
                    <w14:schemeClr w14:val="tx1"/>
                  </w14:solidFill>
                </w14:textFill>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021" w:type="dxa"/>
          </w:tcPr>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生产性服务业补短板工程。</w:t>
            </w:r>
            <w:r>
              <w:rPr>
                <w:rFonts w:ascii="Times New Roman" w:hAnsi="Times New Roman" w:cs="Times New Roman"/>
                <w:color w:val="000000" w:themeColor="text1"/>
                <w:sz w:val="24"/>
                <w:szCs w:val="24"/>
                <w14:textFill>
                  <w14:solidFill>
                    <w14:schemeClr w14:val="tx1"/>
                  </w14:solidFill>
                </w14:textFill>
              </w:rPr>
              <w:t>以我省新兴优势产业链为重点，围绕先进制造企业共性需求，建设一批检验检测、技术推广、数据处理、人才培训等生产性服务业公共平台。到2025年，全省生产性服务业增加值占服务业增加值的比重达45%</w:t>
            </w:r>
            <w:r>
              <w:rPr>
                <w:rFonts w:hint="eastAsia" w:ascii="Times New Roman" w:hAnsi="Times New Roman" w:cs="Times New Roman"/>
                <w:color w:val="000000" w:themeColor="text1"/>
                <w:sz w:val="24"/>
                <w:szCs w:val="24"/>
                <w14:textFill>
                  <w14:solidFill>
                    <w14:schemeClr w14:val="tx1"/>
                  </w14:solidFill>
                </w14:textFill>
              </w:rPr>
              <w:t>左右</w:t>
            </w:r>
            <w:r>
              <w:rPr>
                <w:rFonts w:ascii="Times New Roman" w:hAnsi="Times New Roman" w:cs="Times New Roman"/>
                <w:color w:val="000000" w:themeColor="text1"/>
                <w:sz w:val="24"/>
                <w:szCs w:val="24"/>
                <w14:textFill>
                  <w14:solidFill>
                    <w14:schemeClr w14:val="tx1"/>
                  </w14:solidFill>
                </w14:textFill>
              </w:rPr>
              <w:t>。</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融合示范工程。</w:t>
            </w:r>
            <w:r>
              <w:rPr>
                <w:rFonts w:ascii="Times New Roman" w:hAnsi="Times New Roman" w:cs="Times New Roman"/>
                <w:color w:val="000000" w:themeColor="text1"/>
                <w:sz w:val="24"/>
                <w:szCs w:val="24"/>
                <w14:textFill>
                  <w14:solidFill>
                    <w14:schemeClr w14:val="tx1"/>
                  </w14:solidFill>
                </w14:textFill>
              </w:rPr>
              <w:t>围绕培育总集成总承包、全生命周期管理、供应链管理、服务衍生制造、工业文化旅游</w:t>
            </w:r>
            <w:r>
              <w:rPr>
                <w:rFonts w:hint="eastAsia" w:ascii="Times New Roman" w:hAnsi="Times New Roman" w:cs="Times New Roman"/>
                <w:color w:val="000000" w:themeColor="text1"/>
                <w:sz w:val="24"/>
                <w:szCs w:val="24"/>
                <w14:textFill>
                  <w14:solidFill>
                    <w14:schemeClr w14:val="tx1"/>
                  </w14:solidFill>
                </w14:textFill>
              </w:rPr>
              <w:t>、智能生产服务、</w:t>
            </w:r>
            <w:r>
              <w:rPr>
                <w:rFonts w:ascii="Times New Roman" w:hAnsi="Times New Roman" w:cs="Times New Roman"/>
                <w:color w:val="000000" w:themeColor="text1"/>
                <w:sz w:val="24"/>
                <w:szCs w:val="24"/>
                <w14:textFill>
                  <w14:solidFill>
                    <w14:schemeClr w14:val="tx1"/>
                  </w14:solidFill>
                </w14:textFill>
              </w:rPr>
              <w:t>工业互联网、柔性化</w:t>
            </w:r>
            <w:r>
              <w:rPr>
                <w:rFonts w:hint="eastAsia" w:ascii="Times New Roman" w:hAnsi="Times New Roman" w:cs="Times New Roman"/>
                <w:color w:val="000000" w:themeColor="text1"/>
                <w:sz w:val="24"/>
                <w:szCs w:val="24"/>
                <w14:textFill>
                  <w14:solidFill>
                    <w14:schemeClr w14:val="tx1"/>
                  </w14:solidFill>
                </w14:textFill>
              </w:rPr>
              <w:t>服务</w:t>
            </w:r>
            <w:r>
              <w:rPr>
                <w:rFonts w:ascii="Times New Roman" w:hAnsi="Times New Roman" w:cs="Times New Roman"/>
                <w:color w:val="000000" w:themeColor="text1"/>
                <w:sz w:val="24"/>
                <w:szCs w:val="24"/>
                <w14:textFill>
                  <w14:solidFill>
                    <w14:schemeClr w14:val="tx1"/>
                  </w14:solidFill>
                </w14:textFill>
              </w:rPr>
              <w:t>、共享生产</w:t>
            </w:r>
            <w:r>
              <w:rPr>
                <w:rFonts w:hint="eastAsia" w:ascii="Times New Roman" w:hAnsi="Times New Roman" w:cs="Times New Roman"/>
                <w:color w:val="000000" w:themeColor="text1"/>
                <w:sz w:val="24"/>
                <w:szCs w:val="24"/>
                <w14:textFill>
                  <w14:solidFill>
                    <w14:schemeClr w14:val="tx1"/>
                  </w14:solidFill>
                </w14:textFill>
              </w:rPr>
              <w:t>服务</w:t>
            </w:r>
            <w:r>
              <w:rPr>
                <w:rFonts w:ascii="Times New Roman" w:hAnsi="Times New Roman" w:cs="Times New Roman"/>
                <w:color w:val="000000" w:themeColor="text1"/>
                <w:sz w:val="24"/>
                <w:szCs w:val="24"/>
                <w14:textFill>
                  <w14:solidFill>
                    <w14:schemeClr w14:val="tx1"/>
                  </w14:solidFill>
                </w14:textFill>
              </w:rPr>
              <w:t>等新业态模式，开展先进制造业和现代服务业融合发展试点，培育100家左右试点企业，15个左右试点区域。</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平台载体提升工程。</w:t>
            </w:r>
            <w:r>
              <w:rPr>
                <w:rFonts w:ascii="Times New Roman" w:hAnsi="Times New Roman" w:cs="Times New Roman"/>
                <w:color w:val="000000" w:themeColor="text1"/>
                <w:sz w:val="24"/>
                <w:szCs w:val="24"/>
                <w14:textFill>
                  <w14:solidFill>
                    <w14:schemeClr w14:val="tx1"/>
                  </w14:solidFill>
                </w14:textFill>
              </w:rPr>
              <w:t>进一步加强服务业示范集聚区建设，健全集聚区服务功能，增强资源要素集聚能力，优化调整现有48个省级服务业示范集聚区，推进省级服务业示范集聚区特色化、规模化发展，实现集聚区营业收入超过8000亿元。</w:t>
            </w:r>
          </w:p>
          <w:p>
            <w:pPr>
              <w:spacing w:line="340" w:lineRule="exact"/>
              <w:ind w:firstLine="472" w:firstLineChars="196"/>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 “湖湘服务”品牌培育工程。</w:t>
            </w:r>
            <w:r>
              <w:rPr>
                <w:rFonts w:ascii="Times New Roman" w:hAnsi="Times New Roman" w:cs="Times New Roman"/>
                <w:color w:val="000000" w:themeColor="text1"/>
                <w:sz w:val="24"/>
                <w:szCs w:val="24"/>
                <w14:textFill>
                  <w14:solidFill>
                    <w14:schemeClr w14:val="tx1"/>
                  </w14:solidFill>
                </w14:textFill>
              </w:rPr>
              <w:t>建立服务业品牌库，支持服务业企业争创国际商标、中国驰名商标等，培育100个左右影响力和知名度位居全国前列的服务业品牌。着力提升服务标准，新增国家服务业标准化试点20个，新增服务业地方标准300个。</w:t>
            </w:r>
          </w:p>
          <w:p>
            <w:pPr>
              <w:spacing w:line="340" w:lineRule="exact"/>
              <w:ind w:firstLine="481"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服务业态创新工程。</w:t>
            </w:r>
            <w:r>
              <w:rPr>
                <w:rFonts w:ascii="Times New Roman" w:hAnsi="Times New Roman" w:cs="Times New Roman"/>
                <w:color w:val="000000" w:themeColor="text1"/>
                <w:sz w:val="24"/>
                <w:szCs w:val="24"/>
                <w14:textFill>
                  <w14:solidFill>
                    <w14:schemeClr w14:val="tx1"/>
                  </w14:solidFill>
                </w14:textFill>
              </w:rPr>
              <w:t>实施平台经济壮大工程，围绕产业、城市、生活三大领域，积极构建工业互联网、物联网等智能平台，推进协同制造、个性定制、智联物流、智能家庭等加快发展。实施共享经济发展工程，加快技术平台整合和资源优化配置，推进柔性生产、准时供给的生产方式，推动共享内容由虚拟资源向消费实体拓展。实施创意经济培育工程，加快数字创意发展，促进区块链技术应用和分布式服务模式创新，加快文化创意发展，培育一批创意空间和创客群体。</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37" w:name="_Toc62051555"/>
      <w:r>
        <w:rPr>
          <w:rFonts w:ascii="Times New Roman" w:hAnsi="Times New Roman" w:eastAsia="方正小标宋_GBK" w:cs="Times New Roman"/>
          <w:color w:val="000000" w:themeColor="text1"/>
          <w:sz w:val="32"/>
          <w:szCs w:val="32"/>
          <w14:textFill>
            <w14:solidFill>
              <w14:schemeClr w14:val="tx1"/>
            </w14:solidFill>
          </w14:textFill>
        </w:rPr>
        <w:t>第三篇  着力建设区域协调发展的现代化新湖南</w:t>
      </w:r>
      <w:bookmarkEnd w:id="32"/>
      <w:bookmarkEnd w:id="33"/>
      <w:bookmarkEnd w:id="37"/>
    </w:p>
    <w:bookmarkEnd w:id="34"/>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38" w:name="_Toc55504465"/>
      <w:bookmarkStart w:id="39" w:name="_Toc55511600"/>
      <w:bookmarkStart w:id="40" w:name="_Toc55511620"/>
      <w:bookmarkStart w:id="41" w:name="_Toc54614986"/>
      <w:bookmarkStart w:id="42" w:name="_Toc55504480"/>
      <w:bookmarkStart w:id="43" w:name="_Toc55511634"/>
      <w:bookmarkStart w:id="44" w:name="_Toc55504490"/>
      <w:r>
        <w:rPr>
          <w:rFonts w:ascii="Times New Roman" w:hAnsi="Times New Roman" w:eastAsia="仿宋_GB2312" w:cs="Times New Roman"/>
          <w:color w:val="000000" w:themeColor="text1"/>
          <w:sz w:val="32"/>
          <w:szCs w:val="32"/>
          <w14:textFill>
            <w14:solidFill>
              <w14:schemeClr w14:val="tx1"/>
            </w14:solidFill>
          </w14:textFill>
        </w:rPr>
        <w:t>立足“一带一部”，主动对接融入国家区域战略布局，整体优化区域格局，促进区域优势互补、协调发展，在推动中部地区崛起和长江经济带发展中彰显新担当。</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45" w:name="_Toc62051556"/>
      <w:r>
        <w:rPr>
          <w:rFonts w:ascii="Times New Roman" w:hAnsi="Times New Roman" w:eastAsia="黑体" w:cs="Times New Roman"/>
          <w:bCs/>
          <w:color w:val="000000" w:themeColor="text1"/>
          <w:sz w:val="32"/>
          <w:szCs w:val="32"/>
          <w14:textFill>
            <w14:solidFill>
              <w14:schemeClr w14:val="tx1"/>
            </w14:solidFill>
          </w14:textFill>
        </w:rPr>
        <w:t>第九章  打造高质量发展的动力源</w:t>
      </w:r>
      <w:bookmarkEnd w:id="4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把促进自身发展与服务全国大局有机统一起来，立足国家战略谋划区域发展，加强对接“一带一路”、长江经济带、粤港澳大湾区、长三角一体化等国家战略，提高湖南在全国区域经济格局中的地位。</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6" w:name="_Toc62051557"/>
      <w:r>
        <w:rPr>
          <w:rFonts w:ascii="Times New Roman" w:hAnsi="Times New Roman" w:eastAsia="楷体_GB2312" w:cs="Times New Roman"/>
          <w:b/>
          <w:bCs/>
          <w:color w:val="000000" w:themeColor="text1"/>
          <w:sz w:val="32"/>
          <w:szCs w:val="32"/>
          <w14:textFill>
            <w14:solidFill>
              <w14:schemeClr w14:val="tx1"/>
            </w14:solidFill>
          </w14:textFill>
        </w:rPr>
        <w:t>第一节  建设中部地区崛起的重要增长极</w:t>
      </w:r>
      <w:bookmarkEnd w:id="46"/>
    </w:p>
    <w:p>
      <w:pPr>
        <w:spacing w:line="596" w:lineRule="exact"/>
        <w:ind w:firstLine="632"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充分发挥“一带一部”区位优势，加强与周边省份的战略协同，在区域经济格局上打造“三个高地”，在交通区位上构建国家综合交通枢纽，在长江中游城市群中将长株潭建成最具增长潜力的现代化都市圈，在长江经济带上成为生态优先绿色发展主战场、畅通国内国际双循环主动脉、引领经济高质量发展主力军，在构建新发展格局中打造畅通高效的重要节点，全面提高湖南区域发展竞争力，努力在中部崛起中走在前列，率先建成中部地区崛起重要增长极，成为全国经济高质量发展的战略接续区。</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7" w:name="_Toc62051558"/>
      <w:r>
        <w:rPr>
          <w:rFonts w:ascii="Times New Roman" w:hAnsi="Times New Roman" w:eastAsia="楷体_GB2312" w:cs="Times New Roman"/>
          <w:b/>
          <w:bCs/>
          <w:color w:val="000000" w:themeColor="text1"/>
          <w:sz w:val="32"/>
          <w:szCs w:val="32"/>
          <w14:textFill>
            <w14:solidFill>
              <w14:schemeClr w14:val="tx1"/>
            </w14:solidFill>
          </w14:textFill>
        </w:rPr>
        <w:t>第二节  建设长江上中下游密切合作的高效经济带</w:t>
      </w:r>
      <w:bookmarkEnd w:id="47"/>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长江黄金水道和长江南岸高铁，积极对接成渝地区双城经济圈，推进商贸物流、文化旅游、科技信息等方面深入合作，加强联接上游区域经济中心。发展壮大长江中游城市群，密切长株潭城市群与武汉都市圈、昌九都市圈的深入连接，强化交通互联互通、能源协同互济、产业协作互补、环境协调共治、科技协同互助、市场一体开放，共同打造“中三角”、形成“第四极”。加快融入长三角一体化，大力承接长三角地区资金、技术和劳动密集型产业向上游转移，建设跨区产业联盟和合作园区，密切与长三角的经济联系，促进协同联动发展。坚持“共抓大保护、不搞大开发”，构建和谐共生人水关系，打造生态优先绿色发展主战场。构筑统一开放有序的综合交通运输和江海联运的物流体系，打造重要支点，共同把长江经济带建设成为畅通国内国际双循环主动脉。坚定不移淘汰落后产能，加快产业基础高级化、产业链现代化，成为引领经济高质量发展的主力军。</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15"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专栏11  共建长江经济带行动计划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8715" w:type="dxa"/>
            <w:shd w:val="clear" w:color="auto" w:fill="auto"/>
          </w:tcPr>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生态环境保护修复工程。</w:t>
            </w:r>
            <w:r>
              <w:rPr>
                <w:rFonts w:ascii="Times New Roman" w:hAnsi="Times New Roman" w:cs="Times New Roman"/>
                <w:color w:val="000000" w:themeColor="text1"/>
                <w:sz w:val="24"/>
                <w:szCs w:val="24"/>
                <w:lang w:val="zh-TW"/>
                <w14:textFill>
                  <w14:solidFill>
                    <w14:schemeClr w14:val="tx1"/>
                  </w14:solidFill>
                </w14:textFill>
              </w:rPr>
              <w:t>加强长江干流和跨省河湖生态环境综合治理，联合打击危废固废非法转移、非法釆砂等违法行为。建立跨省流域横向生态保护补偿机制。修订完善长江经济带发展负面清单，出台《洞庭湖保护条例》。</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产业转型协同发展工程。</w:t>
            </w:r>
            <w:r>
              <w:rPr>
                <w:rFonts w:ascii="Times New Roman" w:hAnsi="Times New Roman" w:cs="Times New Roman"/>
                <w:color w:val="000000" w:themeColor="text1"/>
                <w:sz w:val="24"/>
                <w:szCs w:val="24"/>
                <w:lang w:val="zh-TW"/>
                <w14:textFill>
                  <w14:solidFill>
                    <w14:schemeClr w14:val="tx1"/>
                  </w14:solidFill>
                </w14:textFill>
              </w:rPr>
              <w:t>推动装备制造、生物医药、节能环保、新材料等重点产业领域关键技术研发和产业化发展，建立企业家联盟，打造有国际竞争力的先进制造业集群。推进洞庭湖生态经济区、岳阳长江经济带绿色发展示范区、湘赣开放合作试验区、</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通平修</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次区域合作示范区、武陵山龙山来凤经济协作示范区建设。推动革命老区、天岳</w:t>
            </w:r>
            <w:r>
              <w:rPr>
                <w:rFonts w:hint="eastAsia" w:ascii="Times New Roman" w:hAnsi="Times New Roman" w:cs="Times New Roman"/>
                <w:color w:val="000000" w:themeColor="text1"/>
                <w:sz w:val="24"/>
                <w:szCs w:val="24"/>
                <w:lang w:val="zh-TW"/>
                <w14:textFill>
                  <w14:solidFill>
                    <w14:schemeClr w14:val="tx1"/>
                  </w14:solidFill>
                </w14:textFill>
              </w:rPr>
              <w:t>幕阜山</w:t>
            </w:r>
            <w:r>
              <w:rPr>
                <w:rFonts w:ascii="Times New Roman" w:hAnsi="Times New Roman" w:cs="Times New Roman"/>
                <w:color w:val="000000" w:themeColor="text1"/>
                <w:sz w:val="24"/>
                <w:szCs w:val="24"/>
                <w:lang w:val="zh-TW"/>
                <w14:textFill>
                  <w14:solidFill>
                    <w14:schemeClr w14:val="tx1"/>
                  </w14:solidFill>
                </w14:textFill>
              </w:rPr>
              <w:t>全域旅游示范新区项目开发，推出长江中游森林步道等旅游精品线路。</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高水平对外开放新高地工程。</w:t>
            </w:r>
            <w:r>
              <w:rPr>
                <w:rFonts w:ascii="Times New Roman" w:hAnsi="Times New Roman" w:cs="Times New Roman"/>
                <w:color w:val="000000" w:themeColor="text1"/>
                <w:sz w:val="24"/>
                <w:szCs w:val="24"/>
                <w:lang w:val="zh-TW"/>
                <w14:textFill>
                  <w14:solidFill>
                    <w14:schemeClr w14:val="tx1"/>
                  </w14:solidFill>
                </w14:textFill>
              </w:rPr>
              <w:t>实施开放崛起专项行动。优化营商环境，畅通对外贸易通道，吸引跨国公司区域总部、营运中心和研发中心落户湖南。推进湖南自贸试验区建设，构建更高水平开放型经济新体制，建设长沙陆港型、岳阳港口型国家物流枢纽。</w:t>
            </w:r>
          </w:p>
          <w:p>
            <w:pPr>
              <w:spacing w:line="340" w:lineRule="exact"/>
              <w:ind w:firstLine="481" w:firstLineChars="200"/>
              <w:rPr>
                <w:rFonts w:ascii="Times New Roman" w:hAnsi="Times New Roman" w:cs="Times New Roman"/>
                <w:color w:val="000000" w:themeColor="text1"/>
                <w:sz w:val="24"/>
                <w:szCs w:val="24"/>
                <w:lang w:val="zh-TW"/>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基础设施建设工程。</w:t>
            </w:r>
            <w:r>
              <w:rPr>
                <w:rFonts w:ascii="Times New Roman" w:hAnsi="Times New Roman" w:cs="Times New Roman"/>
                <w:color w:val="000000" w:themeColor="text1"/>
                <w:sz w:val="24"/>
                <w:szCs w:val="24"/>
                <w14:textFill>
                  <w14:solidFill>
                    <w14:schemeClr w14:val="tx1"/>
                  </w14:solidFill>
                </w14:textFill>
              </w:rPr>
              <w:t>推进</w:t>
            </w:r>
            <w:r>
              <w:rPr>
                <w:rFonts w:ascii="Times New Roman" w:hAnsi="Times New Roman" w:cs="Times New Roman"/>
                <w:color w:val="000000" w:themeColor="text1"/>
                <w:sz w:val="24"/>
                <w:szCs w:val="24"/>
                <w:lang w:val="zh-TW"/>
                <w14:textFill>
                  <w14:solidFill>
                    <w14:schemeClr w14:val="tx1"/>
                  </w14:solidFill>
                </w14:textFill>
              </w:rPr>
              <w:t>长江宜昌至安庆段航道、松滋河等省际水运通道建设工程，城陵矶港、长沙港等重点港口集疏运通道和铁路专用线建设工程，呼南高铁（襄阳至常德）、渝长厦高铁（长沙至赣州）、长九、常岳九高铁建设工程，桑植至龙山（来凤</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等省际高速公路建设工程，长株潭城市群与武汉、昌九都市圈在能源、水利等方面深入融合建设工程。推进运输结构调整和水铁公空多式联运，建立省会城市国际和境外航空联盟。</w:t>
            </w:r>
          </w:p>
          <w:p>
            <w:pPr>
              <w:spacing w:line="340" w:lineRule="exact"/>
              <w:ind w:right="-120" w:rightChars="-57" w:firstLine="481" w:firstLineChars="200"/>
              <w:rPr>
                <w:rFonts w:ascii="Times New Roman" w:hAnsi="Times New Roman" w:cs="Times New Roman"/>
                <w:color w:val="000000" w:themeColor="text1"/>
                <w:sz w:val="24"/>
                <w:szCs w:val="24"/>
                <w:lang w:val="zh-TW"/>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长三角产业链共建工程。</w:t>
            </w:r>
            <w:r>
              <w:rPr>
                <w:rFonts w:ascii="Times New Roman" w:hAnsi="Times New Roman" w:cs="Times New Roman"/>
                <w:color w:val="000000" w:themeColor="text1"/>
                <w:sz w:val="24"/>
                <w:szCs w:val="24"/>
                <w:lang w:val="zh-TW"/>
                <w14:textFill>
                  <w14:solidFill>
                    <w14:schemeClr w14:val="tx1"/>
                  </w14:solidFill>
                </w14:textFill>
              </w:rPr>
              <w:t>积极承接长三角地区电子信息、装备制造、纺织服装、精细化工等领域的制造业和服务业企业</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加大新能源汽车、精细化工、智能制造等领域对接合作力度</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吸引成套装备制造商、整机制造商等大型企业落户。</w:t>
            </w:r>
          </w:p>
          <w:p>
            <w:pPr>
              <w:spacing w:line="340" w:lineRule="exact"/>
              <w:ind w:right="-120" w:rightChars="-57"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长三角科技转移转化工程。</w:t>
            </w:r>
            <w:r>
              <w:rPr>
                <w:rFonts w:ascii="Times New Roman" w:hAnsi="Times New Roman" w:cs="Times New Roman"/>
                <w:color w:val="000000" w:themeColor="text1"/>
                <w:sz w:val="24"/>
                <w:szCs w:val="24"/>
                <w:lang w:val="zh-TW"/>
                <w14:textFill>
                  <w14:solidFill>
                    <w14:schemeClr w14:val="tx1"/>
                  </w14:solidFill>
                </w14:textFill>
              </w:rPr>
              <w:t>联合建立产业技术创新战略联盟、技术创新中心、联合实验室，面向产业创新发展需求开放仪器设备、共享车间、大型软件等资源，发展面向大众、服务企业的低成本、便利化、开放式服务平台。大力发展技术评估、产权交易等中介机构，构建技术转移服务平台。合作建设若干人力资源培训基地、国家级引智基地。</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长江文化保护传承弘扬工程。</w:t>
            </w:r>
            <w:r>
              <w:rPr>
                <w:rFonts w:ascii="Times New Roman" w:hAnsi="Times New Roman" w:cs="Times New Roman"/>
                <w:color w:val="000000" w:themeColor="text1"/>
                <w:sz w:val="24"/>
                <w:szCs w:val="24"/>
                <w:lang w:val="zh-TW"/>
                <w14:textFill>
                  <w14:solidFill>
                    <w14:schemeClr w14:val="tx1"/>
                  </w14:solidFill>
                </w14:textFill>
              </w:rPr>
              <w:t>创造性转化、创新性发展长江流域优秀传统文化。做好做足</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红色、绿色、古色</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三篇文章，开辟精品文化旅游线路。推进长江中游智慧旅游工程建设，发行长江旅游年卡。</w:t>
            </w:r>
          </w:p>
        </w:tc>
      </w:tr>
    </w:tbl>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8" w:name="_Toc62051559"/>
      <w:r>
        <w:rPr>
          <w:rFonts w:ascii="Times New Roman" w:hAnsi="Times New Roman" w:eastAsia="楷体_GB2312" w:cs="Times New Roman"/>
          <w:b/>
          <w:bCs/>
          <w:color w:val="000000" w:themeColor="text1"/>
          <w:sz w:val="32"/>
          <w:szCs w:val="32"/>
          <w14:textFill>
            <w14:solidFill>
              <w14:schemeClr w14:val="tx1"/>
            </w14:solidFill>
          </w14:textFill>
        </w:rPr>
        <w:t>第三节  建设粤港澳大湾区的战略协作区</w:t>
      </w:r>
      <w:bookmarkEnd w:id="48"/>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与粤港澳大湾区的深度往来与合作，增强湖南区域发展的牵引力和竞争力。推进高速铁路、高速公路、航空、信息等基础设施互联互通，加快对接粤港澳的铁路建设和铁海联运发展，建设湖南至大湾区3-5小时便捷通达圈。推进现代产业协同发展，积极发展“飞地经济”，着力建设配套和服务基地，全产业链对接先进制造业，大力承接大湾区产业转移，打造京广线战略性新兴产业承接带。构建区域协同创新体系，积极对接广深港澳科技走廊，组建离岸创新联盟，共建技术创新研发平台，强化科技创新人才交流合作。对接大湾区“菜篮子”工程，建设优质农产品直供基地。促进旅游休闲康养联动，共同开发精品旅游线路，定期举办旅游合作交流活动。共同推进生态绿色一体化发展，共筑南岭生态安全屏障。深入推进泛珠三角区域合作，参与建设联通长江经济带与粤港澳大湾区国际投资贸易走廊，建立和完善与大湾区高层对接对话和部门协商合作长效机制。</w:t>
      </w:r>
    </w:p>
    <w:tbl>
      <w:tblPr>
        <w:tblStyle w:val="25"/>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952"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专栏12  对接粤港澳大湾区行动计划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4" w:hRule="atLeast"/>
          <w:jc w:val="center"/>
        </w:trPr>
        <w:tc>
          <w:tcPr>
            <w:tcW w:w="8952" w:type="dxa"/>
            <w:shd w:val="clear" w:color="auto" w:fill="auto"/>
          </w:tcPr>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交通通达行动。</w:t>
            </w:r>
            <w:r>
              <w:rPr>
                <w:rFonts w:ascii="Times New Roman" w:hAnsi="Times New Roman" w:cs="Times New Roman"/>
                <w:color w:val="000000" w:themeColor="text1"/>
                <w:sz w:val="24"/>
                <w:szCs w:val="24"/>
                <w:lang w:val="zh-CN"/>
                <w14:textFill>
                  <w14:solidFill>
                    <w14:schemeClr w14:val="tx1"/>
                  </w14:solidFill>
                </w14:textFill>
              </w:rPr>
              <w:t>规划建设永清广高铁，构建对接粤港澳的第二大通道；推进铁海联运发展，拓展建设无水港；推进</w:t>
            </w:r>
            <w:r>
              <w:rPr>
                <w:rFonts w:ascii="Times New Roman" w:hAnsi="Times New Roman" w:cs="Times New Roman"/>
                <w:color w:val="000000" w:themeColor="text1"/>
                <w:sz w:val="24"/>
                <w:szCs w:val="24"/>
                <w14:textFill>
                  <w14:solidFill>
                    <w14:schemeClr w14:val="tx1"/>
                  </w14:solidFill>
                </w14:textFill>
              </w:rPr>
              <w:t>G4京港澳高速湖南段提质扩容、临武至连州高速公路建设，提高纵向主通道的通达能力；</w:t>
            </w:r>
            <w:r>
              <w:rPr>
                <w:rFonts w:ascii="Times New Roman" w:hAnsi="Times New Roman" w:cs="Times New Roman"/>
                <w:color w:val="000000" w:themeColor="text1"/>
                <w:sz w:val="24"/>
                <w:szCs w:val="24"/>
                <w:lang w:val="zh-CN"/>
                <w14:textFill>
                  <w14:solidFill>
                    <w14:schemeClr w14:val="tx1"/>
                  </w14:solidFill>
                </w14:textFill>
              </w:rPr>
              <w:t>加开直达粤港澳主要城市的高速列车和航班航线；全面打通省际断头路</w:t>
            </w:r>
            <w:r>
              <w:rPr>
                <w:rFonts w:ascii="Times New Roman" w:hAnsi="Times New Roman" w:cs="Times New Roman"/>
                <w:color w:val="000000" w:themeColor="text1"/>
                <w:sz w:val="24"/>
                <w:szCs w:val="24"/>
                <w14:textFill>
                  <w14:solidFill>
                    <w14:schemeClr w14:val="tx1"/>
                  </w14:solidFill>
                </w14:textFill>
              </w:rPr>
              <w:t>。</w:t>
            </w:r>
          </w:p>
          <w:p>
            <w:pPr>
              <w:pStyle w:val="8"/>
              <w:spacing w:after="0"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产业协同发展行动。</w:t>
            </w:r>
            <w:r>
              <w:rPr>
                <w:rFonts w:ascii="Times New Roman" w:hAnsi="Times New Roman" w:cs="Times New Roman"/>
                <w:color w:val="000000" w:themeColor="text1"/>
                <w:sz w:val="24"/>
                <w:szCs w:val="24"/>
                <w14:textFill>
                  <w14:solidFill>
                    <w14:schemeClr w14:val="tx1"/>
                  </w14:solidFill>
                </w14:textFill>
              </w:rPr>
              <w:t>建设京广线战略性新兴产业承接带，引进发展电子信息、智能制造、特色材料等产业，共建特色产业发展联盟，打造以先进制造业为主的高端产业走廊。建设粤港澳农产品保障的后花园，积极发展特色农产品种植和精深加工产业，打造“湘江源”蔬菜等一批特色品牌，成为粤港澳优质农产品直供基地。</w:t>
            </w:r>
          </w:p>
          <w:p>
            <w:pPr>
              <w:pStyle w:val="24"/>
              <w:spacing w:after="0" w:line="340" w:lineRule="exact"/>
              <w:ind w:firstLine="465" w:firstLineChars="200"/>
              <w:rPr>
                <w:rFonts w:ascii="Times New Roman" w:hAnsi="Times New Roman" w:cs="Times New Roman"/>
                <w:color w:val="000000" w:themeColor="text1"/>
                <w:spacing w:val="-4"/>
                <w:sz w:val="24"/>
                <w:szCs w:val="24"/>
                <w14:textFill>
                  <w14:solidFill>
                    <w14:schemeClr w14:val="tx1"/>
                  </w14:solidFill>
                </w14:textFill>
              </w:rPr>
            </w:pPr>
            <w:r>
              <w:rPr>
                <w:rFonts w:ascii="Times New Roman" w:hAnsi="Times New Roman" w:cs="Times New Roman"/>
                <w:b/>
                <w:bCs/>
                <w:color w:val="000000" w:themeColor="text1"/>
                <w:spacing w:val="-4"/>
                <w:sz w:val="24"/>
                <w:szCs w:val="24"/>
                <w14:textFill>
                  <w14:solidFill>
                    <w14:schemeClr w14:val="tx1"/>
                  </w14:solidFill>
                </w14:textFill>
              </w:rPr>
              <w:t>区域协同创新行动。</w:t>
            </w:r>
            <w:r>
              <w:rPr>
                <w:rFonts w:ascii="Times New Roman" w:hAnsi="Times New Roman" w:cs="Times New Roman"/>
                <w:color w:val="000000" w:themeColor="text1"/>
                <w:spacing w:val="-4"/>
                <w:sz w:val="24"/>
                <w:szCs w:val="24"/>
                <w14:textFill>
                  <w14:solidFill>
                    <w14:schemeClr w14:val="tx1"/>
                  </w14:solidFill>
                </w14:textFill>
              </w:rPr>
              <w:t>在粤港澳大湾区设立离岸科创平台，组建离岸创新联盟，发展“科创飞地”，建设科技创新共同体。积极对接广深港澳科创走廊，推进湖南粤港澳科创园、大数据产业园等创新平台建设，加快搭建国际科技创新平台。构建协调联动的创新机制，加强科技创新人才交流合作。</w:t>
            </w:r>
          </w:p>
          <w:p>
            <w:pPr>
              <w:pStyle w:val="24"/>
              <w:spacing w:after="0"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区域旅游休闲康养联动行动。</w:t>
            </w:r>
            <w:r>
              <w:rPr>
                <w:rFonts w:ascii="Times New Roman" w:hAnsi="Times New Roman" w:cs="Times New Roman"/>
                <w:color w:val="000000" w:themeColor="text1"/>
                <w:sz w:val="24"/>
                <w:szCs w:val="24"/>
                <w14:textFill>
                  <w14:solidFill>
                    <w14:schemeClr w14:val="tx1"/>
                  </w14:solidFill>
                </w14:textFill>
              </w:rPr>
              <w:t>建设生态文化旅游康养带，</w:t>
            </w:r>
            <w:r>
              <w:rPr>
                <w:rFonts w:ascii="Times New Roman" w:hAnsi="Times New Roman" w:eastAsia="宋体" w:cs="Times New Roman"/>
                <w:color w:val="000000" w:themeColor="text1"/>
                <w:sz w:val="24"/>
                <w:szCs w:val="24"/>
                <w14:textFill>
                  <w14:solidFill>
                    <w14:schemeClr w14:val="tx1"/>
                  </w14:solidFill>
                </w14:textFill>
              </w:rPr>
              <w:t>联合推出欧洲-长沙-香港等航空高铁旅游，张家界、崀山-丹霞山世界遗产旅游，湘西自治州、怀化、永州、清远、韶关等湘粤民俗文化旅游，梅州、韶关-郴州、长株潭等红色旅游，珠海-韶关-郴州-长沙-张家界等温泉康养休闲旅游等精品线路。</w:t>
            </w:r>
          </w:p>
          <w:p>
            <w:pPr>
              <w:pStyle w:val="24"/>
              <w:spacing w:after="0"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平台对接行动。</w:t>
            </w:r>
            <w:r>
              <w:rPr>
                <w:rFonts w:ascii="Times New Roman" w:hAnsi="Times New Roman" w:cs="Times New Roman"/>
                <w:color w:val="000000" w:themeColor="text1"/>
                <w:sz w:val="24"/>
                <w:szCs w:val="24"/>
                <w14:textFill>
                  <w14:solidFill>
                    <w14:schemeClr w14:val="tx1"/>
                  </w14:solidFill>
                </w14:textFill>
              </w:rPr>
              <w:t>建设电子商务国际金融结算中心，做强做实</w:t>
            </w:r>
            <w:r>
              <w:rPr>
                <w:rFonts w:ascii="Times New Roman" w:hAnsi="Times New Roman" w:eastAsia="宋体" w:cs="Times New Roman"/>
                <w:color w:val="000000" w:themeColor="text1"/>
                <w:sz w:val="24"/>
                <w:szCs w:val="24"/>
                <w14:textFill>
                  <w14:solidFill>
                    <w14:schemeClr w14:val="tx1"/>
                  </w14:solidFill>
                </w14:textFill>
              </w:rPr>
              <w:t>中非经贸博览会、世界计算机大会、中国（湖南）国际工程机械展览会、湖南（香港）投资贸易洽谈周、全球湘商大会、中国（湖南）国际矿物宝石博览会等</w:t>
            </w:r>
            <w:r>
              <w:rPr>
                <w:rFonts w:ascii="Times New Roman" w:hAnsi="Times New Roman" w:cs="Times New Roman"/>
                <w:color w:val="000000" w:themeColor="text1"/>
                <w:sz w:val="24"/>
                <w:szCs w:val="24"/>
                <w14:textFill>
                  <w14:solidFill>
                    <w14:schemeClr w14:val="tx1"/>
                  </w14:solidFill>
                </w14:textFill>
              </w:rPr>
              <w:t>多种国际招商</w:t>
            </w:r>
            <w:r>
              <w:rPr>
                <w:rFonts w:ascii="Times New Roman" w:hAnsi="Times New Roman" w:eastAsia="宋体" w:cs="Times New Roman"/>
                <w:color w:val="000000" w:themeColor="text1"/>
                <w:sz w:val="24"/>
                <w:szCs w:val="24"/>
                <w14:textFill>
                  <w14:solidFill>
                    <w14:schemeClr w14:val="tx1"/>
                  </w14:solidFill>
                </w14:textFill>
              </w:rPr>
              <w:t>活动平台，共同开拓国际市场</w:t>
            </w:r>
            <w:r>
              <w:rPr>
                <w:rFonts w:ascii="Times New Roman" w:hAnsi="Times New Roman" w:cs="Times New Roman"/>
                <w:color w:val="000000" w:themeColor="text1"/>
                <w:sz w:val="24"/>
                <w:szCs w:val="24"/>
                <w14:textFill>
                  <w14:solidFill>
                    <w14:schemeClr w14:val="tx1"/>
                  </w14:solidFill>
                </w14:textFill>
              </w:rPr>
              <w:t>。</w:t>
            </w:r>
          </w:p>
        </w:tc>
      </w:tr>
    </w:tbl>
    <w:p>
      <w:pPr>
        <w:keepNext/>
        <w:spacing w:before="357" w:beforeLines="80" w:after="357" w:afterLines="8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9" w:name="_Toc62051560"/>
      <w:r>
        <w:rPr>
          <w:rFonts w:ascii="Times New Roman" w:hAnsi="Times New Roman" w:eastAsia="楷体_GB2312" w:cs="Times New Roman"/>
          <w:b/>
          <w:bCs/>
          <w:color w:val="000000" w:themeColor="text1"/>
          <w:sz w:val="32"/>
          <w:szCs w:val="32"/>
          <w14:textFill>
            <w14:solidFill>
              <w14:schemeClr w14:val="tx1"/>
            </w14:solidFill>
          </w14:textFill>
        </w:rPr>
        <w:t>第四节  建设西部陆海经济往来的双向大通道</w:t>
      </w:r>
      <w:bookmarkEnd w:id="49"/>
    </w:p>
    <w:p>
      <w:pPr>
        <w:spacing w:line="616"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构建西部陆海双向大通道，全面挖掘激发武陵山区域经济发展活力和动能，打造畅通陆海经济循环新枢纽。依托渝长厦、渝湘高铁，联动湘西州、张家界、常德、怀化，加强与成渝地区总部经济、消费市场的衔接，</w:t>
      </w:r>
      <w:r>
        <w:rPr>
          <w:rFonts w:hint="eastAsia" w:ascii="Times New Roman" w:hAnsi="Times New Roman" w:eastAsia="仿宋_GB2312" w:cs="Times New Roman"/>
          <w:color w:val="000000" w:themeColor="text1"/>
          <w:sz w:val="32"/>
          <w:szCs w:val="32"/>
          <w14:textFill>
            <w14:solidFill>
              <w14:schemeClr w14:val="tx1"/>
            </w14:solidFill>
          </w14:textFill>
        </w:rPr>
        <w:t>突出发挥怀化门户枢纽作用，</w:t>
      </w:r>
      <w:r>
        <w:rPr>
          <w:rFonts w:ascii="Times New Roman" w:hAnsi="Times New Roman" w:eastAsia="仿宋_GB2312" w:cs="Times New Roman"/>
          <w:color w:val="000000" w:themeColor="text1"/>
          <w:sz w:val="32"/>
          <w:szCs w:val="32"/>
          <w14:textFill>
            <w14:solidFill>
              <w14:schemeClr w14:val="tx1"/>
            </w14:solidFill>
          </w14:textFill>
        </w:rPr>
        <w:t>连通大西南和丝绸之路经济带。建设湘渝黔边城协同发展合作区，</w:t>
      </w:r>
      <w:r>
        <w:rPr>
          <w:rFonts w:ascii="Times New Roman" w:hAnsi="Times New Roman" w:eastAsia="仿宋_GB2312" w:cs="Times New Roman"/>
          <w:color w:val="000000" w:themeColor="text1"/>
          <w:spacing w:val="-2"/>
          <w:sz w:val="32"/>
          <w:szCs w:val="32"/>
          <w14:textFill>
            <w14:solidFill>
              <w14:schemeClr w14:val="tx1"/>
            </w14:solidFill>
          </w14:textFill>
        </w:rPr>
        <w:t>推进</w:t>
      </w:r>
      <w:r>
        <w:rPr>
          <w:rFonts w:ascii="Times New Roman" w:hAnsi="Times New Roman" w:eastAsia="仿宋_GB2312" w:cs="Times New Roman"/>
          <w:color w:val="000000" w:themeColor="text1"/>
          <w:sz w:val="32"/>
          <w:szCs w:val="32"/>
          <w14:textFill>
            <w14:solidFill>
              <w14:schemeClr w14:val="tx1"/>
            </w14:solidFill>
          </w14:textFill>
        </w:rPr>
        <w:t>湘渝黔</w:t>
      </w:r>
      <w:r>
        <w:rPr>
          <w:rFonts w:ascii="Times New Roman" w:hAnsi="Times New Roman" w:eastAsia="仿宋_GB2312" w:cs="Times New Roman"/>
          <w:color w:val="000000" w:themeColor="text1"/>
          <w:spacing w:val="-2"/>
          <w:sz w:val="32"/>
          <w:szCs w:val="32"/>
          <w14:textFill>
            <w14:solidFill>
              <w14:schemeClr w14:val="tx1"/>
            </w14:solidFill>
          </w14:textFill>
        </w:rPr>
        <w:t>文化旅游、医疗康养、生物医药等领域合作，协同发展跨区域精品旅游线路，打造区域公共品牌，吸引人流、物流、资金流、信息流，形成</w:t>
      </w:r>
      <w:r>
        <w:rPr>
          <w:rFonts w:ascii="Times New Roman" w:hAnsi="Times New Roman" w:eastAsia="仿宋_GB2312" w:cs="Times New Roman"/>
          <w:color w:val="000000" w:themeColor="text1"/>
          <w:sz w:val="32"/>
          <w:szCs w:val="32"/>
          <w14:textFill>
            <w14:solidFill>
              <w14:schemeClr w14:val="tx1"/>
            </w14:solidFill>
          </w14:textFill>
        </w:rPr>
        <w:t>湘渝黔</w:t>
      </w:r>
      <w:r>
        <w:rPr>
          <w:rFonts w:ascii="Times New Roman" w:hAnsi="Times New Roman" w:eastAsia="仿宋_GB2312" w:cs="Times New Roman"/>
          <w:color w:val="000000" w:themeColor="text1"/>
          <w:spacing w:val="-2"/>
          <w:sz w:val="32"/>
          <w:szCs w:val="32"/>
          <w14:textFill>
            <w14:solidFill>
              <w14:schemeClr w14:val="tx1"/>
            </w14:solidFill>
          </w14:textFill>
        </w:rPr>
        <w:t>合作新增长点</w:t>
      </w:r>
      <w:r>
        <w:rPr>
          <w:rFonts w:ascii="Times New Roman" w:hAnsi="Times New Roman" w:eastAsia="仿宋_GB2312" w:cs="Times New Roman"/>
          <w:color w:val="000000" w:themeColor="text1"/>
          <w:sz w:val="32"/>
          <w:szCs w:val="32"/>
          <w14:textFill>
            <w14:solidFill>
              <w14:schemeClr w14:val="tx1"/>
            </w14:solidFill>
          </w14:textFill>
        </w:rPr>
        <w:t>。扩大湘桂琼合作，加强骨干通道衔接，深化与北部湾地区在东盟国家物流产业园、多式联运、国际中转运输等方面合作，对接海南自由贸易港、北部湾经济区，依托中国-东盟博览会和区域全面经济伙伴关系协定（RCEP），打造怀化、邵阳、永州经广西、海南至东盟向海经济走廊，</w:t>
      </w:r>
      <w:r>
        <w:rPr>
          <w:rFonts w:ascii="Times New Roman" w:hAnsi="Times New Roman" w:eastAsia="仿宋_GB2312" w:cs="Times New Roman"/>
          <w:bCs/>
          <w:color w:val="000000" w:themeColor="text1"/>
          <w:sz w:val="32"/>
          <w:szCs w:val="32"/>
          <w14:textFill>
            <w14:solidFill>
              <w14:schemeClr w14:val="tx1"/>
            </w14:solidFill>
          </w14:textFill>
        </w:rPr>
        <w:t>合作共建陆海新通道。</w:t>
      </w:r>
    </w:p>
    <w:p>
      <w:pPr>
        <w:widowControl/>
        <w:jc w:val="left"/>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图1  湖南省对接外部重要经济区通道示意图</w:t>
      </w:r>
    </w:p>
    <w:p>
      <w:pPr>
        <w:jc w:val="center"/>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drawing>
          <wp:inline distT="0" distB="0" distL="0" distR="0">
            <wp:extent cx="5656580" cy="554990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3" cstate="print">
                      <a:extLst>
                        <a:ext uri="{28A0092B-C50C-407E-A947-70E740481C1C}">
                          <a14:useLocalDpi xmlns:a14="http://schemas.microsoft.com/office/drawing/2010/main" val="false"/>
                        </a:ext>
                      </a:extLst>
                    </a:blip>
                    <a:srcRect l="4381" t="5179" r="4952" b="8454"/>
                    <a:stretch>
                      <a:fillRect/>
                    </a:stretch>
                  </pic:blipFill>
                  <pic:spPr>
                    <a:xfrm>
                      <a:off x="0" y="0"/>
                      <a:ext cx="5655423" cy="5548492"/>
                    </a:xfrm>
                    <a:prstGeom prst="rect">
                      <a:avLst/>
                    </a:prstGeom>
                    <a:ln>
                      <a:noFill/>
                    </a:ln>
                  </pic:spPr>
                </pic:pic>
              </a:graphicData>
            </a:graphic>
          </wp:inline>
        </w:drawing>
      </w:r>
    </w:p>
    <w:p>
      <w:pPr>
        <w:widowControl/>
        <w:jc w:val="left"/>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50" w:name="_Toc62051561"/>
      <w:r>
        <w:rPr>
          <w:rFonts w:ascii="Times New Roman" w:hAnsi="Times New Roman" w:eastAsia="黑体" w:cs="Times New Roman"/>
          <w:bCs/>
          <w:color w:val="000000" w:themeColor="text1"/>
          <w:sz w:val="32"/>
          <w:szCs w:val="32"/>
          <w14:textFill>
            <w14:solidFill>
              <w14:schemeClr w14:val="tx1"/>
            </w14:solidFill>
          </w14:textFill>
        </w:rPr>
        <w:t>第十章  构建优势互补的区域布局</w:t>
      </w:r>
      <w:bookmarkEnd w:id="50"/>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健全区域协调发展新机制，构建以中心城市和都市圈为核心的动力系统，优化形成“一核两副三带四区”区域经济格局，充分发挥枢纽、通道、县域和特殊类型地区比较优势，实现联动协调发展。</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1" w:name="_Toc62051562"/>
      <w:r>
        <w:rPr>
          <w:rFonts w:ascii="Times New Roman" w:hAnsi="Times New Roman" w:eastAsia="楷体_GB2312" w:cs="Times New Roman"/>
          <w:b/>
          <w:bCs/>
          <w:color w:val="000000" w:themeColor="text1"/>
          <w:sz w:val="32"/>
          <w:szCs w:val="32"/>
          <w14:textFill>
            <w14:solidFill>
              <w14:schemeClr w14:val="tx1"/>
            </w14:solidFill>
          </w14:textFill>
        </w:rPr>
        <w:t>第一节  加快推进长株潭一体化</w:t>
      </w:r>
      <w:bookmarkEnd w:id="51"/>
    </w:p>
    <w:p>
      <w:pPr>
        <w:pStyle w:val="23"/>
        <w:spacing w:before="0" w:beforeAutospacing="0" w:after="0" w:afterAutospacing="0" w:line="568" w:lineRule="exact"/>
        <w:ind w:firstLine="642" w:firstLineChars="200"/>
        <w:jc w:val="both"/>
        <w:rPr>
          <w:rFonts w:ascii="Times New Roman" w:hAnsi="Times New Roman" w:eastAsia="仿宋_GB2312" w:cs="Times New Roman"/>
          <w:bCs/>
          <w:color w:val="000000" w:themeColor="text1"/>
          <w:sz w:val="31"/>
          <w:szCs w:val="3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壮大长株潭核心增长极。</w:t>
      </w:r>
      <w:r>
        <w:rPr>
          <w:rFonts w:ascii="Times New Roman" w:hAnsi="Times New Roman" w:eastAsia="仿宋_GB2312" w:cs="Times New Roman"/>
          <w:color w:val="000000" w:themeColor="text1"/>
          <w:sz w:val="32"/>
          <w:szCs w:val="32"/>
          <w14:textFill>
            <w14:solidFill>
              <w14:schemeClr w14:val="tx1"/>
            </w14:solidFill>
          </w14:textFill>
        </w:rPr>
        <w:t>大力实施长株潭一体化工程，全面加快长株潭一体化步伐，在打造“三个高地”上率先突破，在增强承载带动功能上聚焦发力，将长株潭建成中部地区崛起和长江经济带发展核心增长极、实施“三高四新”战略的主阵地、现代化湖南建设的主力军、新一轮综合改革创新试验区。优化长株潭一体化格局，重点建设湘江发展轴，严格保护长株潭生态绿心，依托京广、沪昆、渝长厦等重大交通通道，打造宁乡、浏阳、韶山-湘乡、醴陵-攸县等城镇组团，形成“一轴一心、三带多组团”空间格局。</w:t>
      </w:r>
    </w:p>
    <w:p>
      <w:pPr>
        <w:pStyle w:val="23"/>
        <w:spacing w:before="0" w:beforeAutospacing="0" w:after="0" w:afterAutospacing="0" w:line="568" w:lineRule="exact"/>
        <w:ind w:firstLine="62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1"/>
          <w:szCs w:val="31"/>
          <w14:textFill>
            <w14:solidFill>
              <w14:schemeClr w14:val="tx1"/>
            </w14:solidFill>
          </w14:textFill>
        </w:rPr>
        <w:t>创建长沙国家中心城市。</w:t>
      </w:r>
      <w:r>
        <w:rPr>
          <w:rFonts w:ascii="Times New Roman" w:hAnsi="Times New Roman" w:eastAsia="仿宋_GB2312" w:cs="Times New Roman"/>
          <w:color w:val="000000" w:themeColor="text1"/>
          <w:sz w:val="32"/>
          <w:szCs w:val="32"/>
          <w14:textFill>
            <w14:solidFill>
              <w14:schemeClr w14:val="tx1"/>
            </w14:solidFill>
          </w14:textFill>
        </w:rPr>
        <w:t>提升省会城市功能。对外提高集聚力和影响力，打造国家重要先进制造业中心、国际文化创意中心、区域性国际消费中心、国家综合交通物流枢纽，积极创建国家科技创新中心，高水平建设自贸试验区长沙片区、临空经济示范区等开放平台，擦亮长沙中非经贸博览会、世界媒体艺术之都等开放名片。对内增强辐射力和引领力，</w:t>
      </w:r>
      <w:r>
        <w:rPr>
          <w:rFonts w:ascii="Times New Roman" w:hAnsi="Times New Roman" w:eastAsia="仿宋_GB2312" w:cs="Times New Roman"/>
          <w:color w:val="000000" w:themeColor="text1"/>
          <w:kern w:val="2"/>
          <w:sz w:val="32"/>
          <w:szCs w:val="32"/>
          <w14:textFill>
            <w14:solidFill>
              <w14:schemeClr w14:val="tx1"/>
            </w14:solidFill>
          </w14:textFill>
        </w:rPr>
        <w:t>做大中心城市</w:t>
      </w:r>
      <w:r>
        <w:rPr>
          <w:rFonts w:ascii="Times New Roman" w:hAnsi="Times New Roman" w:eastAsia="仿宋_GB2312" w:cs="Times New Roman"/>
          <w:color w:val="000000" w:themeColor="text1"/>
          <w:spacing w:val="-2"/>
          <w:kern w:val="2"/>
          <w:sz w:val="32"/>
          <w:szCs w:val="32"/>
          <w14:textFill>
            <w14:solidFill>
              <w14:schemeClr w14:val="tx1"/>
            </w14:solidFill>
          </w14:textFill>
        </w:rPr>
        <w:t>规模，</w:t>
      </w:r>
      <w:r>
        <w:rPr>
          <w:rFonts w:ascii="Times New Roman" w:hAnsi="Times New Roman" w:eastAsia="仿宋_GB2312" w:cs="Times New Roman"/>
          <w:color w:val="000000" w:themeColor="text1"/>
          <w:spacing w:val="-2"/>
          <w:sz w:val="32"/>
          <w:szCs w:val="32"/>
          <w14:textFill>
            <w14:solidFill>
              <w14:schemeClr w14:val="tx1"/>
            </w14:solidFill>
          </w14:textFill>
        </w:rPr>
        <w:t>增强城市活力和吸引力，辐射带动环长株潭城市群发展，建成宜居乐业安全的特大都市。推进湘江新区高质量发展，推动湘阴、九华新片区规划建设，提升新区现代化国际化发展品质</w:t>
      </w:r>
      <w:r>
        <w:rPr>
          <w:rFonts w:ascii="Times New Roman" w:hAnsi="Times New Roman" w:eastAsia="仿宋_GB2312" w:cs="Times New Roman"/>
          <w:color w:val="000000" w:themeColor="text1"/>
          <w:sz w:val="32"/>
          <w:szCs w:val="32"/>
          <w14:textFill>
            <w14:solidFill>
              <w14:schemeClr w14:val="tx1"/>
            </w14:solidFill>
          </w14:textFill>
        </w:rPr>
        <w:t>。</w:t>
      </w:r>
    </w:p>
    <w:p>
      <w:pPr>
        <w:pStyle w:val="23"/>
        <w:spacing w:before="0" w:beforeAutospacing="0" w:after="0" w:afterAutospacing="0" w:line="568"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建设长株潭现代化都市圈。</w:t>
      </w:r>
      <w:r>
        <w:rPr>
          <w:rFonts w:ascii="Times New Roman" w:hAnsi="Times New Roman" w:eastAsia="仿宋_GB2312" w:cs="Times New Roman"/>
          <w:color w:val="000000" w:themeColor="text1"/>
          <w:sz w:val="32"/>
          <w:szCs w:val="32"/>
          <w14:textFill>
            <w14:solidFill>
              <w14:schemeClr w14:val="tx1"/>
            </w14:solidFill>
          </w14:textFill>
        </w:rPr>
        <w:t>以长株潭三市主城区为核心</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一小时通勤距离为半径，</w:t>
      </w:r>
      <w:r>
        <w:rPr>
          <w:rFonts w:ascii="Times New Roman" w:hAnsi="Times New Roman" w:eastAsia="仿宋_GB2312" w:cs="Times New Roman"/>
          <w:color w:val="000000" w:themeColor="text1"/>
          <w:sz w:val="31"/>
          <w:szCs w:val="31"/>
          <w14:textFill>
            <w14:solidFill>
              <w14:schemeClr w14:val="tx1"/>
            </w14:solidFill>
          </w14:textFill>
        </w:rPr>
        <w:t>提升长株潭整体产业集聚和人口集聚能力，打造长江经济带最具增长潜力、</w:t>
      </w:r>
      <w:r>
        <w:rPr>
          <w:rFonts w:ascii="Times New Roman" w:hAnsi="Times New Roman" w:eastAsia="仿宋_GB2312" w:cs="Times New Roman"/>
          <w:bCs/>
          <w:color w:val="000000" w:themeColor="text1"/>
          <w:sz w:val="31"/>
          <w:szCs w:val="31"/>
          <w14:textFill>
            <w14:solidFill>
              <w14:schemeClr w14:val="tx1"/>
            </w14:solidFill>
          </w14:textFill>
        </w:rPr>
        <w:t>具有国际影响力的现代化都市圈</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1"/>
          <w:szCs w:val="31"/>
          <w14:textFill>
            <w14:solidFill>
              <w14:schemeClr w14:val="tx1"/>
            </w14:solidFill>
          </w14:textFill>
        </w:rPr>
        <w:t>建设轨道上的长株潭，加快外环网和连线工程建设，</w:t>
      </w:r>
      <w:r>
        <w:rPr>
          <w:rFonts w:ascii="Times New Roman" w:hAnsi="Times New Roman" w:eastAsia="仿宋_GB2312" w:cs="Times New Roman"/>
          <w:color w:val="000000" w:themeColor="text1"/>
          <w:sz w:val="32"/>
          <w:szCs w:val="32"/>
          <w14:textFill>
            <w14:solidFill>
              <w14:schemeClr w14:val="tx1"/>
            </w14:solidFill>
          </w14:textFill>
        </w:rPr>
        <w:t>推动基础设施互联互通和内外循环，形成一小时通勤圈。</w:t>
      </w:r>
      <w:r>
        <w:rPr>
          <w:rFonts w:ascii="Times New Roman" w:hAnsi="Times New Roman" w:eastAsia="仿宋_GB2312" w:cs="Times New Roman"/>
          <w:bCs/>
          <w:color w:val="000000" w:themeColor="text1"/>
          <w:sz w:val="31"/>
          <w:szCs w:val="31"/>
          <w14:textFill>
            <w14:solidFill>
              <w14:schemeClr w14:val="tx1"/>
            </w14:solidFill>
          </w14:textFill>
        </w:rPr>
        <w:t>推动产业合理布局和协同发展，促进</w:t>
      </w:r>
      <w:r>
        <w:rPr>
          <w:rFonts w:ascii="Times New Roman" w:hAnsi="Times New Roman" w:eastAsia="仿宋_GB2312" w:cs="Times New Roman"/>
          <w:color w:val="000000" w:themeColor="text1"/>
          <w:sz w:val="32"/>
          <w:szCs w:val="32"/>
          <w14:textFill>
            <w14:solidFill>
              <w14:schemeClr w14:val="tx1"/>
            </w14:solidFill>
          </w14:textFill>
        </w:rPr>
        <w:t>各类要素资源聚集和共享，扩大对周边区域的经济吸引力和辐射力。推进教育、医疗、社会保障等公共服务标准化便利化，建设金融、技术、土地、人力资源等一体化市场。构筑都市圈生态安全体系，建设长株潭生态绿色融合发展示范区。</w:t>
      </w:r>
    </w:p>
    <w:p>
      <w:pPr>
        <w:pStyle w:val="23"/>
        <w:spacing w:before="0" w:beforeAutospacing="0" w:after="0" w:afterAutospacing="0" w:line="568" w:lineRule="exact"/>
        <w:ind w:firstLine="62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1"/>
          <w:szCs w:val="31"/>
          <w14:textFill>
            <w14:solidFill>
              <w14:schemeClr w14:val="tx1"/>
            </w14:solidFill>
          </w14:textFill>
        </w:rPr>
        <w:t>增强长株潭辐射带动能力。</w:t>
      </w:r>
      <w:r>
        <w:rPr>
          <w:rFonts w:ascii="Times New Roman" w:hAnsi="Times New Roman" w:eastAsia="仿宋_GB2312" w:cs="Times New Roman"/>
          <w:color w:val="000000" w:themeColor="text1"/>
          <w:sz w:val="32"/>
          <w:szCs w:val="32"/>
          <w14:textFill>
            <w14:solidFill>
              <w14:schemeClr w14:val="tx1"/>
            </w14:solidFill>
          </w14:textFill>
        </w:rPr>
        <w:t>加快“3+5”环长株潭城市群联动发展，推动形成长岳、长益常、长韶娄等经济走廊，高标准建设长株潭衡“中国制造2025”示范城市群，将益阳、娄底建设成为长株潭都市圈的拓展区和辐射区，形成经济上紧密联系、功能上分工合作的城市聚合体。发挥长株潭高质量发展示范效应，加强与洞庭湖、湘南、湘西地区深层次合作，促进四大板块发挥比较优势协调发展。</w:t>
      </w:r>
    </w:p>
    <w:tbl>
      <w:tblPr>
        <w:tblStyle w:val="25"/>
        <w:tblW w:w="88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8895"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专栏13  长株潭一体化工程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8895" w:type="dxa"/>
            <w:shd w:val="clear" w:color="auto" w:fill="auto"/>
          </w:tcPr>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基础设施一体化。</w:t>
            </w:r>
            <w:r>
              <w:rPr>
                <w:rFonts w:ascii="Times New Roman" w:hAnsi="Times New Roman" w:cs="Times New Roman"/>
                <w:color w:val="000000" w:themeColor="text1"/>
                <w:sz w:val="24"/>
                <w:szCs w:val="24"/>
                <w14:textFill>
                  <w14:solidFill>
                    <w14:schemeClr w14:val="tx1"/>
                  </w14:solidFill>
                </w14:textFill>
              </w:rPr>
              <w:t>建设轨道上的长株潭，构建“一小时通勤圈”“一小时经济圈”和长沙为中心的“四小时国际航空经济圈”。以建设国家综合交通枢纽为目标，加快实施渝长厦通道常益长、长赣高铁，推动呼南高铁顺畅连接长沙。研究建设长九高铁、长沙至岳阳、长沙至衡阳（包含长沙西至湘潭北至株洲西）城际铁路。推进既有长株潭城际铁路“高密度、地铁化”运营。加快建设长株潭轨道交通西环线工程（山塘至湘潭北），规划建设长沙地铁6号线人民路站至株洲西、湘潭北至湘潭站至株洲西、长沙至宁乡、黄花机场至浏阳、长沙西-山塘站等市域轨道交通。建设长株潭环线高速公路，推动实施湘江长江下游段</w:t>
            </w:r>
            <w:r>
              <w:rPr>
                <w:rFonts w:hint="eastAsia" w:ascii="宋体" w:hAnsi="宋体" w:eastAsia="宋体" w:cs="宋体"/>
                <w:color w:val="000000" w:themeColor="text1"/>
                <w:sz w:val="24"/>
                <w:szCs w:val="24"/>
                <w14:textFill>
                  <w14:solidFill>
                    <w14:schemeClr w14:val="tx1"/>
                  </w14:solidFill>
                </w14:textFill>
              </w:rPr>
              <w:t>Ⅰ</w:t>
            </w:r>
            <w:r>
              <w:rPr>
                <w:rFonts w:ascii="Times New Roman" w:hAnsi="Times New Roman" w:cs="Times New Roman"/>
                <w:color w:val="000000" w:themeColor="text1"/>
                <w:sz w:val="24"/>
                <w:szCs w:val="24"/>
                <w14:textFill>
                  <w14:solidFill>
                    <w14:schemeClr w14:val="tx1"/>
                  </w14:solidFill>
                </w14:textFill>
              </w:rPr>
              <w:t>级航道工程。加快建设“四连线”项目，进一步完善“三干”项目附属配套设施及配套路网建设。全面建成长沙机场改扩建工程。共建长株潭国家物流枢纽。统筹推进城市更新工程。加强长株潭一体化水资源配置。</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产业发展一体化。</w:t>
            </w:r>
            <w:r>
              <w:rPr>
                <w:rFonts w:ascii="Times New Roman" w:hAnsi="Times New Roman" w:cs="Times New Roman"/>
                <w:color w:val="000000" w:themeColor="text1"/>
                <w:sz w:val="24"/>
                <w:szCs w:val="24"/>
                <w14:textFill>
                  <w14:solidFill>
                    <w14:schemeClr w14:val="tx1"/>
                  </w14:solidFill>
                </w14:textFill>
              </w:rPr>
              <w:t>共建以工程机械、轨道交通、航空动力为主的世界级高端装备智能制造产业集群，以金属新材料、化工新材料、显示功能新材料、先进硬质材料、先进储能材料为主的国内一流新材料产业集群，以现代传媒、设计咨询、高端会展、特色旅游为主的全国一流文化创意产业集群，打造国家重要先进制造业中心。着力推动长株潭三地产业园区深度合作，探索建立区域产业转移、园区合作共建、利益共享机制。加强长株潭产业链供应链一体化布局，提升重点产业链供应链衔接和配套能力。</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科技创新一体化。</w:t>
            </w:r>
            <w:r>
              <w:rPr>
                <w:rFonts w:ascii="Times New Roman" w:hAnsi="Times New Roman" w:cs="Times New Roman"/>
                <w:bCs/>
                <w:color w:val="000000" w:themeColor="text1"/>
                <w:sz w:val="24"/>
                <w:szCs w:val="24"/>
                <w14:textFill>
                  <w14:solidFill>
                    <w14:schemeClr w14:val="tx1"/>
                  </w14:solidFill>
                </w14:textFill>
              </w:rPr>
              <w:t>创建</w:t>
            </w:r>
            <w:r>
              <w:rPr>
                <w:rFonts w:ascii="Times New Roman" w:hAnsi="Times New Roman" w:cs="Times New Roman"/>
                <w:color w:val="000000" w:themeColor="text1"/>
                <w:sz w:val="24"/>
                <w:szCs w:val="24"/>
                <w14:textFill>
                  <w14:solidFill>
                    <w14:schemeClr w14:val="tx1"/>
                  </w14:solidFill>
                </w14:textFill>
              </w:rPr>
              <w:t>国家科技创新中心，建设“两区两山三中心”等重大科技创新平台，形成湘江西岸科技创新走廊，加快电力牵引轨道机车车辆国家技术创新中心、国家新能源机动车检测中心株洲分中心、湘潭院士创新产业园、油茶科创谷、港澳科创园等科技成果产业化基地建设，加快科研平台设施共建共享，联合开展核心关键技术攻关，共同打造具有核心竞争力的科技创新高地。</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改革开放一体化。</w:t>
            </w:r>
            <w:r>
              <w:rPr>
                <w:rFonts w:ascii="Times New Roman" w:hAnsi="Times New Roman" w:cs="Times New Roman"/>
                <w:color w:val="000000" w:themeColor="text1"/>
                <w:sz w:val="24"/>
                <w:szCs w:val="24"/>
                <w14:textFill>
                  <w14:solidFill>
                    <w14:schemeClr w14:val="tx1"/>
                  </w14:solidFill>
                </w14:textFill>
              </w:rPr>
              <w:t xml:space="preserve">加快金融、技术、土地、人力资源等要素市场一体化，建立区域科技资源共享服务平台和技术交易市场联盟，推进土地要素市场化配置，探索高端人才、紧缺型技术人才户籍互认，加快形成统一开放大市场。加快更高水平协同开放，高水平建设湖南自贸试验区长沙片区，辐射带动长株潭国家级经开区、高新区及海关特殊监管区域联动发展。共同打造世界级展会对外开放品牌，引进一批国内外企业生产基地、运营中心、物流中心、分拨中心、销售中心。支持优势企业“抱团出海”，参与“一带一路”建设。 </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公共服务一体化。</w:t>
            </w:r>
            <w:r>
              <w:rPr>
                <w:rFonts w:ascii="Times New Roman" w:hAnsi="Times New Roman" w:cs="Times New Roman"/>
                <w:color w:val="000000" w:themeColor="text1"/>
                <w:sz w:val="24"/>
                <w:szCs w:val="24"/>
                <w14:textFill>
                  <w14:solidFill>
                    <w14:schemeClr w14:val="tx1"/>
                  </w14:solidFill>
                </w14:textFill>
              </w:rPr>
              <w:t>推进教育、医疗、社保、养老、就业、户籍等公共服务一体化，实施公交、健康、社保、图书馆等“一卡通”。推动重大传染病联防联控、社会保险异地办理、养老保险信息互通，实施统一的基本医疗保险政策，推行住房公积金转移接续和异地贷款。合力打造教育特色品牌和智慧教育示范区，共建国家医学中心、区域医疗中心，规划建设湖南奥林匹克体育中心、湖南图书馆新馆等文体场馆设施。实行长株潭旅游“一票通”，共建高品质旅游走廊。</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生态环境一体化。</w:t>
            </w:r>
            <w:r>
              <w:rPr>
                <w:rFonts w:ascii="Times New Roman" w:hAnsi="Times New Roman" w:cs="Times New Roman"/>
                <w:color w:val="000000" w:themeColor="text1"/>
                <w:sz w:val="24"/>
                <w:szCs w:val="24"/>
                <w14:textFill>
                  <w14:solidFill>
                    <w14:schemeClr w14:val="tx1"/>
                  </w14:solidFill>
                </w14:textFill>
              </w:rPr>
              <w:t>建设长株潭“绿心”国家生态公园，推进长株潭绿色融合发展示范。加快推进清水塘改造、竹埠港生态修复和水府庙、浏阳河、捞刀河综合整治，加强湘江岸线管控及洲岛、沿岸湿地保护。建立区域PM</w:t>
            </w:r>
            <w:r>
              <w:rPr>
                <w:rFonts w:ascii="Times New Roman" w:hAnsi="Times New Roman" w:cs="Times New Roman"/>
                <w:color w:val="000000" w:themeColor="text1"/>
                <w:szCs w:val="24"/>
                <w:vertAlign w:val="subscript"/>
                <w14:textFill>
                  <w14:solidFill>
                    <w14:schemeClr w14:val="tx1"/>
                  </w14:solidFill>
                </w14:textFill>
              </w:rPr>
              <w:t>2.5</w:t>
            </w:r>
            <w:r>
              <w:rPr>
                <w:rFonts w:ascii="Times New Roman" w:hAnsi="Times New Roman" w:cs="Times New Roman"/>
                <w:color w:val="000000" w:themeColor="text1"/>
                <w:sz w:val="24"/>
                <w:szCs w:val="24"/>
                <w14:textFill>
                  <w14:solidFill>
                    <w14:schemeClr w14:val="tx1"/>
                  </w14:solidFill>
                </w14:textFill>
              </w:rPr>
              <w:t>、湘江水质、集中式饮用水水质、水土保持等一体化监测、预警和处置机制。严格落实长株潭生态绿心法治化保护。</w:t>
            </w:r>
          </w:p>
        </w:tc>
      </w:tr>
    </w:tbl>
    <w:p>
      <w:pPr>
        <w:numPr>
          <w:ilvl w:val="255"/>
          <w:numId w:val="0"/>
        </w:num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2" w:name="_Toc62051563"/>
      <w:r>
        <w:rPr>
          <w:rFonts w:ascii="Times New Roman" w:hAnsi="Times New Roman" w:eastAsia="楷体_GB2312" w:cs="Times New Roman"/>
          <w:b/>
          <w:bCs/>
          <w:color w:val="000000" w:themeColor="text1"/>
          <w:sz w:val="32"/>
          <w:szCs w:val="32"/>
          <w14:textFill>
            <w14:solidFill>
              <w14:schemeClr w14:val="tx1"/>
            </w14:solidFill>
          </w14:textFill>
        </w:rPr>
        <w:t>第二节  建设两大省域副中心城市</w:t>
      </w:r>
      <w:bookmarkEnd w:id="52"/>
    </w:p>
    <w:p>
      <w:pPr>
        <w:pStyle w:val="23"/>
        <w:spacing w:before="0" w:beforeAutospacing="0" w:after="0" w:afterAutospacing="0" w:line="568"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岳阳市。</w:t>
      </w:r>
      <w:r>
        <w:rPr>
          <w:rFonts w:ascii="Times New Roman" w:hAnsi="Times New Roman" w:eastAsia="仿宋_GB2312" w:cs="Times New Roman"/>
          <w:color w:val="000000" w:themeColor="text1"/>
          <w:sz w:val="32"/>
          <w:szCs w:val="32"/>
          <w14:textFill>
            <w14:solidFill>
              <w14:schemeClr w14:val="tx1"/>
            </w14:solidFill>
          </w14:textFill>
        </w:rPr>
        <w:t>用好用足通江达海优势，建设长江经济带绿色发展示范区。依托港口功能，上联成渝地区双城经济圈、下联长三角、内联一湖四水流域，建成港口型国际物流枢纽。依托铁路大通道，推动北联武汉、南联长沙、东联江西，密切跨省份城市之间的经济联动与创新协作，增强城市综合服务能级，打造“中三角”要素聚集流动的中心城市。构建现代化立体口岸开放体系，依托自贸试验区岳阳片区等开放平台，促进对接“一带一路”，扩大对外开放新空间和拓展力，打造内陆临港经济示范区和通江达海的开放引领区。依托现有产业基础，以</w:t>
      </w:r>
      <w:r>
        <w:rPr>
          <w:rFonts w:hint="eastAsia" w:ascii="Times New Roman" w:hAnsi="Times New Roman" w:eastAsia="仿宋_GB2312" w:cs="Times New Roman"/>
          <w:color w:val="000000" w:themeColor="text1"/>
          <w:sz w:val="32"/>
          <w:szCs w:val="32"/>
          <w14:textFill>
            <w14:solidFill>
              <w14:schemeClr w14:val="tx1"/>
            </w14:solidFill>
          </w14:textFill>
        </w:rPr>
        <w:t>石油化工</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先进装备、电子信息</w:t>
      </w:r>
      <w:r>
        <w:rPr>
          <w:rFonts w:ascii="Times New Roman" w:hAnsi="Times New Roman" w:eastAsia="仿宋_GB2312" w:cs="Times New Roman"/>
          <w:color w:val="000000" w:themeColor="text1"/>
          <w:sz w:val="32"/>
          <w:szCs w:val="32"/>
          <w14:textFill>
            <w14:solidFill>
              <w14:schemeClr w14:val="tx1"/>
            </w14:solidFill>
          </w14:textFill>
        </w:rPr>
        <w:t>为主导，加强</w:t>
      </w:r>
      <w:r>
        <w:rPr>
          <w:rFonts w:hint="eastAsia" w:ascii="Times New Roman" w:hAnsi="Times New Roman" w:eastAsia="仿宋_GB2312" w:cs="Times New Roman"/>
          <w:color w:val="000000" w:themeColor="text1"/>
          <w:sz w:val="32"/>
          <w:szCs w:val="32"/>
          <w14:textFill>
            <w14:solidFill>
              <w14:schemeClr w14:val="tx1"/>
            </w14:solidFill>
          </w14:textFill>
        </w:rPr>
        <w:t>产业链建设</w:t>
      </w:r>
      <w:r>
        <w:rPr>
          <w:rFonts w:ascii="Times New Roman" w:hAnsi="Times New Roman" w:eastAsia="仿宋_GB2312" w:cs="Times New Roman"/>
          <w:color w:val="000000" w:themeColor="text1"/>
          <w:sz w:val="32"/>
          <w:szCs w:val="32"/>
          <w14:textFill>
            <w14:solidFill>
              <w14:schemeClr w14:val="tx1"/>
            </w14:solidFill>
          </w14:textFill>
        </w:rPr>
        <w:t>，提升产业层级，构建长江百里绿色经济发展走廊，加快建设全省第二经济强市。到2025年，地区生产总值力争突破6000亿元。</w:t>
      </w:r>
    </w:p>
    <w:p>
      <w:pPr>
        <w:pStyle w:val="23"/>
        <w:spacing w:before="0" w:beforeAutospacing="0" w:after="0" w:afterAutospacing="0" w:line="568"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衡阳市。</w:t>
      </w:r>
      <w:r>
        <w:rPr>
          <w:rFonts w:ascii="Times New Roman" w:hAnsi="Times New Roman" w:eastAsia="仿宋_GB2312" w:cs="Times New Roman"/>
          <w:color w:val="000000" w:themeColor="text1"/>
          <w:sz w:val="32"/>
          <w:szCs w:val="32"/>
          <w14:textFill>
            <w14:solidFill>
              <w14:schemeClr w14:val="tx1"/>
            </w14:solidFill>
          </w14:textFill>
        </w:rPr>
        <w:t>发挥老工业基地和交通枢纽优势，当好承接产业转移领头雁，加快形成工业品“大湾区研发、衡阳生产分拨”和农产品“衡阳加工集散、大湾区消费”的产业协同格局，做大做强先进装备、特色材料、轻工消费品</w:t>
      </w:r>
      <w:r>
        <w:rPr>
          <w:rFonts w:hint="eastAsia" w:ascii="Times New Roman" w:hAnsi="Times New Roman" w:eastAsia="仿宋_GB2312" w:cs="Times New Roman"/>
          <w:color w:val="000000" w:themeColor="text1"/>
          <w:sz w:val="32"/>
          <w:szCs w:val="32"/>
          <w14:textFill>
            <w14:solidFill>
              <w14:schemeClr w14:val="tx1"/>
            </w14:solidFill>
          </w14:textFill>
        </w:rPr>
        <w:t>、数字经济</w:t>
      </w:r>
      <w:r>
        <w:rPr>
          <w:rFonts w:ascii="Times New Roman" w:hAnsi="Times New Roman" w:eastAsia="仿宋_GB2312" w:cs="Times New Roman"/>
          <w:color w:val="000000" w:themeColor="text1"/>
          <w:sz w:val="32"/>
          <w:szCs w:val="32"/>
          <w14:textFill>
            <w14:solidFill>
              <w14:schemeClr w14:val="tx1"/>
            </w14:solidFill>
          </w14:textFill>
        </w:rPr>
        <w:t>等主导产业，推进传统产业链和新兴产业链建链补链延链强链，建设现代产业强市。全面提升衡阳在湘南、粤北、赣西、桂东北等区域的集聚承载能力，</w:t>
      </w:r>
      <w:r>
        <w:rPr>
          <w:rFonts w:hint="eastAsia" w:ascii="Times New Roman" w:hAnsi="Times New Roman" w:eastAsia="仿宋_GB2312" w:cs="Times New Roman"/>
          <w:color w:val="000000" w:themeColor="text1"/>
          <w:sz w:val="32"/>
          <w:szCs w:val="32"/>
          <w14:textFill>
            <w14:solidFill>
              <w14:schemeClr w14:val="tx1"/>
            </w14:solidFill>
          </w14:textFill>
        </w:rPr>
        <w:t>优化城市空间，</w:t>
      </w:r>
      <w:r>
        <w:rPr>
          <w:rFonts w:ascii="Times New Roman" w:hAnsi="Times New Roman" w:eastAsia="仿宋_GB2312" w:cs="Times New Roman"/>
          <w:color w:val="000000" w:themeColor="text1"/>
          <w:sz w:val="32"/>
          <w:szCs w:val="32"/>
          <w14:textFill>
            <w14:solidFill>
              <w14:schemeClr w14:val="tx1"/>
            </w14:solidFill>
          </w14:textFill>
        </w:rPr>
        <w:t>布局建设区域性基础设施节点，完善综合物流、生产组织、现代商贸等区域性枢纽功能，成为湖南省连通长江经济带与粤港澳大湾区国际投资贸易走廊的重要支点，打造区域性经济中心和现代消费中心。到2025年，地区生产总值力争达到5500亿元左右。</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3" w:name="_Toc62051564"/>
      <w:r>
        <w:rPr>
          <w:rFonts w:ascii="Times New Roman" w:hAnsi="Times New Roman" w:eastAsia="楷体_GB2312" w:cs="Times New Roman"/>
          <w:b/>
          <w:bCs/>
          <w:color w:val="000000" w:themeColor="text1"/>
          <w:sz w:val="32"/>
          <w:szCs w:val="32"/>
          <w14:textFill>
            <w14:solidFill>
              <w14:schemeClr w14:val="tx1"/>
            </w14:solidFill>
          </w14:textFill>
        </w:rPr>
        <w:t>第三节  打造三条高铁经济带</w:t>
      </w:r>
      <w:bookmarkEnd w:id="53"/>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打造京广高铁经济带。</w:t>
      </w:r>
      <w:r>
        <w:rPr>
          <w:rFonts w:ascii="Times New Roman" w:hAnsi="Times New Roman" w:eastAsia="仿宋_GB2312" w:cs="Times New Roman"/>
          <w:color w:val="000000" w:themeColor="text1"/>
          <w:kern w:val="0"/>
          <w:sz w:val="32"/>
          <w:szCs w:val="32"/>
          <w14:textFill>
            <w14:solidFill>
              <w14:schemeClr w14:val="tx1"/>
            </w14:solidFill>
          </w14:textFill>
        </w:rPr>
        <w:t>以南北深入对接、整体融通互动为方向，对外加强与京津冀、中原城市群、武汉都市圈和粤港澳大湾区的纵深联系，对内带动“一核两副”及郴州等城市间的串联协同，加快发展高铁客货运和空铁港联运，推动沿线城市的人员流动、产业集聚、要素共享、功能整合和市场融通，打造以先进制造业为主的高端产业走廊、联通长江经济带与粤港澳大湾区的国际投资贸易走廊、以人流物流消费流为特点的现代服务业示范带，增强对全省经济发展的支撑力和带动力。</w:t>
      </w:r>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打造沪昆高铁经济带。</w:t>
      </w:r>
      <w:r>
        <w:rPr>
          <w:rFonts w:ascii="Times New Roman" w:hAnsi="Times New Roman" w:eastAsia="仿宋_GB2312" w:cs="Times New Roman"/>
          <w:color w:val="000000" w:themeColor="text1"/>
          <w:kern w:val="0"/>
          <w:sz w:val="32"/>
          <w:szCs w:val="32"/>
          <w14:textFill>
            <w14:solidFill>
              <w14:schemeClr w14:val="tx1"/>
            </w14:solidFill>
          </w14:textFill>
        </w:rPr>
        <w:t>以横贯东西节点、提升带动功能为重点，建设促进东中西部经济循环畅通的大通道，密切与长三角的经济联系和往来，增强西联贵州、云南的重要旅游通道功能，大幅提升沿线城市的经济关联度和活跃度。有力增强怀化、邵阳、娄底等城市的承载集聚和开放交流能力，建设成为沪昆沿线的重要节点城市，形成现代制造、文旅康养、生物医药、商贸物流等产业特色鲜明的经济带，更好带动湘中和大湘西地区开放发展，打造东西向高效经济走廊。</w:t>
      </w:r>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打造渝长厦高铁经济带。</w:t>
      </w:r>
      <w:r>
        <w:rPr>
          <w:rFonts w:ascii="Times New Roman" w:hAnsi="Times New Roman" w:eastAsia="仿宋_GB2312" w:cs="Times New Roman"/>
          <w:color w:val="000000" w:themeColor="text1"/>
          <w:kern w:val="0"/>
          <w:sz w:val="32"/>
          <w:szCs w:val="32"/>
          <w14:textFill>
            <w14:solidFill>
              <w14:schemeClr w14:val="tx1"/>
            </w14:solidFill>
          </w14:textFill>
        </w:rPr>
        <w:t>以打通通道、集聚优势为目标，建设东接海上丝绸之路、西联成渝地区双城经济圈、南通粤港澳大湾区的新高铁经济带。深入挖掘和整合沿线文化、旅游、农业、生物、生态等资源，全面激发益阳、常德、张家界、湘西等沿线市县的经济活力和发展潜力，打造全国具有比较优势的生态文化旅游带、优质农产品供应带、中部消费经济带，</w:t>
      </w:r>
      <w:r>
        <w:rPr>
          <w:rFonts w:ascii="Times New Roman" w:hAnsi="Times New Roman" w:eastAsia="仿宋_GB2312" w:cs="Times New Roman"/>
          <w:color w:val="000000" w:themeColor="text1"/>
          <w:sz w:val="32"/>
          <w:szCs w:val="32"/>
          <w14:textFill>
            <w14:solidFill>
              <w14:schemeClr w14:val="tx1"/>
            </w14:solidFill>
          </w14:textFill>
        </w:rPr>
        <w:t>将常德建设成为湘西北连接长株潭都市圈和成渝地区双城经济圈的重要节点。</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4" w:name="_Toc62051565"/>
      <w:r>
        <w:rPr>
          <w:rFonts w:ascii="Times New Roman" w:hAnsi="Times New Roman" w:eastAsia="楷体_GB2312" w:cs="Times New Roman"/>
          <w:b/>
          <w:bCs/>
          <w:color w:val="000000" w:themeColor="text1"/>
          <w:sz w:val="32"/>
          <w:szCs w:val="32"/>
          <w14:textFill>
            <w14:solidFill>
              <w14:schemeClr w14:val="tx1"/>
            </w14:solidFill>
          </w14:textFill>
        </w:rPr>
        <w:t>第四节  推动四大板块协调发展</w:t>
      </w:r>
      <w:bookmarkEnd w:id="54"/>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推进长株潭地区一体化发展。</w:t>
      </w:r>
      <w:r>
        <w:rPr>
          <w:rFonts w:ascii="Times New Roman" w:hAnsi="Times New Roman" w:eastAsia="仿宋_GB2312" w:cs="Times New Roman"/>
          <w:color w:val="000000" w:themeColor="text1"/>
          <w:sz w:val="32"/>
          <w:szCs w:val="32"/>
          <w14:textFill>
            <w14:solidFill>
              <w14:schemeClr w14:val="tx1"/>
            </w14:solidFill>
          </w14:textFill>
        </w:rPr>
        <w:t>强化长沙龙头带动作用，发挥株洲、湘潭比较优势，加快推进一体化步伐，促进基础设施互联互通、成环成网，产业互补互助、成链成群，重点发展高端装备制造、先进半导体和智能终端、生物医药、新材料等高技术制造业，积极布局前沿和未来产业，共建世界级产业集群和具有核心竞争力的现代产业体系，成为全国城市群一体化发展示范区。长沙以装备制造、新材料、电子信息、生物医药为主导，建设国家重要先进制造业中心。株洲以轨道交通、航空航天、新能源汽车为主导，建设株洲</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中国动力谷。湘潭以智能装备制造、汽车及零部件、精品钢材及深加工为主导，建设智造谷。娄底以钢铁新材、工程机械、现代物流为主导，建设先进制造配套区和长株潭现代物流服务区。</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促进洞庭湖生态经济区绿色发展。</w:t>
      </w:r>
      <w:r>
        <w:rPr>
          <w:rFonts w:ascii="Times New Roman" w:hAnsi="Times New Roman" w:eastAsia="仿宋_GB2312" w:cs="Times New Roman"/>
          <w:color w:val="000000" w:themeColor="text1"/>
          <w:sz w:val="32"/>
          <w:szCs w:val="32"/>
          <w14:textFill>
            <w14:solidFill>
              <w14:schemeClr w14:val="tx1"/>
            </w14:solidFill>
          </w14:textFill>
        </w:rPr>
        <w:t>发挥临江临湖区位优势，建立湖区特有的生态产业和合理的经济结构，大力发展绿色品牌农业、滨水产业、港口经济，积极发展与长株潭相衔接的电子信息和机械装备制造。</w:t>
      </w:r>
      <w:r>
        <w:rPr>
          <w:rFonts w:ascii="Times New Roman" w:hAnsi="Times New Roman" w:eastAsia="仿宋_GB2312" w:cs="Times New Roman"/>
          <w:bCs/>
          <w:color w:val="000000" w:themeColor="text1"/>
          <w:sz w:val="32"/>
          <w:szCs w:val="32"/>
          <w14:textFill>
            <w14:solidFill>
              <w14:schemeClr w14:val="tx1"/>
            </w14:solidFill>
          </w14:textFill>
        </w:rPr>
        <w:t>加快恢复良好的洞庭湖生态环境，以岳阳副中心为龙头建设环湖城镇群，实现津澧融城，</w:t>
      </w:r>
      <w:r>
        <w:rPr>
          <w:rFonts w:ascii="Times New Roman" w:hAnsi="Times New Roman" w:eastAsia="仿宋_GB2312" w:cs="Times New Roman"/>
          <w:color w:val="000000" w:themeColor="text1"/>
          <w:sz w:val="32"/>
          <w:szCs w:val="32"/>
          <w14:textFill>
            <w14:solidFill>
              <w14:schemeClr w14:val="tx1"/>
            </w14:solidFill>
          </w14:textFill>
        </w:rPr>
        <w:t>建成秀美富饶的大湖经济区。支持常德打造全国综合交通枢纽和现代化物流枢纽，布局发展工程机械、生物医药、大健康等主导产业，建设全省重要先进制造业基地和全国生态农产品基地。支持益阳打造全国大湖流域生态文明建设试验区，重点发展电子信息、食品轻纺、特色装备</w:t>
      </w:r>
      <w:r>
        <w:rPr>
          <w:rFonts w:hint="eastAsia" w:ascii="Times New Roman" w:hAnsi="Times New Roman" w:eastAsia="仿宋_GB2312" w:cs="Times New Roman"/>
          <w:color w:val="000000" w:themeColor="text1"/>
          <w:sz w:val="32"/>
          <w:szCs w:val="32"/>
          <w14:textFill>
            <w14:solidFill>
              <w14:schemeClr w14:val="tx1"/>
            </w14:solidFill>
          </w14:textFill>
        </w:rPr>
        <w:t>、碳基材料</w:t>
      </w:r>
      <w:r>
        <w:rPr>
          <w:rFonts w:ascii="Times New Roman" w:hAnsi="Times New Roman" w:eastAsia="仿宋_GB2312" w:cs="Times New Roman"/>
          <w:color w:val="000000" w:themeColor="text1"/>
          <w:sz w:val="32"/>
          <w:szCs w:val="32"/>
          <w14:textFill>
            <w14:solidFill>
              <w14:schemeClr w14:val="tx1"/>
            </w14:solidFill>
          </w14:textFill>
        </w:rPr>
        <w:t>等主导产业，建设数字产业集聚区。</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加快湘南地区开放发展。</w:t>
      </w:r>
      <w:r>
        <w:rPr>
          <w:rFonts w:ascii="Times New Roman" w:hAnsi="Times New Roman" w:eastAsia="仿宋_GB2312" w:cs="Times New Roman"/>
          <w:color w:val="000000" w:themeColor="text1"/>
          <w:sz w:val="32"/>
          <w:szCs w:val="32"/>
          <w14:textFill>
            <w14:solidFill>
              <w14:schemeClr w14:val="tx1"/>
            </w14:solidFill>
          </w14:textFill>
        </w:rPr>
        <w:t>充分发挥承接产业转移示范区平台功能，以衡阳副中心建设为引领，加强与粤港</w:t>
      </w:r>
      <w:r>
        <w:rPr>
          <w:rFonts w:ascii="Times New Roman" w:hAnsi="Times New Roman" w:eastAsia="仿宋_GB2312" w:cs="Times New Roman"/>
          <w:color w:val="000000" w:themeColor="text1"/>
          <w:spacing w:val="-11"/>
          <w:sz w:val="32"/>
          <w:szCs w:val="32"/>
          <w14:textFill>
            <w14:solidFill>
              <w14:schemeClr w14:val="tx1"/>
            </w14:solidFill>
          </w14:textFill>
        </w:rPr>
        <w:t>澳大湾区、北部湾、东盟等区域合作，</w:t>
      </w:r>
      <w:r>
        <w:rPr>
          <w:rFonts w:ascii="Times New Roman" w:hAnsi="Times New Roman" w:eastAsia="仿宋_GB2312" w:cs="Times New Roman"/>
          <w:color w:val="000000" w:themeColor="text1"/>
          <w:sz w:val="32"/>
          <w:szCs w:val="32"/>
          <w14:textFill>
            <w14:solidFill>
              <w14:schemeClr w14:val="tx1"/>
            </w14:solidFill>
          </w14:textFill>
        </w:rPr>
        <w:t>着力引进发展有比较优势的特色材料、特色生物轻纺、特色机械和电子消费品及零部件，打造新兴产业承接带和科技产业配套基地，建成中西部地区内陆开放合作示范区。支持郴州以新材料、电子信息、高端装备制造等产业为主导，建设区域绿色产业示范基地，打造对接粤港澳大湾区重要增长极。支持永州布局发展食品轻工、生物医药、新材料等主导产业，建设粤港澳大湾区优质农副产品供应基地，打造湘粤桂省际区域枢纽城市。</w:t>
      </w:r>
    </w:p>
    <w:p>
      <w:pPr>
        <w:pStyle w:val="45"/>
        <w:spacing w:line="568" w:lineRule="exact"/>
        <w:ind w:firstLine="634"/>
        <w:rPr>
          <w:rFonts w:ascii="Times New Roman" w:hAnsi="Times New Roman"/>
          <w:bCs/>
          <w:color w:val="000000" w:themeColor="text1"/>
          <w:sz w:val="32"/>
          <w:szCs w:val="32"/>
          <w14:textFill>
            <w14:solidFill>
              <w14:schemeClr w14:val="tx1"/>
            </w14:solidFill>
          </w14:textFill>
        </w:rPr>
      </w:pPr>
      <w:r>
        <w:rPr>
          <w:rFonts w:ascii="Times New Roman" w:hAnsi="Times New Roman"/>
          <w:b/>
          <w:color w:val="000000" w:themeColor="text1"/>
          <w:spacing w:val="-2"/>
          <w:sz w:val="32"/>
          <w:szCs w:val="32"/>
          <w14:textFill>
            <w14:solidFill>
              <w14:schemeClr w14:val="tx1"/>
            </w14:solidFill>
          </w14:textFill>
        </w:rPr>
        <w:t>提升大湘西地区开发水平。</w:t>
      </w:r>
      <w:r>
        <w:rPr>
          <w:rFonts w:ascii="Times New Roman" w:hAnsi="Times New Roman"/>
          <w:color w:val="000000" w:themeColor="text1"/>
          <w:spacing w:val="-2"/>
          <w:sz w:val="32"/>
          <w:szCs w:val="32"/>
          <w14:textFill>
            <w14:solidFill>
              <w14:schemeClr w14:val="tx1"/>
            </w14:solidFill>
          </w14:textFill>
        </w:rPr>
        <w:t>落实湘西地区开发各项优惠政策，</w:t>
      </w:r>
      <w:r>
        <w:rPr>
          <w:rFonts w:ascii="Times New Roman" w:hAnsi="Times New Roman"/>
          <w:color w:val="000000" w:themeColor="text1"/>
          <w:sz w:val="32"/>
          <w:szCs w:val="32"/>
          <w14:textFill>
            <w14:solidFill>
              <w14:schemeClr w14:val="tx1"/>
            </w14:solidFill>
          </w14:textFill>
        </w:rPr>
        <w:t>以生态产业为导向，</w:t>
      </w:r>
      <w:r>
        <w:rPr>
          <w:rFonts w:ascii="Times New Roman" w:hAnsi="Times New Roman"/>
          <w:color w:val="000000" w:themeColor="text1"/>
          <w:spacing w:val="-2"/>
          <w:sz w:val="32"/>
          <w:szCs w:val="32"/>
          <w14:textFill>
            <w14:solidFill>
              <w14:schemeClr w14:val="tx1"/>
            </w14:solidFill>
          </w14:textFill>
        </w:rPr>
        <w:t>承接产业转移，大力发展特色材料、文化旅游、商贸物流、食品医药等产业，将大湘西地区建成脱贫地区高质量发展先行区、承接产业转移和特色优势产业发展集聚区、生态安全保障区。支持湘西自治州建设对接成渝地区双城经济圈和</w:t>
      </w:r>
      <w:r>
        <w:rPr>
          <w:rFonts w:hint="eastAsia" w:ascii="Times New Roman" w:hAnsi="Times New Roman"/>
          <w:color w:val="000000" w:themeColor="text1"/>
          <w:spacing w:val="-2"/>
          <w:sz w:val="32"/>
          <w:szCs w:val="32"/>
          <w14:textFill>
            <w14:solidFill>
              <w14:schemeClr w14:val="tx1"/>
            </w14:solidFill>
          </w14:textFill>
        </w:rPr>
        <w:t>面向西南的重要交通枢纽</w:t>
      </w:r>
      <w:r>
        <w:rPr>
          <w:rFonts w:ascii="Times New Roman" w:hAnsi="Times New Roman"/>
          <w:color w:val="000000" w:themeColor="text1"/>
          <w:spacing w:val="-2"/>
          <w:sz w:val="32"/>
          <w:szCs w:val="32"/>
          <w14:textFill>
            <w14:solidFill>
              <w14:schemeClr w14:val="tx1"/>
            </w14:solidFill>
          </w14:textFill>
        </w:rPr>
        <w:t>，布局发展文化旅游、特色材料、</w:t>
      </w:r>
      <w:r>
        <w:rPr>
          <w:rFonts w:hint="eastAsia" w:ascii="Times New Roman" w:hAnsi="Times New Roman"/>
          <w:color w:val="000000" w:themeColor="text1"/>
          <w:spacing w:val="-2"/>
          <w:sz w:val="32"/>
          <w:szCs w:val="32"/>
          <w14:textFill>
            <w14:solidFill>
              <w14:schemeClr w14:val="tx1"/>
            </w14:solidFill>
          </w14:textFill>
        </w:rPr>
        <w:t>生物科技、食品加工</w:t>
      </w:r>
      <w:r>
        <w:rPr>
          <w:rFonts w:ascii="Times New Roman" w:hAnsi="Times New Roman"/>
          <w:color w:val="000000" w:themeColor="text1"/>
          <w:spacing w:val="-2"/>
          <w:sz w:val="32"/>
          <w:szCs w:val="32"/>
          <w14:textFill>
            <w14:solidFill>
              <w14:schemeClr w14:val="tx1"/>
            </w14:solidFill>
          </w14:textFill>
        </w:rPr>
        <w:t>等主导产业，打造</w:t>
      </w:r>
      <w:r>
        <w:rPr>
          <w:rFonts w:hint="eastAsia" w:ascii="Times New Roman" w:hAnsi="Times New Roman"/>
          <w:color w:val="000000" w:themeColor="text1"/>
          <w:spacing w:val="-2"/>
          <w:sz w:val="32"/>
          <w:szCs w:val="32"/>
          <w14:textFill>
            <w14:solidFill>
              <w14:schemeClr w14:val="tx1"/>
            </w14:solidFill>
          </w14:textFill>
        </w:rPr>
        <w:t>文旅融合绿色发展先行区</w:t>
      </w:r>
      <w:r>
        <w:rPr>
          <w:rFonts w:ascii="Times New Roman" w:hAnsi="Times New Roman"/>
          <w:color w:val="000000" w:themeColor="text1"/>
          <w:spacing w:val="-2"/>
          <w:sz w:val="32"/>
          <w:szCs w:val="32"/>
          <w14:textFill>
            <w14:solidFill>
              <w14:schemeClr w14:val="tx1"/>
            </w14:solidFill>
          </w14:textFill>
        </w:rPr>
        <w:t>。张家界重点发展生态旅游、生物医药、特色食品等绿色生态产业，打造国家全域旅游示范区和世界绿谷。怀化加快建设对接西部陆海新通道战略门户城市，突出发展食品医药、新材料（精细化工）、商贸物流产业，打造五省边区生物医药产业基地。邵阳着力建设湖南对接东盟地区的产业集聚区，重点布局显示功能材料、特色轻工、工程装备产业，打造国际先进水平的“特种玻璃谷”。</w:t>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图2  “一核两副三带四区”区域格局示意图</w:t>
      </w:r>
    </w:p>
    <w:p>
      <w:pPr>
        <w:widowControl/>
        <w:jc w:val="center"/>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drawing>
          <wp:inline distT="0" distB="0" distL="0" distR="0">
            <wp:extent cx="5549900" cy="732599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4" cstate="print">
                      <a:extLst>
                        <a:ext uri="{28A0092B-C50C-407E-A947-70E740481C1C}">
                          <a14:useLocalDpi xmlns:a14="http://schemas.microsoft.com/office/drawing/2010/main" val="false"/>
                        </a:ext>
                      </a:extLst>
                    </a:blip>
                    <a:srcRect l="4572" t="7084" r="4952" b="5825"/>
                    <a:stretch>
                      <a:fillRect/>
                    </a:stretch>
                  </pic:blipFill>
                  <pic:spPr>
                    <a:xfrm>
                      <a:off x="0" y="0"/>
                      <a:ext cx="5548492" cy="7324011"/>
                    </a:xfrm>
                    <a:prstGeom prst="rect">
                      <a:avLst/>
                    </a:prstGeom>
                    <a:ln>
                      <a:noFill/>
                    </a:ln>
                  </pic:spPr>
                </pic:pic>
              </a:graphicData>
            </a:graphic>
          </wp:inline>
        </w:drawing>
      </w:r>
    </w:p>
    <w:p>
      <w:pPr>
        <w:widowControl/>
        <w:jc w:val="left"/>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br w:type="page"/>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5" w:name="_Toc62051566"/>
      <w:r>
        <w:rPr>
          <w:rFonts w:ascii="Times New Roman" w:hAnsi="Times New Roman" w:eastAsia="楷体_GB2312" w:cs="Times New Roman"/>
          <w:b/>
          <w:bCs/>
          <w:color w:val="000000" w:themeColor="text1"/>
          <w:sz w:val="32"/>
          <w:szCs w:val="32"/>
          <w14:textFill>
            <w14:solidFill>
              <w14:schemeClr w14:val="tx1"/>
            </w14:solidFill>
          </w14:textFill>
        </w:rPr>
        <w:t>第五节  加快特殊类型地区振兴</w:t>
      </w:r>
      <w:bookmarkEnd w:id="55"/>
    </w:p>
    <w:p>
      <w:pPr>
        <w:spacing w:line="568" w:lineRule="exact"/>
        <w:ind w:firstLine="629"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促进革命老区振兴发展。</w:t>
      </w:r>
      <w:r>
        <w:rPr>
          <w:rFonts w:ascii="Times New Roman" w:hAnsi="Times New Roman" w:eastAsia="仿宋_GB2312" w:cs="Times New Roman"/>
          <w:color w:val="000000" w:themeColor="text1"/>
          <w:sz w:val="32"/>
          <w:szCs w:val="32"/>
          <w14:textFill>
            <w14:solidFill>
              <w14:schemeClr w14:val="tx1"/>
            </w14:solidFill>
          </w14:textFill>
        </w:rPr>
        <w:t>以湘赣边、湘鄂渝黔等为重点，加强红色传承和绿色发展，完善特色产业体系和基本公共服务体系。加快湘赣边区域合作示范区建设，促进基础设施联通、产业发展协同，打造“湘赣红”区域特色农业品牌，建成红色文旅融合发展创新区。支持湘赣边与赣南等原中央苏区区域协同发展。支持湘鄂渝黔革命老区跨省区域合作，在红色文化资源保护开发利用、特色产业布局、基础设施建设等方面增强交流与合作，促进绿色创新发展。支持湘鄂渝黔革命老区对接长江经济带发展。</w:t>
      </w:r>
    </w:p>
    <w:p>
      <w:pPr>
        <w:spacing w:line="568"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推动民族地区聚力向心发展。</w:t>
      </w:r>
      <w:r>
        <w:rPr>
          <w:rFonts w:ascii="Times New Roman" w:hAnsi="Times New Roman" w:eastAsia="仿宋_GB2312" w:cs="Times New Roman"/>
          <w:bCs/>
          <w:color w:val="000000" w:themeColor="text1"/>
          <w:sz w:val="32"/>
          <w:szCs w:val="32"/>
          <w14:textFill>
            <w14:solidFill>
              <w14:schemeClr w14:val="tx1"/>
            </w14:solidFill>
          </w14:textFill>
        </w:rPr>
        <w:t>以</w:t>
      </w:r>
      <w:r>
        <w:rPr>
          <w:rFonts w:hint="eastAsia" w:ascii="Times New Roman" w:hAnsi="Times New Roman" w:eastAsia="仿宋_GB2312" w:cs="Times New Roman"/>
          <w:bCs/>
          <w:color w:val="000000" w:themeColor="text1"/>
          <w:sz w:val="32"/>
          <w:szCs w:val="32"/>
          <w14:textFill>
            <w14:solidFill>
              <w14:schemeClr w14:val="tx1"/>
            </w14:solidFill>
          </w14:textFill>
        </w:rPr>
        <w:t>铸</w:t>
      </w:r>
      <w:r>
        <w:rPr>
          <w:rFonts w:ascii="Times New Roman" w:hAnsi="Times New Roman" w:eastAsia="仿宋_GB2312" w:cs="Times New Roman"/>
          <w:bCs/>
          <w:color w:val="000000" w:themeColor="text1"/>
          <w:sz w:val="32"/>
          <w:szCs w:val="32"/>
          <w14:textFill>
            <w14:solidFill>
              <w14:schemeClr w14:val="tx1"/>
            </w14:solidFill>
          </w14:textFill>
        </w:rPr>
        <w:t>牢中华民族共同体意识为主线，深化</w:t>
      </w:r>
      <w:r>
        <w:rPr>
          <w:rFonts w:hint="eastAsia" w:ascii="Times New Roman" w:hAnsi="Times New Roman" w:eastAsia="仿宋_GB2312" w:cs="Times New Roman"/>
          <w:bCs/>
          <w:color w:val="000000" w:themeColor="text1"/>
          <w:sz w:val="32"/>
          <w:szCs w:val="32"/>
          <w14:textFill>
            <w14:solidFill>
              <w14:schemeClr w14:val="tx1"/>
            </w14:solidFill>
          </w14:textFill>
        </w:rPr>
        <w:t>各</w:t>
      </w:r>
      <w:r>
        <w:rPr>
          <w:rFonts w:ascii="Times New Roman" w:hAnsi="Times New Roman" w:eastAsia="仿宋_GB2312" w:cs="Times New Roman"/>
          <w:bCs/>
          <w:color w:val="000000" w:themeColor="text1"/>
          <w:sz w:val="32"/>
          <w:szCs w:val="32"/>
          <w14:textFill>
            <w14:solidFill>
              <w14:schemeClr w14:val="tx1"/>
            </w14:solidFill>
          </w14:textFill>
        </w:rPr>
        <w:t>民族交往交流交融，开展民族团结进步创建工作，落实民族政策法规和帮扶举措，</w:t>
      </w:r>
      <w:r>
        <w:rPr>
          <w:rFonts w:hint="eastAsia" w:ascii="Times New Roman" w:hAnsi="Times New Roman" w:eastAsia="仿宋_GB2312" w:cs="Times New Roman"/>
          <w:bCs/>
          <w:color w:val="000000" w:themeColor="text1"/>
          <w:sz w:val="32"/>
          <w:szCs w:val="32"/>
          <w14:textFill>
            <w14:solidFill>
              <w14:schemeClr w14:val="tx1"/>
            </w14:solidFill>
          </w14:textFill>
        </w:rPr>
        <w:t>促进各民族共同团结奋斗、共同繁荣发展。</w:t>
      </w:r>
      <w:r>
        <w:rPr>
          <w:rFonts w:ascii="Times New Roman" w:hAnsi="Times New Roman" w:eastAsia="仿宋_GB2312" w:cs="Times New Roman"/>
          <w:bCs/>
          <w:color w:val="000000" w:themeColor="text1"/>
          <w:sz w:val="32"/>
          <w:szCs w:val="32"/>
          <w14:textFill>
            <w14:solidFill>
              <w14:schemeClr w14:val="tx1"/>
            </w14:solidFill>
          </w14:textFill>
        </w:rPr>
        <w:t>保护传承特色民族文化，支持武陵山区（湘西）土家族苗族文化生态保护区建设，构筑各民族共有精神家园。做好对口援藏、援疆工作。</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促进资源型地区可持续发展。</w:t>
      </w:r>
      <w:r>
        <w:rPr>
          <w:rFonts w:ascii="Times New Roman" w:hAnsi="Times New Roman" w:eastAsia="仿宋_GB2312" w:cs="Times New Roman"/>
          <w:color w:val="000000" w:themeColor="text1"/>
          <w:sz w:val="32"/>
          <w:szCs w:val="32"/>
          <w14:textFill>
            <w14:solidFill>
              <w14:schemeClr w14:val="tx1"/>
            </w14:solidFill>
          </w14:textFill>
        </w:rPr>
        <w:t>加快转变资源型地区发展方式，构建多元支撑、多点发展的现代产业体系，建设一批接续替代产业园区和集聚区，提高资源枯竭城市转型发展质量。深入推进采煤沉陷区综合治理，逐步恢复生态环境。引导独立工矿区因地制宜改造提升，积极探索各具特色的改造路径。</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加快老工业地区转型发展。</w:t>
      </w:r>
      <w:r>
        <w:rPr>
          <w:rFonts w:ascii="Times New Roman" w:hAnsi="Times New Roman" w:eastAsia="仿宋_GB2312" w:cs="Times New Roman"/>
          <w:color w:val="000000" w:themeColor="text1"/>
          <w:sz w:val="32"/>
          <w:szCs w:val="32"/>
          <w14:textFill>
            <w14:solidFill>
              <w14:schemeClr w14:val="tx1"/>
            </w14:solidFill>
          </w14:textFill>
        </w:rPr>
        <w:t>推进老工业城市制造业竞争优势重构，做精做强支柱产业，加快“工业老城”向“产业名城”转变。加大工业遗产保护利用力度，推进重点保护展示。</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支持生态退化地区保护修复。</w:t>
      </w:r>
      <w:r>
        <w:rPr>
          <w:rFonts w:ascii="Times New Roman" w:hAnsi="Times New Roman" w:eastAsia="仿宋_GB2312" w:cs="Times New Roman"/>
          <w:color w:val="000000" w:themeColor="text1"/>
          <w:sz w:val="32"/>
          <w:szCs w:val="32"/>
          <w14:textFill>
            <w14:solidFill>
              <w14:schemeClr w14:val="tx1"/>
            </w14:solidFill>
          </w14:textFill>
        </w:rPr>
        <w:t>进一步加大武陵山片区、南岭山地、湘中盆地、罗霄-幕阜山片区生态退化地区综合治理，科学合理配置保护和修复、自然和人工、生物和工程等措施，统筹实施天然林保护、退耕还林还草、防护林体系建设、水土流失和石漠化综合治理、土地综合整治、矿山生态修复等工程，推进一体化生态保护和修复。</w:t>
      </w:r>
    </w:p>
    <w:tbl>
      <w:tblPr>
        <w:tblStyle w:val="25"/>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952" w:type="dxa"/>
          </w:tcPr>
          <w:p>
            <w:pPr>
              <w:ind w:firstLine="28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专栏14  特殊类型地区振兴工程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52" w:type="dxa"/>
          </w:tcPr>
          <w:p>
            <w:pPr>
              <w:tabs>
                <w:tab w:val="center" w:pos="4153"/>
                <w:tab w:val="right" w:pos="8306"/>
              </w:tabs>
              <w:snapToGrid w:val="0"/>
              <w:spacing w:line="310" w:lineRule="exact"/>
              <w:ind w:firstLine="481"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湘赣边区域合作示范区建设十大工程。</w:t>
            </w:r>
            <w:r>
              <w:rPr>
                <w:rFonts w:ascii="Times New Roman" w:hAnsi="Times New Roman" w:cs="Times New Roman"/>
                <w:color w:val="000000" w:themeColor="text1"/>
                <w:sz w:val="24"/>
                <w:szCs w:val="24"/>
                <w14:textFill>
                  <w14:solidFill>
                    <w14:schemeClr w14:val="tx1"/>
                  </w14:solidFill>
                </w14:textFill>
              </w:rPr>
              <w:t>实施交通基础设施联通、红色文化旅游提升、长征国家文化公园（湖南段）建设、现代农业发展示范、产业转型升级振兴、推进新型城镇化、农村人居环境示范、生态环境保护治理、基本公共服务保障、社会治理能力提升等工程。</w:t>
            </w:r>
          </w:p>
          <w:p>
            <w:pPr>
              <w:tabs>
                <w:tab w:val="center" w:pos="4153"/>
                <w:tab w:val="right" w:pos="8306"/>
              </w:tabs>
              <w:snapToGrid w:val="0"/>
              <w:spacing w:line="31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革命老区红色文化传承保护工程。</w:t>
            </w:r>
            <w:r>
              <w:rPr>
                <w:rFonts w:ascii="Times New Roman" w:hAnsi="Times New Roman" w:cs="Times New Roman"/>
                <w:color w:val="000000" w:themeColor="text1"/>
                <w:sz w:val="24"/>
                <w:szCs w:val="24"/>
                <w14:textFill>
                  <w14:solidFill>
                    <w14:schemeClr w14:val="tx1"/>
                  </w14:solidFill>
                </w14:textFill>
              </w:rPr>
              <w:t>做好革命遗址遗迹保护修复，制定重点红色文物资源名录，实施革命文物保护修复工程，建设革命传统教育、爱国主义教育、青少年思想道德教育基地。围绕重大革命历史题材，创作一批红色文艺作品，将红色经典、革命故事纳入中小学教材和干部培训教材。</w:t>
            </w:r>
          </w:p>
          <w:p>
            <w:pPr>
              <w:spacing w:line="310" w:lineRule="exact"/>
              <w:ind w:firstLine="472" w:firstLineChars="196"/>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民族地区凝心工程。</w:t>
            </w:r>
            <w:r>
              <w:rPr>
                <w:rFonts w:ascii="Times New Roman" w:hAnsi="Times New Roman" w:cs="Times New Roman"/>
                <w:color w:val="000000" w:themeColor="text1"/>
                <w:sz w:val="24"/>
                <w:szCs w:val="24"/>
                <w14:textFill>
                  <w14:solidFill>
                    <w14:schemeClr w14:val="tx1"/>
                  </w14:solidFill>
                </w14:textFill>
              </w:rPr>
              <w:t>加快民族团结进步教育基地创建工程建设，组织开展全省民族团结进步先进集体和先进个人表彰活动，支持民族地区开展逢十周年庆典活动。</w:t>
            </w:r>
          </w:p>
          <w:p>
            <w:pPr>
              <w:snapToGrid w:val="0"/>
              <w:spacing w:line="31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资源枯竭城市转型工程。</w:t>
            </w:r>
            <w:r>
              <w:rPr>
                <w:rFonts w:ascii="Times New Roman" w:hAnsi="Times New Roman" w:cs="Times New Roman"/>
                <w:color w:val="000000" w:themeColor="text1"/>
                <w:sz w:val="24"/>
                <w:szCs w:val="24"/>
                <w14:textFill>
                  <w14:solidFill>
                    <w14:schemeClr w14:val="tx1"/>
                  </w14:solidFill>
                </w14:textFill>
              </w:rPr>
              <w:t>支持常宁市、耒阳市、资兴市、冷水江市、涟源市等资源枯竭城市加快产业转型，补齐公共服务短板，推进生态修复和环境治理，支持符合条件的城市创建可持续发展示范市。</w:t>
            </w:r>
          </w:p>
          <w:p>
            <w:pPr>
              <w:snapToGrid w:val="0"/>
              <w:spacing w:line="31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重点采煤沉陷区综合治理工程。</w:t>
            </w:r>
            <w:r>
              <w:rPr>
                <w:rFonts w:ascii="Times New Roman" w:hAnsi="Times New Roman" w:cs="Times New Roman"/>
                <w:color w:val="000000" w:themeColor="text1"/>
                <w:sz w:val="24"/>
                <w:szCs w:val="24"/>
                <w14:textFill>
                  <w14:solidFill>
                    <w14:schemeClr w14:val="tx1"/>
                  </w14:solidFill>
                </w14:textFill>
              </w:rPr>
              <w:t>支持永兴县、邵东市、宁乡市、涟源市、攸县、澧县、武冈市、邵阳县、资兴市、辰溪县等重点采煤沉陷区加快综合治理，实施重大安全隐患区居民避险搬迁、生态修复和环境治理、基础设施和公共服务设施、接续替代产业平台等基础性公益性项目建设，有效改善矿区生产生活条件。</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独立工矿区改造提升工程。</w:t>
            </w:r>
            <w:r>
              <w:rPr>
                <w:rFonts w:ascii="Times New Roman" w:hAnsi="Times New Roman" w:cs="Times New Roman"/>
                <w:color w:val="000000" w:themeColor="text1"/>
                <w:kern w:val="0"/>
                <w:sz w:val="24"/>
                <w:szCs w:val="24"/>
                <w14:textFill>
                  <w14:solidFill>
                    <w14:schemeClr w14:val="tx1"/>
                  </w14:solidFill>
                </w14:textFill>
              </w:rPr>
              <w:t>支持临湘市、冷水江市、苏仙区、衡东县等县市独立工矿区，大力推进居民避险安置</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改善基础设施条件</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提升公共服务水平</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建设接续替代产业平台，分类探索改造提升的有效模式，走各具特色的发展道路。</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产业转型升级工程。</w:t>
            </w:r>
            <w:r>
              <w:rPr>
                <w:rFonts w:ascii="Times New Roman" w:hAnsi="Times New Roman" w:cs="Times New Roman"/>
                <w:color w:val="000000" w:themeColor="text1"/>
                <w:kern w:val="0"/>
                <w:sz w:val="24"/>
                <w:szCs w:val="24"/>
                <w14:textFill>
                  <w14:solidFill>
                    <w14:schemeClr w14:val="tx1"/>
                  </w14:solidFill>
                </w14:textFill>
              </w:rPr>
              <w:t>积极支持株洲市、湘潭市、衡阳市、岳阳市、邵阳市、娄底市等深入开展城区老工业区搬迁改造和创新链整合，支持株洲市、湘潭市、娄底市推进产业转型升级示范区建设，探索产业协同融合发展新路径。</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工业遗产保护利用重点工程。</w:t>
            </w:r>
            <w:r>
              <w:rPr>
                <w:rFonts w:ascii="Times New Roman" w:hAnsi="Times New Roman" w:cs="Times New Roman"/>
                <w:color w:val="000000" w:themeColor="text1"/>
                <w:kern w:val="0"/>
                <w:sz w:val="24"/>
                <w:szCs w:val="24"/>
                <w14:textFill>
                  <w14:solidFill>
                    <w14:schemeClr w14:val="tx1"/>
                  </w14:solidFill>
                </w14:textFill>
              </w:rPr>
              <w:t>主要包括醴陵窑（株洲）、醴陵群力瓷厂旧址、粤汉铁路株洲总机厂建筑群、湘江电厂下摄司厂旧址、中核二七二厂铀水冶纯化生产线及配套设施、衡阳建湘柴油机厂早期建筑群、桃林铅锌矿工业遗产、际华三五一七橡胶制品有限公司老厂房、邵阳合金件厂、世界锑都-锡矿山矿冶遗址、裕湘纱厂旧址等遗址遗迹的开发利用。</w:t>
            </w:r>
          </w:p>
          <w:p>
            <w:pPr>
              <w:spacing w:line="310" w:lineRule="exact"/>
              <w:ind w:firstLine="473"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pacing w:val="-2"/>
                <w:kern w:val="0"/>
                <w:sz w:val="24"/>
                <w:szCs w:val="24"/>
                <w14:textFill>
                  <w14:solidFill>
                    <w14:schemeClr w14:val="tx1"/>
                  </w14:solidFill>
                </w14:textFill>
              </w:rPr>
              <w:t>石漠化综合治理工程。</w:t>
            </w:r>
            <w:r>
              <w:rPr>
                <w:rFonts w:ascii="Times New Roman" w:hAnsi="Times New Roman" w:cs="Times New Roman"/>
                <w:color w:val="000000" w:themeColor="text1"/>
                <w:spacing w:val="-2"/>
                <w:kern w:val="0"/>
                <w:sz w:val="24"/>
                <w:szCs w:val="24"/>
                <w14:textFill>
                  <w14:solidFill>
                    <w14:schemeClr w14:val="tx1"/>
                  </w14:solidFill>
                </w14:textFill>
              </w:rPr>
              <w:t>根据生态区位、石漠化程度和自然经济社会条件，在全省23个岩溶地区石漠化县（市、区），以森林植被重建和恢复以及水土流失综合治理为核心，因地制宜安排治理模式和技术措施，通过人工造林、封山育林以及人工促进植被恢复等措施，增加森林面积，改善林分结构，减少水土流失，恢复生态功能</w:t>
            </w:r>
            <w:r>
              <w:rPr>
                <w:rFonts w:ascii="Times New Roman" w:hAnsi="Times New Roman" w:cs="Times New Roman"/>
                <w:color w:val="000000" w:themeColor="text1"/>
                <w:kern w:val="0"/>
                <w:sz w:val="24"/>
                <w:szCs w:val="24"/>
                <w14:textFill>
                  <w14:solidFill>
                    <w14:schemeClr w14:val="tx1"/>
                  </w14:solidFill>
                </w14:textFill>
              </w:rPr>
              <w:t>。</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6" w:name="_Toc62051567"/>
      <w:r>
        <w:rPr>
          <w:rFonts w:ascii="Times New Roman" w:hAnsi="Times New Roman" w:eastAsia="楷体_GB2312" w:cs="Times New Roman"/>
          <w:b/>
          <w:bCs/>
          <w:color w:val="000000" w:themeColor="text1"/>
          <w:sz w:val="32"/>
          <w:szCs w:val="32"/>
          <w14:textFill>
            <w14:solidFill>
              <w14:schemeClr w14:val="tx1"/>
            </w14:solidFill>
          </w14:textFill>
        </w:rPr>
        <w:t>第六节  增强县域发展动能</w:t>
      </w:r>
      <w:bookmarkEnd w:id="56"/>
    </w:p>
    <w:p>
      <w:pPr>
        <w:spacing w:before="240"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新一轮特色县域经济强县工程，开展县域特色产业集群发展行动，建设50个县域特色产业集群，推进传统产业改造升级和新兴产业培育，扶持一批有实力的县（市）成为全国百强县。推进县城城镇化基础设施补短板强弱项，带动县城公共服务设施提标扩面、环境卫生设施提级扩能、市政公用设施提挡升级、产业培育设施提质增效，</w:t>
      </w:r>
      <w:r>
        <w:rPr>
          <w:rFonts w:ascii="Times New Roman" w:hAnsi="Times New Roman" w:eastAsia="仿宋_GB2312" w:cs="Times New Roman"/>
          <w:bCs/>
          <w:color w:val="000000" w:themeColor="text1"/>
          <w:kern w:val="0"/>
          <w:sz w:val="32"/>
          <w:szCs w:val="32"/>
          <w14:textFill>
            <w14:solidFill>
              <w14:schemeClr w14:val="tx1"/>
            </w14:solidFill>
          </w14:textFill>
        </w:rPr>
        <w:t>引导农业转移人口就近城镇化，建成新型城镇化的重要载体。</w:t>
      </w:r>
      <w:r>
        <w:rPr>
          <w:rFonts w:ascii="Times New Roman" w:hAnsi="Times New Roman" w:eastAsia="仿宋_GB2312" w:cs="Times New Roman"/>
          <w:color w:val="000000" w:themeColor="text1"/>
          <w:kern w:val="0"/>
          <w:sz w:val="32"/>
          <w:szCs w:val="32"/>
          <w14:textFill>
            <w14:solidFill>
              <w14:schemeClr w14:val="tx1"/>
            </w14:solidFill>
          </w14:textFill>
        </w:rPr>
        <w:t>深化扩权强县改革，优化行政区划设置，有序</w:t>
      </w:r>
      <w:r>
        <w:rPr>
          <w:rFonts w:ascii="Times New Roman" w:hAnsi="Times New Roman" w:eastAsia="仿宋_GB2312" w:cs="Times New Roman"/>
          <w:color w:val="000000" w:themeColor="text1"/>
          <w:sz w:val="32"/>
          <w:szCs w:val="32"/>
          <w14:textFill>
            <w14:solidFill>
              <w14:schemeClr w14:val="tx1"/>
            </w14:solidFill>
          </w14:textFill>
        </w:rPr>
        <w:t>推进符合条件的地方撤县设市或撤县（市）设区，加快经济发达镇行政管理体制改革，</w:t>
      </w:r>
      <w:r>
        <w:rPr>
          <w:rFonts w:ascii="Times New Roman" w:hAnsi="Times New Roman" w:eastAsia="仿宋_GB2312" w:cs="Times New Roman"/>
          <w:color w:val="000000" w:themeColor="text1"/>
          <w:kern w:val="0"/>
          <w:sz w:val="32"/>
          <w:szCs w:val="32"/>
          <w14:textFill>
            <w14:solidFill>
              <w14:schemeClr w14:val="tx1"/>
            </w14:solidFill>
          </w14:textFill>
        </w:rPr>
        <w:t>支持有条件的城郊乡镇纳入县城规划区。</w:t>
      </w:r>
      <w:r>
        <w:rPr>
          <w:rFonts w:ascii="Times New Roman" w:hAnsi="Times New Roman" w:eastAsia="仿宋_GB2312" w:cs="Times New Roman"/>
          <w:color w:val="000000" w:themeColor="text1"/>
          <w:sz w:val="32"/>
          <w:szCs w:val="32"/>
          <w14:textFill>
            <w14:solidFill>
              <w14:schemeClr w14:val="tx1"/>
            </w14:solidFill>
          </w14:textFill>
        </w:rPr>
        <w:t>促进特色小镇规范健康发展，发展一批精品特色小镇。</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专栏15  县域经济强县工程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6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县域特色产业壮大工程。</w:t>
            </w:r>
            <w:r>
              <w:rPr>
                <w:rFonts w:ascii="Times New Roman" w:hAnsi="Times New Roman" w:cs="Times New Roman"/>
                <w:bCs/>
                <w:color w:val="000000" w:themeColor="text1"/>
                <w:kern w:val="0"/>
                <w:sz w:val="24"/>
                <w14:textFill>
                  <w14:solidFill>
                    <w14:schemeClr w14:val="tx1"/>
                  </w14:solidFill>
                </w14:textFill>
              </w:rPr>
              <w:t>支持引导各县域集中资源重点发展1-2个特色主导产业，支持县域开展特色产业集群建设、传统产业升级和承接产业转移。支持一批产业项目在县域布局，加强县域产业对工业新兴优势产业链的就近配套功能。提升县域产业园区、工业集中区和特色产业小镇发展质量，促进产业集聚。</w:t>
            </w:r>
          </w:p>
          <w:p>
            <w:pPr>
              <w:spacing w:line="36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县城基础设施改造工程。</w:t>
            </w:r>
            <w:r>
              <w:rPr>
                <w:rFonts w:ascii="Times New Roman" w:hAnsi="Times New Roman" w:cs="Times New Roman"/>
                <w:color w:val="000000" w:themeColor="text1"/>
                <w:sz w:val="24"/>
                <w:szCs w:val="24"/>
                <w14:textFill>
                  <w14:solidFill>
                    <w14:schemeClr w14:val="tx1"/>
                  </w14:solidFill>
                </w14:textFill>
              </w:rPr>
              <w:t>加强县城新型城镇化建设，重点推进4大类17个领域补短板强弱项。推进公共服务设施提标扩面，健全和完善医疗卫生、教育、养老托育、文旅体育、社会福利、社区综合服务等设施。推进环境卫生设施提级扩能，健全和完善垃圾无害化资源化处理、污水集中处理、公共厕所等设施。推进市政公用设施提挡升级，优化市政交通、市政管网、配送投递设施，推进智慧化改造和老旧小区改造。推进产业培育设施提质增效，完善产业平台配套、健全冷链物流设施、提升农贸市场水平。</w:t>
            </w:r>
          </w:p>
          <w:p>
            <w:pPr>
              <w:spacing w:line="360" w:lineRule="exact"/>
              <w:ind w:firstLine="472" w:firstLineChars="196"/>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县城发展品质提升工程。</w:t>
            </w:r>
            <w:r>
              <w:rPr>
                <w:rFonts w:ascii="Times New Roman" w:hAnsi="Times New Roman" w:cs="Times New Roman"/>
                <w:color w:val="000000" w:themeColor="text1"/>
                <w:sz w:val="24"/>
                <w:szCs w:val="24"/>
                <w14:textFill>
                  <w14:solidFill>
                    <w14:schemeClr w14:val="tx1"/>
                  </w14:solidFill>
                </w14:textFill>
              </w:rPr>
              <w:t>推动县域精明规划、精致建设、精细管理，科学编制县级空间规划，合理布局县城空间格局。加强环境治理、文化塑造和生态美化，加强县城智慧化、网格化管理，建设宜居平安县城。加快农民工返乡创业园、工业园区等建设，提高县城产业承载力和人口集聚力。</w:t>
            </w:r>
          </w:p>
          <w:p>
            <w:pPr>
              <w:spacing w:line="36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县级财力保障工程。</w:t>
            </w:r>
            <w:r>
              <w:rPr>
                <w:rFonts w:ascii="Times New Roman" w:hAnsi="Times New Roman" w:cs="Times New Roman"/>
                <w:bCs/>
                <w:color w:val="000000" w:themeColor="text1"/>
                <w:kern w:val="0"/>
                <w:sz w:val="24"/>
                <w14:textFill>
                  <w14:solidFill>
                    <w14:schemeClr w14:val="tx1"/>
                  </w14:solidFill>
                </w14:textFill>
              </w:rPr>
              <w:t>拓宽县域财源，统筹城乡经济发展，加强收入征管，规范政府非税收入管理。优化财税分配制度，进一步完善省以下均衡性转移支付、县级基本财力保障机制，加大一般性转移支付对脱贫地区倾斜力度。对政府债务风险管控有力和县域经济发展较好的县，加大一般债券和专项债券的倾斜力度。</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57" w:name="_Toc62051568"/>
      <w:r>
        <w:rPr>
          <w:rFonts w:ascii="Times New Roman" w:hAnsi="Times New Roman" w:eastAsia="黑体" w:cs="Times New Roman"/>
          <w:bCs/>
          <w:color w:val="000000" w:themeColor="text1"/>
          <w:sz w:val="32"/>
          <w:szCs w:val="32"/>
          <w14:textFill>
            <w14:solidFill>
              <w14:schemeClr w14:val="tx1"/>
            </w14:solidFill>
          </w14:textFill>
        </w:rPr>
        <w:t>第十一章  建设新型城镇体系</w:t>
      </w:r>
      <w:bookmarkEnd w:id="5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lang w:val="zh-TW"/>
          <w14:textFill>
            <w14:solidFill>
              <w14:schemeClr w14:val="tx1"/>
            </w14:solidFill>
          </w14:textFill>
        </w:rPr>
        <w:t>加快推进以人为核心的新型城镇化进程，推进更高质量的农业转移人口市民化，构建协调发展的新型城镇体系，建设中部新型城镇化高质量发展引领区。</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8" w:name="_Toc62051569"/>
      <w:r>
        <w:rPr>
          <w:rFonts w:ascii="Times New Roman" w:hAnsi="Times New Roman" w:eastAsia="楷体_GB2312" w:cs="Times New Roman"/>
          <w:b/>
          <w:bCs/>
          <w:color w:val="000000" w:themeColor="text1"/>
          <w:sz w:val="32"/>
          <w:szCs w:val="32"/>
          <w14:textFill>
            <w14:solidFill>
              <w14:schemeClr w14:val="tx1"/>
            </w14:solidFill>
          </w14:textFill>
        </w:rPr>
        <w:t>第一节  构建大中小协调发展的城镇化格局</w:t>
      </w:r>
      <w:bookmarkEnd w:id="58"/>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中心城市引领都市圈、以都市圈带动城市群、以城市群辐射全省，优化形成“一圈一群多点”新型城镇格局。做强长株潭现代化都市圈，扩大长株潭整体能级效应，到“十四五”末建成都市圈人口达到1500万左右、经济总量突破2万亿的特大都市圈。做大“3+5”环长株潭城市群，优化城市之间的功能布局、协同合作、经济互补、市场融通，实现联动发展。推进地级城市及30万人口以上县城等多点优化布局，支持岳阳、衡阳向II型大城市发展，把湘潭、常德建成城区人口百万以上大城市，壮大发展一批区域性城镇群，支持一批经济强县（市）率先发展成为中等城市，培育若干城区人口20万以上新生中小城市。立足特色发展卫星城、专业特色镇和综合强镇，将乡镇建成服务农民的区域中心，形成全省人口、产业合理集聚、科学布局的新型城镇体系。</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9" w:name="_Toc62051570"/>
      <w:r>
        <w:rPr>
          <w:rFonts w:ascii="Times New Roman" w:hAnsi="Times New Roman" w:eastAsia="楷体_GB2312" w:cs="Times New Roman"/>
          <w:b/>
          <w:bCs/>
          <w:color w:val="000000" w:themeColor="text1"/>
          <w:sz w:val="32"/>
          <w:szCs w:val="32"/>
          <w14:textFill>
            <w14:solidFill>
              <w14:schemeClr w14:val="tx1"/>
            </w14:solidFill>
          </w14:textFill>
        </w:rPr>
        <w:t>第二节  提升城镇综合承载能力</w:t>
      </w:r>
      <w:bookmarkEnd w:id="59"/>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宜居城市，实施城市更新行动，推进城镇低效用地再开发，加强老旧小区和棚户区改造，建设完整社区，完善供水、燃气、公共交通、社区服务等市政设施，切实提高城镇居民基本公共服务水平，提升城市生活品质。</w:t>
      </w:r>
      <w:r>
        <w:rPr>
          <w:rFonts w:ascii="Times New Roman" w:hAnsi="Times New Roman" w:eastAsia="仿宋_GB2312" w:cs="Times New Roman"/>
          <w:color w:val="000000" w:themeColor="text1"/>
          <w:kern w:val="0"/>
          <w:sz w:val="32"/>
          <w:szCs w:val="32"/>
          <w14:textFill>
            <w14:solidFill>
              <w14:schemeClr w14:val="tx1"/>
            </w14:solidFill>
          </w14:textFill>
        </w:rPr>
        <w:t>建设人文城市，保护传承城市</w:t>
      </w:r>
      <w:r>
        <w:rPr>
          <w:rFonts w:ascii="Times New Roman" w:hAnsi="Times New Roman" w:eastAsia="仿宋_GB2312" w:cs="Times New Roman"/>
          <w:color w:val="000000" w:themeColor="text1"/>
          <w:sz w:val="32"/>
          <w:szCs w:val="32"/>
          <w14:textFill>
            <w14:solidFill>
              <w14:schemeClr w14:val="tx1"/>
            </w14:solidFill>
          </w14:textFill>
        </w:rPr>
        <w:t>文化，活化利用历史文化遗迹和历史街区，加强建筑设计管理，塑造独特城市风貌。建设韧性城市，实施城市建设安全专项整治三年行动，增强应急避难“弹性设计”，提升城市抵御冲击、应急保障和快速恢复能力。</w:t>
      </w:r>
      <w:r>
        <w:rPr>
          <w:rFonts w:ascii="Times New Roman" w:hAnsi="Times New Roman" w:eastAsia="仿宋_GB2312" w:cs="Times New Roman"/>
          <w:color w:val="000000" w:themeColor="text1"/>
          <w:kern w:val="0"/>
          <w:sz w:val="32"/>
          <w:szCs w:val="32"/>
          <w14:textFill>
            <w14:solidFill>
              <w14:schemeClr w14:val="tx1"/>
            </w14:solidFill>
          </w14:textFill>
        </w:rPr>
        <w:t>建设绿色城市，根据资源环境承载力调整城市规模，</w:t>
      </w:r>
      <w:r>
        <w:rPr>
          <w:rFonts w:ascii="Times New Roman" w:hAnsi="Times New Roman" w:eastAsia="仿宋_GB2312" w:cs="Times New Roman"/>
          <w:color w:val="000000" w:themeColor="text1"/>
          <w:sz w:val="32"/>
          <w:szCs w:val="32"/>
          <w14:textFill>
            <w14:solidFill>
              <w14:schemeClr w14:val="tx1"/>
            </w14:solidFill>
          </w14:textFill>
        </w:rPr>
        <w:t>优化城市空间结构，大力发展公共交通，</w:t>
      </w:r>
      <w:r>
        <w:rPr>
          <w:rFonts w:ascii="Times New Roman" w:hAnsi="Times New Roman" w:eastAsia="仿宋_GB2312" w:cs="Times New Roman"/>
          <w:color w:val="000000" w:themeColor="text1"/>
          <w:kern w:val="0"/>
          <w:sz w:val="32"/>
          <w:szCs w:val="32"/>
          <w14:textFill>
            <w14:solidFill>
              <w14:schemeClr w14:val="tx1"/>
            </w14:solidFill>
          </w14:textFill>
        </w:rPr>
        <w:t>推广绿色建筑和绿色建造，实施城市生态修复、功能完善工程。建设海绵城市，推广透水地面、雨水回用等技术，提升城市蓄洪排涝、自我净化功能。</w:t>
      </w:r>
      <w:r>
        <w:rPr>
          <w:rFonts w:ascii="Times New Roman" w:hAnsi="Times New Roman" w:eastAsia="仿宋_GB2312" w:cs="Times New Roman"/>
          <w:color w:val="000000" w:themeColor="text1"/>
          <w:sz w:val="32"/>
          <w:szCs w:val="32"/>
          <w14:textFill>
            <w14:solidFill>
              <w14:schemeClr w14:val="tx1"/>
            </w14:solidFill>
          </w14:textFill>
        </w:rPr>
        <w:t>建设新型智慧城市，推动信息技术在社区治理、公共安全、环境监管等领域广泛应用，全面提升城市治理科学化、精细化、智能化水平。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60" w:name="_Toc62051571"/>
      <w:r>
        <w:rPr>
          <w:rFonts w:ascii="Times New Roman" w:hAnsi="Times New Roman" w:eastAsia="楷体_GB2312" w:cs="Times New Roman"/>
          <w:b/>
          <w:bCs/>
          <w:color w:val="000000" w:themeColor="text1"/>
          <w:sz w:val="32"/>
          <w:szCs w:val="32"/>
          <w14:textFill>
            <w14:solidFill>
              <w14:schemeClr w14:val="tx1"/>
            </w14:solidFill>
          </w14:textFill>
        </w:rPr>
        <w:t>第三节  提高农业转移人口市民化质量</w:t>
      </w:r>
      <w:bookmarkEnd w:id="60"/>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以在城镇就业的农业转移人口为重点，积极推动有能力在城镇稳定就业和生活的农业转移人口进城落户。持续深化户籍制度改革，大幅提高落户便利性，进一步促进劳动力和人才社会性流动。完善由政府、企业、个人共同参与的农业转移人口市民化成本分担机制，进一步落实人地、人钱挂钩政策，推进资金和建设用地向吸纳农业转移人口落户数量较多城镇倾斜。健全以居住证为载体的城镇基本公共服务提供机制，增加人口流入较多城市教育卫生投入，提高社保跨区转移接续效率，扩大保障性住房对农业转移人口的覆盖范围，强化基本公共服务保障</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61" w:name="_Toc62051572"/>
      <w:r>
        <w:rPr>
          <w:rFonts w:ascii="Times New Roman" w:hAnsi="Times New Roman" w:eastAsia="楷体_GB2312" w:cs="Times New Roman"/>
          <w:b/>
          <w:bCs/>
          <w:color w:val="000000" w:themeColor="text1"/>
          <w:sz w:val="32"/>
          <w:szCs w:val="32"/>
          <w14:textFill>
            <w14:solidFill>
              <w14:schemeClr w14:val="tx1"/>
            </w14:solidFill>
          </w14:textFill>
        </w:rPr>
        <w:t>第四节  促进城乡融合发展</w:t>
      </w:r>
      <w:bookmarkEnd w:id="61"/>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kern w:val="0"/>
          <w:sz w:val="32"/>
          <w:szCs w:val="32"/>
          <w14:textFill>
            <w14:solidFill>
              <w14:schemeClr w14:val="tx1"/>
            </w14:solidFill>
          </w14:textFill>
        </w:rPr>
        <w:t>推进城乡公共资源普惠共享。</w:t>
      </w:r>
      <w:r>
        <w:rPr>
          <w:rFonts w:ascii="Times New Roman" w:hAnsi="Times New Roman" w:eastAsia="仿宋_GB2312" w:cs="Times New Roman"/>
          <w:color w:val="000000" w:themeColor="text1"/>
          <w:sz w:val="32"/>
          <w:szCs w:val="32"/>
          <w14:textFill>
            <w14:solidFill>
              <w14:schemeClr w14:val="tx1"/>
            </w14:solidFill>
          </w14:textFill>
        </w:rPr>
        <w:t>提升城乡基础设施一体化水平，以市县域为整体，根据人口密度统筹推动道路、通讯、水电、环境治理等城乡基础设施一体化规划、建设与管护。推进城乡基本公共服务标准统一、制度并轨、普惠共享，加快发展城乡教育联合体、城市医联体和县域医共体，统筹城乡社会保障体系。到“十四五”末，基本实现乡镇污水处理设施和农村生活垃圾收运体系全覆盖，乡镇燃气普及率达到35%。</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促进城乡要素自由流动。</w:t>
      </w:r>
      <w:r>
        <w:rPr>
          <w:rFonts w:ascii="Times New Roman" w:hAnsi="Times New Roman" w:eastAsia="仿宋_GB2312" w:cs="Times New Roman"/>
          <w:color w:val="000000" w:themeColor="text1"/>
          <w:sz w:val="32"/>
          <w:szCs w:val="32"/>
          <w14:textFill>
            <w14:solidFill>
              <w14:schemeClr w14:val="tx1"/>
            </w14:solidFill>
          </w14:textFill>
        </w:rPr>
        <w:t>全面推进农村“三块地”改革，盘活存量土地资源，推进集体经营性土地入市，服务城乡发展。建立城市人才入乡激励机制，重点支持乡村教师队伍、医疗卫生队伍和农业科技队伍建设。建立农业科技投入稳定增长机制，鼓励面向农业需求开展科技创新，抓好农村科技培训、农村科普和实用先进技术推广，提高农民科技文化素质。强化乡村发展资金保障，推进涉农资金统筹整合，促进工商资本入乡，健全乡村金融体系，加大对农业农村发展的中长期信贷支持。</w:t>
      </w:r>
    </w:p>
    <w:tbl>
      <w:tblPr>
        <w:tblStyle w:val="25"/>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14" w:type="dxa"/>
            <w:shd w:val="clear" w:color="auto" w:fill="auto"/>
            <w:vAlign w:val="center"/>
          </w:tcPr>
          <w:p>
            <w:pPr>
              <w:ind w:firstLine="560" w:firstLineChars="200"/>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专栏16  新型城镇化提质升级工程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914" w:type="dxa"/>
            <w:shd w:val="clear" w:color="auto" w:fill="auto"/>
          </w:tcPr>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城市更新工程。</w:t>
            </w:r>
            <w:r>
              <w:rPr>
                <w:rFonts w:ascii="Times New Roman" w:hAnsi="Times New Roman" w:cs="Times New Roman"/>
                <w:color w:val="000000" w:themeColor="text1"/>
                <w:sz w:val="24"/>
                <w:szCs w:val="24"/>
                <w14:textFill>
                  <w14:solidFill>
                    <w14:schemeClr w14:val="tx1"/>
                  </w14:solidFill>
                </w14:textFill>
              </w:rPr>
              <w:t>统筹城市老旧小区改造、棚户区改造及历史文化街区保护利用，加强居住社区市政配套设施、公共服务设施建设，增加公共活动空间保护，到2025年，各市州60%以上社区达到完整社区建设标准。实施供水提质、垃圾治理、污水治理、黑臭水体整治、智慧建设增效5大工程，提升城乡环境基础设施水平。加快智能化市政基础设施建设和改造，打造智慧出行平台，建设智慧社区。</w:t>
            </w:r>
          </w:p>
          <w:p>
            <w:pPr>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城市防洪排涝工程。</w:t>
            </w:r>
            <w:r>
              <w:rPr>
                <w:rFonts w:ascii="Times New Roman" w:hAnsi="Times New Roman" w:cs="Times New Roman"/>
                <w:color w:val="000000" w:themeColor="text1"/>
                <w:sz w:val="24"/>
                <w:szCs w:val="24"/>
                <w14:textFill>
                  <w14:solidFill>
                    <w14:schemeClr w14:val="tx1"/>
                  </w14:solidFill>
                </w14:textFill>
              </w:rPr>
              <w:t>完成109个未闭合城市防洪保护圈的闭合。推进全省城市和县城排水管渠、排涝除险设施、数字化综合信息管理平台建设，系统提升排水防涝能力。</w:t>
            </w:r>
          </w:p>
          <w:p>
            <w:pPr>
              <w:tabs>
                <w:tab w:val="center" w:pos="4153"/>
                <w:tab w:val="right" w:pos="8306"/>
              </w:tabs>
              <w:snapToGrid w:val="0"/>
              <w:spacing w:line="340" w:lineRule="exact"/>
              <w:ind w:firstLine="481"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产城融合发展工程。</w:t>
            </w:r>
            <w:r>
              <w:rPr>
                <w:rFonts w:ascii="Times New Roman" w:hAnsi="Times New Roman" w:cs="Times New Roman"/>
                <w:color w:val="000000" w:themeColor="text1"/>
                <w:sz w:val="24"/>
                <w:szCs w:val="24"/>
                <w14:textFill>
                  <w14:solidFill>
                    <w14:schemeClr w14:val="tx1"/>
                  </w14:solidFill>
                </w14:textFill>
              </w:rPr>
              <w:t>推进园区和城镇基础设施、产业发展、市场体系、基本公共服务和生态环保一体化建设，鼓励园区集中建设生活配套设施，建成一批服务精准化、产城融合度高的现代化智慧园区。推进县城城镇化建设示范，完善县城产业平台配套设施，引导县域特色经济和农村二三产业在县城集聚发展，建设一批产业转型升级示范园区。</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区域性城镇群发展工程。</w:t>
            </w:r>
            <w:r>
              <w:rPr>
                <w:rFonts w:ascii="Times New Roman" w:hAnsi="Times New Roman" w:cs="Times New Roman"/>
                <w:color w:val="000000" w:themeColor="text1"/>
                <w:sz w:val="24"/>
                <w:szCs w:val="24"/>
                <w14:textFill>
                  <w14:solidFill>
                    <w14:schemeClr w14:val="tx1"/>
                  </w14:solidFill>
                </w14:textFill>
              </w:rPr>
              <w:t>加快建设益阳益沅桃、郴州“大十字”、邵阳东部、衡阳西南云大、怀化鹤中洪芷、娄底娄涟双冷新城镇带、永州冷祁零城镇带、常德津澧新城等区域性城镇群，提升区域协同发展能力。</w:t>
            </w:r>
          </w:p>
          <w:p>
            <w:pPr>
              <w:tabs>
                <w:tab w:val="center" w:pos="4153"/>
                <w:tab w:val="right" w:pos="8306"/>
              </w:tabs>
              <w:snapToGrid w:val="0"/>
              <w:spacing w:line="34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特色小（城）镇高质量发展工程。</w:t>
            </w:r>
            <w:r>
              <w:rPr>
                <w:rFonts w:ascii="Times New Roman" w:hAnsi="Times New Roman" w:cs="Times New Roman"/>
                <w:color w:val="000000" w:themeColor="text1"/>
                <w:sz w:val="24"/>
                <w:szCs w:val="24"/>
                <w14:textFill>
                  <w14:solidFill>
                    <w14:schemeClr w14:val="tx1"/>
                  </w14:solidFill>
                </w14:textFill>
              </w:rPr>
              <w:t>创建工业、农业、文旅三类特色产业小镇，壮大特色产业规模，推进产镇融合发展，培育特色产业品牌，提升经济发展效益和就业带动能力，建成创业兴业就业新平台。培育一批特色小城镇。</w:t>
            </w:r>
          </w:p>
        </w:tc>
      </w:tr>
    </w:tbl>
    <w:p>
      <w:pPr>
        <w:widowControl/>
        <w:jc w:val="left"/>
        <w:rPr>
          <w:rFonts w:ascii="Times New Roman" w:hAnsi="Times New Roman" w:eastAsia="黑体" w:cs="Times New Roman"/>
          <w:color w:val="000000" w:themeColor="text1"/>
          <w:sz w:val="32"/>
          <w14:textFill>
            <w14:solidFill>
              <w14:schemeClr w14:val="tx1"/>
            </w14:solidFill>
          </w14:textFill>
        </w:rPr>
      </w:pPr>
      <w:bookmarkStart w:id="62" w:name="_Toc62051573"/>
      <w:r>
        <w:rPr>
          <w:rFonts w:ascii="Times New Roman" w:hAnsi="Times New Roman" w:eastAsia="黑体" w:cs="Times New Roman"/>
          <w:color w:val="000000" w:themeColor="text1"/>
          <w:sz w:val="32"/>
          <w14:textFill>
            <w14:solidFill>
              <w14:schemeClr w14:val="tx1"/>
            </w14:solidFill>
          </w14:textFill>
        </w:rPr>
        <w:br w:type="page"/>
      </w:r>
    </w:p>
    <w:p>
      <w:pPr>
        <w:spacing w:before="447" w:beforeLines="100" w:after="447" w:afterLines="100" w:line="596" w:lineRule="exact"/>
        <w:ind w:right="210" w:rightChars="100"/>
        <w:jc w:val="center"/>
        <w:outlineLvl w:val="1"/>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32"/>
          <w14:textFill>
            <w14:solidFill>
              <w14:schemeClr w14:val="tx1"/>
            </w14:solidFill>
          </w14:textFill>
        </w:rPr>
        <w:t>第十二章</w:t>
      </w:r>
      <w:r>
        <w:rPr>
          <w:rFonts w:hint="eastAsia" w:ascii="Times New Roman" w:hAnsi="Times New Roman" w:eastAsia="黑体" w:cs="Times New Roman"/>
          <w:color w:val="000000" w:themeColor="text1"/>
          <w:sz w:val="32"/>
          <w14:textFill>
            <w14:solidFill>
              <w14:schemeClr w14:val="tx1"/>
            </w14:solidFill>
          </w14:textFill>
        </w:rPr>
        <w:t xml:space="preserve">  </w:t>
      </w:r>
      <w:r>
        <w:rPr>
          <w:rFonts w:ascii="Times New Roman" w:hAnsi="Times New Roman" w:eastAsia="黑体" w:cs="Times New Roman"/>
          <w:color w:val="000000" w:themeColor="text1"/>
          <w:sz w:val="32"/>
          <w14:textFill>
            <w14:solidFill>
              <w14:schemeClr w14:val="tx1"/>
            </w14:solidFill>
          </w14:textFill>
        </w:rPr>
        <w:t>建立差异发展的空间格局</w:t>
      </w:r>
      <w:bookmarkEnd w:id="62"/>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加强全域全类型国土空间用途管制，形成以国土空间规划为基础的空间治理体系，建设格局清晰、集约高效、发展协调、治理有序的高质量国土新空间。</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63" w:name="_Toc62051574"/>
      <w:r>
        <w:rPr>
          <w:rFonts w:ascii="Times New Roman" w:hAnsi="Times New Roman" w:eastAsia="楷体_GB2312" w:cs="Times New Roman"/>
          <w:b/>
          <w:color w:val="000000" w:themeColor="text1"/>
          <w:sz w:val="32"/>
          <w14:textFill>
            <w14:solidFill>
              <w14:schemeClr w14:val="tx1"/>
            </w14:solidFill>
          </w14:textFill>
        </w:rPr>
        <w:t>第一节  建立空间规划体系</w:t>
      </w:r>
      <w:bookmarkEnd w:id="63"/>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落实主体功能区战略。</w:t>
      </w:r>
      <w:r>
        <w:rPr>
          <w:rFonts w:ascii="Times New Roman" w:hAnsi="Times New Roman" w:eastAsia="仿宋_GB2312" w:cs="Times New Roman"/>
          <w:color w:val="000000" w:themeColor="text1"/>
          <w:sz w:val="32"/>
          <w:szCs w:val="32"/>
          <w14:textFill>
            <w14:solidFill>
              <w14:schemeClr w14:val="tx1"/>
            </w14:solidFill>
          </w14:textFill>
        </w:rPr>
        <w:t>以资源环境承载能力和国土空间开发适宜性评价为基础，合理划定县域主体功能定位。将全省极重要的水源涵养、水土保持、生物多样性保护区域和生态环境敏感脆弱区域划为重点生态功能区。将农业生产条件好、对全国或全省农产品安全具有重大影响的区域划为农产品主产区。将资源环境承载能力强、集聚经济和人口条件好、区位条件优的区域划为城市化发展区。制定重要文化与景观功能区、特别振兴区、自然保护地、其他重点开发的乡镇等名录，按名录实施管控。明确分区引导和管控要求，实施空间资源的差异化配置，推动主体功能区战略在市县精准落地。</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明确国土空间开发保护格局。</w:t>
      </w:r>
      <w:r>
        <w:rPr>
          <w:rFonts w:ascii="Times New Roman" w:hAnsi="Times New Roman" w:eastAsia="仿宋_GB2312" w:cs="Times New Roman"/>
          <w:color w:val="000000" w:themeColor="text1"/>
          <w:sz w:val="32"/>
          <w:szCs w:val="32"/>
          <w14:textFill>
            <w14:solidFill>
              <w14:schemeClr w14:val="tx1"/>
            </w14:solidFill>
          </w14:textFill>
        </w:rPr>
        <w:t>以长江为纽带，以洞庭湖为中心，以湘资沅澧为脉络，以武陵-雪峰、南岭、罗霄-幕阜山脉为自然屏障，构建“一江一湖三山四水”生态空间格局。以长株潭都市农业圈、环洞庭湖生态农业区、大湘南丘陵农业区、大湘西山地农业区为主体，构建“一圈三区”农业生产格局。以长株潭现代化都市圈为核心，“3+5”环长株潭城市群联动发展，重要区域性中心城市为节点，构建“一圈一群多点”城镇空间格局。</w:t>
      </w:r>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统筹划定三条控制线。</w:t>
      </w:r>
      <w:r>
        <w:rPr>
          <w:rFonts w:ascii="Times New Roman" w:hAnsi="Times New Roman" w:eastAsia="仿宋_GB2312" w:cs="Times New Roman"/>
          <w:color w:val="000000" w:themeColor="text1"/>
          <w:spacing w:val="-2"/>
          <w:sz w:val="32"/>
          <w:szCs w:val="32"/>
          <w14:textFill>
            <w14:solidFill>
              <w14:schemeClr w14:val="tx1"/>
            </w14:solidFill>
          </w14:textFill>
        </w:rPr>
        <w:t>按照互不交叉重叠的原则，统筹优化生态保护红线、永久基本农田和城镇开发边界三条控制线，形成科学适度有序的国土空间布局体系。生态保护红线范围内以生态修复为主，对以国家公园为主体的自然保护地、重要水源地、文物等实行特殊保护制度。城镇开发边界内的建设实行“详细规划+规划许可”的管制方式，切实提高投入产出效率。落实永久基本农田特殊保护制度，严格控制非农建设占用永久基本农田</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34"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构建四级三类国土空间规划体系。</w:t>
      </w:r>
      <w:r>
        <w:rPr>
          <w:rFonts w:ascii="Times New Roman" w:hAnsi="Times New Roman" w:eastAsia="仿宋_GB2312" w:cs="Times New Roman"/>
          <w:color w:val="000000" w:themeColor="text1"/>
          <w:spacing w:val="-2"/>
          <w:sz w:val="32"/>
          <w:szCs w:val="32"/>
          <w14:textFill>
            <w14:solidFill>
              <w14:schemeClr w14:val="tx1"/>
            </w14:solidFill>
          </w14:textFill>
        </w:rPr>
        <w:t>建立由省、市（州）、县（市）、乡镇“四级”以及总体规划、详细规划、专项规划“三类”共同构成的国土空间规划体系。统筹编制省市县国土空间总体规划，各县市区结合实际编制乡镇国土空间规划，协调推进相关专项规划编制。有序推进城镇开发边界内详细规划编制，实现全覆盖。根据村庄分类与布局，编制“多规合一”实用性村庄规划。</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64" w:name="_Toc62051575"/>
      <w:r>
        <w:rPr>
          <w:rFonts w:ascii="Times New Roman" w:hAnsi="Times New Roman" w:eastAsia="楷体_GB2312" w:cs="Times New Roman"/>
          <w:b/>
          <w:color w:val="000000" w:themeColor="text1"/>
          <w:sz w:val="32"/>
          <w14:textFill>
            <w14:solidFill>
              <w14:schemeClr w14:val="tx1"/>
            </w14:solidFill>
          </w14:textFill>
        </w:rPr>
        <w:t>第二节  加强空间约束管控</w:t>
      </w:r>
      <w:bookmarkEnd w:id="64"/>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完善国土空间用途管制机制。</w:t>
      </w:r>
      <w:r>
        <w:rPr>
          <w:rFonts w:ascii="Times New Roman" w:hAnsi="Times New Roman" w:eastAsia="仿宋_GB2312" w:cs="Times New Roman"/>
          <w:color w:val="000000" w:themeColor="text1"/>
          <w:spacing w:val="-2"/>
          <w:sz w:val="32"/>
          <w:szCs w:val="32"/>
          <w14:textFill>
            <w14:solidFill>
              <w14:schemeClr w14:val="tx1"/>
            </w14:solidFill>
          </w14:textFill>
        </w:rPr>
        <w:t>构建用地全程一体化管理体系，进一步打通审批、供应、登记全流程，实现省市县统一平台，逐宗对土地进行管理，将规划管控和用途管制要求贯穿全过程、各环节。构建自然资源监测保护体系，健全影像统筹机制，完善卫星监测体系，及时掌握自然资源变化情况。加强自然资源执法保障，完善月度卫片执法机制，强化协同执法，完善自然资源督察工作机制。加强自然资源调查评价监测和确权登记</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建立监督实施体系</w:t>
      </w:r>
      <w:r>
        <w:rPr>
          <w:rFonts w:ascii="Times New Roman" w:hAnsi="Times New Roman" w:eastAsia="仿宋_GB2312" w:cs="Times New Roman"/>
          <w:color w:val="000000" w:themeColor="text1"/>
          <w:sz w:val="32"/>
          <w:szCs w:val="32"/>
          <w14:textFill>
            <w14:solidFill>
              <w14:schemeClr w14:val="tx1"/>
            </w14:solidFill>
          </w14:textFill>
        </w:rPr>
        <w:t>。依托国土空间基础信息平台，动态监测国土空间保护和开发行为，加强各类管控边界、约束性指标监督。建立预警机制，严防违反开发保护边界及保护要求或突破约束性指标的行为。建立规划编制、审批、修改和实施监督全程留痕制度，确保规划管理行为全过程可回溯、可查询。</w:t>
      </w:r>
    </w:p>
    <w:p>
      <w:pPr>
        <w:spacing w:line="596" w:lineRule="exact"/>
        <w:ind w:firstLine="642"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完善评价考核机制</w:t>
      </w:r>
      <w:r>
        <w:rPr>
          <w:rFonts w:ascii="Times New Roman" w:hAnsi="Times New Roman" w:eastAsia="仿宋_GB2312" w:cs="Times New Roman"/>
          <w:color w:val="000000" w:themeColor="text1"/>
          <w:sz w:val="32"/>
          <w:szCs w:val="32"/>
          <w14:textFill>
            <w14:solidFill>
              <w14:schemeClr w14:val="tx1"/>
            </w14:solidFill>
          </w14:textFill>
        </w:rPr>
        <w:t>。全面评价国土空间规划实施情况，及时开展城市体检评估。结合经济社会发展实际对国土空间规划进行动态调整完善。将国土空间规划执行情况纳入自然资源督察执法和自然资源资产离任审计内容，依法依规严肃追究违反国土空间规划的各类行为。</w:t>
      </w:r>
      <w:bookmarkEnd w:id="38"/>
      <w:bookmarkEnd w:id="39"/>
      <w:bookmarkStart w:id="65" w:name="_Toc54618486"/>
      <w:bookmarkStart w:id="66" w:name="_Toc55511606"/>
      <w:bookmarkStart w:id="67" w:name="_Toc54614967"/>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图3  湖南省国土空间总体格局示意图</w:t>
      </w:r>
    </w:p>
    <w:p>
      <w:pPr>
        <w:jc w:val="center"/>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drawing>
          <wp:inline distT="0" distB="0" distL="0" distR="0">
            <wp:extent cx="5655945" cy="743140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5" cstate="print">
                      <a:extLst>
                        <a:ext uri="{28A0092B-C50C-407E-A947-70E740481C1C}">
                          <a14:useLocalDpi xmlns:a14="http://schemas.microsoft.com/office/drawing/2010/main" val="false"/>
                        </a:ext>
                      </a:extLst>
                    </a:blip>
                    <a:srcRect l="4381" t="6946" r="4571" b="5824"/>
                    <a:stretch>
                      <a:fillRect/>
                    </a:stretch>
                  </pic:blipFill>
                  <pic:spPr>
                    <a:xfrm>
                      <a:off x="0" y="0"/>
                      <a:ext cx="5658967" cy="7434792"/>
                    </a:xfrm>
                    <a:prstGeom prst="rect">
                      <a:avLst/>
                    </a:prstGeom>
                    <a:ln>
                      <a:noFill/>
                    </a:ln>
                  </pic:spPr>
                </pic:pic>
              </a:graphicData>
            </a:graphic>
          </wp:inline>
        </w:drawing>
      </w: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68" w:name="_Toc62051576"/>
      <w:r>
        <w:rPr>
          <w:rFonts w:ascii="Times New Roman" w:hAnsi="Times New Roman" w:eastAsia="方正小标宋_GBK" w:cs="Times New Roman"/>
          <w:color w:val="000000" w:themeColor="text1"/>
          <w:sz w:val="32"/>
          <w:szCs w:val="32"/>
          <w14:textFill>
            <w14:solidFill>
              <w14:schemeClr w14:val="tx1"/>
            </w14:solidFill>
          </w14:textFill>
        </w:rPr>
        <w:t>第四篇  着力建设全面融入新发展格局的现代化新湖南</w:t>
      </w:r>
      <w:bookmarkEnd w:id="68"/>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以扩大内需为战略基点，扭住供给侧结构性改革，注重需求侧管理，充分利用国内国际两个市场、两种资源，构建畅通高效的市场体系、流通体系，夯实基础设施支撑能力，打造国内大循环和国内国际双循环重要节点。</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69" w:name="_Toc62051577"/>
      <w:r>
        <w:rPr>
          <w:rFonts w:ascii="Times New Roman" w:hAnsi="Times New Roman" w:eastAsia="黑体" w:cs="Times New Roman"/>
          <w:bCs/>
          <w:color w:val="000000" w:themeColor="text1"/>
          <w:sz w:val="32"/>
          <w:szCs w:val="32"/>
          <w14:textFill>
            <w14:solidFill>
              <w14:schemeClr w14:val="tx1"/>
            </w14:solidFill>
          </w14:textFill>
        </w:rPr>
        <w:t>第十三章  畅通经济循环</w:t>
      </w:r>
      <w:bookmarkEnd w:id="69"/>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融入国内强大市场，推动形成要素、产业、供需、交通、物流、市场等全面畅通循环，增强经济融合协同发展能力，提升全省经济整体效能，发挥湖南在国内国际双循环中的重要节点作用。</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0" w:name="_Toc62051578"/>
      <w:r>
        <w:rPr>
          <w:rFonts w:ascii="Times New Roman" w:hAnsi="Times New Roman" w:eastAsia="楷体_GB2312" w:cs="Times New Roman"/>
          <w:b/>
          <w:bCs/>
          <w:color w:val="000000" w:themeColor="text1"/>
          <w:sz w:val="32"/>
          <w:szCs w:val="32"/>
          <w14:textFill>
            <w14:solidFill>
              <w14:schemeClr w14:val="tx1"/>
            </w14:solidFill>
          </w14:textFill>
        </w:rPr>
        <w:t>第一节  全面融入国内大循环</w:t>
      </w:r>
      <w:bookmarkEnd w:id="70"/>
    </w:p>
    <w:p>
      <w:pPr>
        <w:autoSpaceDE w:val="0"/>
        <w:autoSpaceDN w:val="0"/>
        <w:spacing w:line="596" w:lineRule="exact"/>
        <w:ind w:firstLine="634"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color w:val="000000" w:themeColor="text1"/>
          <w:spacing w:val="-2"/>
          <w:kern w:val="0"/>
          <w:sz w:val="32"/>
          <w:szCs w:val="32"/>
          <w14:textFill>
            <w14:solidFill>
              <w14:schemeClr w14:val="tx1"/>
            </w14:solidFill>
          </w14:textFill>
        </w:rPr>
        <w:t>推进供需适配。</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深化供给侧结构性改革，加强质量体系建设，增加高质量、高水平有效供给，</w:t>
      </w:r>
      <w:r>
        <w:rPr>
          <w:rFonts w:hint="eastAsia" w:ascii="Times New Roman" w:hAnsi="Times New Roman" w:eastAsia="仿宋_GB2312" w:cs="Times New Roman"/>
          <w:color w:val="000000" w:themeColor="text1"/>
          <w:spacing w:val="-2"/>
          <w:kern w:val="0"/>
          <w:sz w:val="32"/>
          <w:szCs w:val="32"/>
          <w14:textFill>
            <w14:solidFill>
              <w14:schemeClr w14:val="tx1"/>
            </w14:solidFill>
          </w14:textFill>
        </w:rPr>
        <w:t>提升“湖南供给”对全国需求的适配性和在国际市场的竞争力。</w:t>
      </w:r>
      <w:r>
        <w:rPr>
          <w:rFonts w:ascii="Times New Roman" w:hAnsi="Times New Roman" w:eastAsia="仿宋_GB2312" w:cs="Times New Roman"/>
          <w:color w:val="000000" w:themeColor="text1"/>
          <w:spacing w:val="-2"/>
          <w:kern w:val="0"/>
          <w:sz w:val="32"/>
          <w:szCs w:val="32"/>
          <w14:textFill>
            <w14:solidFill>
              <w14:schemeClr w14:val="tx1"/>
            </w14:solidFill>
          </w14:textFill>
        </w:rPr>
        <w:t>顺应多层次、多元化的市场需求，调整优化现有供给结构，改善供给质量，以高质量供给适应、引领、创造新需求。以需求侧管理引导供给优化，充分依托数字技术，不断挖掘和拓宽消费渠道，充分挖掘市场消费潜力，科学开展市场需求引导与经济调控，提高对市场预期准确度，释放需求空间，扩大本地消费，提高电子商务上行比例</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left="-2" w:leftChars="-1" w:firstLine="629" w:firstLineChars="196"/>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推进要素高效配置。</w:t>
      </w:r>
      <w:r>
        <w:rPr>
          <w:rFonts w:ascii="Times New Roman" w:hAnsi="Times New Roman" w:eastAsia="仿宋_GB2312" w:cs="Times New Roman"/>
          <w:color w:val="000000" w:themeColor="text1"/>
          <w:kern w:val="0"/>
          <w:sz w:val="32"/>
          <w:szCs w:val="32"/>
          <w14:textFill>
            <w14:solidFill>
              <w14:schemeClr w14:val="tx1"/>
            </w14:solidFill>
          </w14:textFill>
        </w:rPr>
        <w:t>加快产权、要素交易和价格制度改革，加强知识产权创造保护运用，建立反映供求关系和稀缺程度的要素价格形成机制，实现自然资源、劳动力、资本、技术、数据、管理等各类要素高效配置和发挥效应。加大教育和人力资本投入，抓好教育培训，提高人力资本质量，优化人力资本结构，提高全员劳动生产率。破除妨碍生产要素市场化配置和商品服务流通的体制机制障碍，降低全社会交易成本，推动资源要素集中到先进产能，提高全要素生产率。</w:t>
      </w:r>
    </w:p>
    <w:p>
      <w:pPr>
        <w:autoSpaceDE w:val="0"/>
        <w:autoSpaceDN w:val="0"/>
        <w:spacing w:line="596" w:lineRule="exact"/>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 xml:space="preserve">    推进产业衔接协调。</w:t>
      </w:r>
      <w:r>
        <w:rPr>
          <w:rFonts w:ascii="Times New Roman" w:hAnsi="Times New Roman" w:eastAsia="仿宋_GB2312" w:cs="Times New Roman"/>
          <w:color w:val="000000" w:themeColor="text1"/>
          <w:kern w:val="0"/>
          <w:sz w:val="32"/>
          <w:szCs w:val="32"/>
          <w14:textFill>
            <w14:solidFill>
              <w14:schemeClr w14:val="tx1"/>
            </w14:solidFill>
          </w14:textFill>
        </w:rPr>
        <w:t>推动金融、房地产同实体经济均衡发展，坚持金融服务实体经济的导向，优化完善金融体系，坚持“房住不炒”的定位，发挥房地产的合理作用，协同实体经济发展。推动产业上下游均衡发展，促进产供销有效衔接，完善上下游产业链和产业分工协作。推动农业、制造业、服务业、能源资源等产业门类均衡发展，加强能源、土地、人才、科技等各类资源要素均衡高效配置。</w:t>
      </w:r>
    </w:p>
    <w:p>
      <w:pPr>
        <w:spacing w:line="568" w:lineRule="exact"/>
        <w:ind w:left="-2" w:leftChars="-1" w:firstLine="629" w:firstLineChars="196"/>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推进统一开放市场建设。</w:t>
      </w:r>
      <w:r>
        <w:rPr>
          <w:rFonts w:ascii="Times New Roman" w:hAnsi="Times New Roman" w:eastAsia="仿宋_GB2312" w:cs="Times New Roman"/>
          <w:color w:val="000000" w:themeColor="text1"/>
          <w:sz w:val="32"/>
          <w:szCs w:val="32"/>
          <w14:textFill>
            <w14:solidFill>
              <w14:schemeClr w14:val="tx1"/>
            </w14:solidFill>
          </w14:textFill>
        </w:rPr>
        <w:t>贯通生产、分配、流通、消费各个环节，更多依靠国内市场实现畅顺循环。</w:t>
      </w:r>
      <w:r>
        <w:rPr>
          <w:rFonts w:ascii="Times New Roman" w:hAnsi="Times New Roman" w:eastAsia="仿宋_GB2312" w:cs="Times New Roman"/>
          <w:color w:val="000000" w:themeColor="text1"/>
          <w:kern w:val="0"/>
          <w:sz w:val="32"/>
          <w:szCs w:val="32"/>
          <w14:textFill>
            <w14:solidFill>
              <w14:schemeClr w14:val="tx1"/>
            </w14:solidFill>
          </w14:textFill>
        </w:rPr>
        <w:t>在生产环节，大力提高生产与消费的适配性，降低生产成本，提升全省生产能力和供给水平。在分配环节，构建基于国内统一市场的资源要素配置和商品分配体系，提高市场配置效率。在流通环节，依托构建现代物流体系，综合运用线上线下多种方式，畅通产品流通渠道和网络，促进直供直销，降低流通成本，提升流通效率。在消费环节，清除市场壁垒，加强市场营销，改进消费服务，实现生产有效贯通到消费末端。</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1" w:name="_Toc62051579"/>
      <w:r>
        <w:rPr>
          <w:rFonts w:ascii="Times New Roman" w:hAnsi="Times New Roman" w:eastAsia="楷体_GB2312" w:cs="Times New Roman"/>
          <w:b/>
          <w:bCs/>
          <w:color w:val="000000" w:themeColor="text1"/>
          <w:sz w:val="32"/>
          <w:szCs w:val="32"/>
          <w14:textFill>
            <w14:solidFill>
              <w14:schemeClr w14:val="tx1"/>
            </w14:solidFill>
          </w14:textFill>
        </w:rPr>
        <w:t>第二节  促进国内国际双循环</w:t>
      </w:r>
      <w:bookmarkEnd w:id="71"/>
    </w:p>
    <w:p>
      <w:pPr>
        <w:autoSpaceDE w:val="0"/>
        <w:autoSpaceDN w:val="0"/>
        <w:spacing w:line="568" w:lineRule="exact"/>
        <w:ind w:firstLine="642" w:firstLineChars="200"/>
        <w:rPr>
          <w:rFonts w:ascii="Times New Roman" w:hAnsi="Times New Roman" w:eastAsia="仿宋_GB2312" w:cs="Times New Roman"/>
          <w:bCs/>
          <w:color w:val="000000" w:themeColor="text1"/>
          <w:kern w:val="0"/>
          <w:sz w:val="32"/>
          <w:lang w:bidi="zh-CN"/>
          <w14:textFill>
            <w14:solidFill>
              <w14:schemeClr w14:val="tx1"/>
            </w14:solidFill>
          </w14:textFill>
        </w:rPr>
      </w:pPr>
      <w:r>
        <w:rPr>
          <w:rFonts w:ascii="Times New Roman" w:hAnsi="Times New Roman" w:eastAsia="仿宋_GB2312" w:cs="Times New Roman"/>
          <w:b/>
          <w:color w:val="000000" w:themeColor="text1"/>
          <w:kern w:val="0"/>
          <w:sz w:val="32"/>
          <w:lang w:bidi="zh-CN"/>
          <w14:textFill>
            <w14:solidFill>
              <w14:schemeClr w14:val="tx1"/>
            </w14:solidFill>
          </w14:textFill>
        </w:rPr>
        <w:t>提高对外市场开放水平。</w:t>
      </w:r>
      <w:r>
        <w:rPr>
          <w:rFonts w:ascii="Times New Roman" w:hAnsi="Times New Roman" w:eastAsia="仿宋_GB2312" w:cs="Times New Roman"/>
          <w:color w:val="000000" w:themeColor="text1"/>
          <w:kern w:val="0"/>
          <w:sz w:val="32"/>
          <w:szCs w:val="32"/>
          <w14:textFill>
            <w14:solidFill>
              <w14:schemeClr w14:val="tx1"/>
            </w14:solidFill>
          </w14:textFill>
        </w:rPr>
        <w:t>优化国内国际市场布局、商品结构、贸易方式，</w:t>
      </w:r>
      <w:r>
        <w:rPr>
          <w:rFonts w:ascii="Times New Roman" w:hAnsi="Times New Roman" w:eastAsia="仿宋_GB2312" w:cs="Times New Roman"/>
          <w:bCs/>
          <w:color w:val="000000" w:themeColor="text1"/>
          <w:kern w:val="0"/>
          <w:sz w:val="32"/>
          <w:lang w:bidi="zh-CN"/>
          <w14:textFill>
            <w14:solidFill>
              <w14:schemeClr w14:val="tx1"/>
            </w14:solidFill>
          </w14:textFill>
        </w:rPr>
        <w:t>深化国内外市场一体化建设。提高全省市场对外开放程度，积极开拓海外市场和跨境合作，提升湘企湘品在两个市场的占有率。</w:t>
      </w:r>
      <w:r>
        <w:rPr>
          <w:rFonts w:ascii="Times New Roman" w:hAnsi="Times New Roman" w:eastAsia="仿宋_GB2312" w:cs="Times New Roman"/>
          <w:color w:val="000000" w:themeColor="text1"/>
          <w:kern w:val="0"/>
          <w:sz w:val="32"/>
          <w:szCs w:val="32"/>
          <w14:textFill>
            <w14:solidFill>
              <w14:schemeClr w14:val="tx1"/>
            </w14:solidFill>
          </w14:textFill>
        </w:rPr>
        <w:t>加强与省外沟通衔接，深化国内区域合作</w:t>
      </w:r>
      <w:r>
        <w:rPr>
          <w:rFonts w:ascii="Times New Roman" w:hAnsi="Times New Roman" w:eastAsia="仿宋_GB2312" w:cs="Times New Roman"/>
          <w:bCs/>
          <w:color w:val="000000" w:themeColor="text1"/>
          <w:kern w:val="0"/>
          <w:sz w:val="32"/>
          <w:lang w:bidi="zh-CN"/>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积极参与国内市场建设，主动服务国家开放战略，深度融入共建“一带一路”。大力推动出口转内销，</w:t>
      </w:r>
      <w:r>
        <w:rPr>
          <w:rFonts w:ascii="Times New Roman" w:hAnsi="Times New Roman" w:eastAsia="仿宋_GB2312" w:cs="Times New Roman"/>
          <w:bCs/>
          <w:color w:val="000000" w:themeColor="text1"/>
          <w:kern w:val="0"/>
          <w:sz w:val="32"/>
          <w:lang w:bidi="zh-CN"/>
          <w14:textFill>
            <w14:solidFill>
              <w14:schemeClr w14:val="tx1"/>
            </w14:solidFill>
          </w14:textFill>
        </w:rPr>
        <w:t>推进同线同标同质，促进内外贸法律法规、监管体制、经营资质、质量标准、检验检疫、认证认可等相衔接，推动内外贸一体化调控。</w:t>
      </w:r>
    </w:p>
    <w:p>
      <w:pPr>
        <w:autoSpaceDE w:val="0"/>
        <w:autoSpaceDN w:val="0"/>
        <w:spacing w:line="568" w:lineRule="exact"/>
        <w:ind w:firstLine="634" w:firstLineChars="200"/>
        <w:jc w:val="left"/>
        <w:rPr>
          <w:rFonts w:ascii="Times New Roman" w:hAnsi="Times New Roman" w:eastAsia="仿宋_GB2312" w:cs="Times New Roman"/>
          <w:bCs/>
          <w:color w:val="000000" w:themeColor="text1"/>
          <w:kern w:val="0"/>
          <w:sz w:val="32"/>
          <w:lang w:bidi="zh-CN"/>
          <w14:textFill>
            <w14:solidFill>
              <w14:schemeClr w14:val="tx1"/>
            </w14:solidFill>
          </w14:textFill>
        </w:rPr>
      </w:pPr>
      <w:r>
        <w:rPr>
          <w:rFonts w:ascii="Times New Roman" w:hAnsi="Times New Roman" w:eastAsia="仿宋_GB2312" w:cs="Times New Roman"/>
          <w:b/>
          <w:color w:val="000000" w:themeColor="text1"/>
          <w:spacing w:val="-2"/>
          <w:kern w:val="0"/>
          <w:sz w:val="32"/>
          <w:lang w:bidi="zh-CN"/>
          <w14:textFill>
            <w14:solidFill>
              <w14:schemeClr w14:val="tx1"/>
            </w14:solidFill>
          </w14:textFill>
        </w:rPr>
        <w:t>集聚优质资源要素。</w:t>
      </w:r>
      <w:r>
        <w:rPr>
          <w:rFonts w:ascii="Times New Roman" w:hAnsi="Times New Roman" w:eastAsia="仿宋_GB2312" w:cs="Times New Roman"/>
          <w:bCs/>
          <w:color w:val="000000" w:themeColor="text1"/>
          <w:spacing w:val="-2"/>
          <w:kern w:val="0"/>
          <w:sz w:val="32"/>
          <w:lang w:bidi="zh-CN"/>
          <w14:textFill>
            <w14:solidFill>
              <w14:schemeClr w14:val="tx1"/>
            </w14:solidFill>
          </w14:textFill>
        </w:rPr>
        <w:t>立足人口大省和科教大省优势，发挥区域枢纽地位，吸引全球资源要素集聚。建立与国际接轨的专业人才培育和引进体系，建立符合国际通行规则的技术管理和分享机制，加快形成与国际投资、贸易通行规则相衔接的基本制度体系和监管模式，提升贸易便利化水平，优化外商投资环境，增加引进资金、资源和优质产品，集聚国内外高端要素资源</w:t>
      </w:r>
      <w:r>
        <w:rPr>
          <w:rFonts w:ascii="Times New Roman" w:hAnsi="Times New Roman" w:eastAsia="仿宋_GB2312" w:cs="Times New Roman"/>
          <w:bCs/>
          <w:color w:val="000000" w:themeColor="text1"/>
          <w:kern w:val="0"/>
          <w:sz w:val="32"/>
          <w:lang w:bidi="zh-CN"/>
          <w14:textFill>
            <w14:solidFill>
              <w14:schemeClr w14:val="tx1"/>
            </w14:solidFill>
          </w14:textFill>
        </w:rPr>
        <w:t>。</w:t>
      </w:r>
    </w:p>
    <w:p>
      <w:pPr>
        <w:spacing w:before="447" w:beforeLines="100" w:after="447" w:afterLines="100" w:line="568"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72" w:name="_Toc62051580"/>
      <w:r>
        <w:rPr>
          <w:rFonts w:ascii="Times New Roman" w:hAnsi="Times New Roman" w:eastAsia="黑体" w:cs="Times New Roman"/>
          <w:bCs/>
          <w:color w:val="000000" w:themeColor="text1"/>
          <w:sz w:val="32"/>
          <w:szCs w:val="32"/>
          <w14:textFill>
            <w14:solidFill>
              <w14:schemeClr w14:val="tx1"/>
            </w14:solidFill>
          </w14:textFill>
        </w:rPr>
        <w:t>第十四章  促进消费升级</w:t>
      </w:r>
      <w:bookmarkEnd w:id="72"/>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color w:val="000000" w:themeColor="text1"/>
          <w:kern w:val="0"/>
          <w:sz w:val="32"/>
          <w:szCs w:val="32"/>
          <w:lang w:bidi="zh-CN"/>
          <w14:textFill>
            <w14:solidFill>
              <w14:schemeClr w14:val="tx1"/>
            </w14:solidFill>
          </w14:textFill>
        </w:rPr>
        <w:t>增强消费对经济发展的基础性作用，顺应居民消费升级趋势，积极培育重点领域消费，加快完善促进消费体制机制，激发消费潜力，营造放心消费环境，助力形成强大国内市场。</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3" w:name="_Toc62051581"/>
      <w:r>
        <w:rPr>
          <w:rFonts w:ascii="Times New Roman" w:hAnsi="Times New Roman" w:eastAsia="楷体_GB2312" w:cs="Times New Roman"/>
          <w:b/>
          <w:bCs/>
          <w:color w:val="000000" w:themeColor="text1"/>
          <w:sz w:val="32"/>
          <w:szCs w:val="32"/>
          <w14:textFill>
            <w14:solidFill>
              <w14:schemeClr w14:val="tx1"/>
            </w14:solidFill>
          </w14:textFill>
        </w:rPr>
        <w:t>第一节  提升消费品质</w:t>
      </w:r>
      <w:bookmarkEnd w:id="73"/>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提升传统消费。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促进吃穿用住行等传统实物消费提档升级，促进消费向智能、绿色、健康、安全方向转变。推动吃穿用消费品质升级，带动生活必需品消费提质扩容。促进住房消费健康发展，</w:t>
      </w:r>
      <w:r>
        <w:rPr>
          <w:rFonts w:ascii="Times New Roman" w:hAnsi="Times New Roman" w:eastAsia="仿宋_GB2312" w:cs="Times New Roman"/>
          <w:color w:val="000000" w:themeColor="text1"/>
          <w:kern w:val="0"/>
          <w:sz w:val="32"/>
          <w:szCs w:val="32"/>
          <w:lang w:bidi="zh-CN"/>
          <w14:textFill>
            <w14:solidFill>
              <w14:schemeClr w14:val="tx1"/>
            </w14:solidFill>
          </w14:textFill>
        </w:rPr>
        <w:t>推动居住类产品消费质量提升，</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持续改善居住品质。加强保障性租赁住房建设，规范发展长租房市场。挖掘汽车、家居家电等大宗商品消费潜力，促进汽车消费“更新换代”，</w:t>
      </w:r>
      <w:r>
        <w:rPr>
          <w:rFonts w:ascii="Times New Roman" w:hAnsi="Times New Roman" w:eastAsia="仿宋_GB2312" w:cs="Times New Roman"/>
          <w:color w:val="000000" w:themeColor="text1"/>
          <w:kern w:val="0"/>
          <w:sz w:val="32"/>
          <w:szCs w:val="32"/>
          <w:lang w:bidi="zh-CN"/>
          <w14:textFill>
            <w14:solidFill>
              <w14:schemeClr w14:val="tx1"/>
            </w14:solidFill>
          </w14:textFill>
        </w:rPr>
        <w:t>完善废旧家电回收处理体系，推动家电更新消费。促进餐饮住宿消费，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扩大托育托幼消费，提质文化体育旅游休闲消费，升级家政服务消费，完善健康养老消费，放宽服务消费领域市场准入。</w:t>
      </w:r>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发展新型消费。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完善“互联网+”消费生态体系，推动线上线下消费有机融合。建立健全“互联网+</w:t>
      </w:r>
      <w:r>
        <w:rPr>
          <w:rFonts w:ascii="Times New Roman" w:hAnsi="Times New Roman" w:eastAsia="仿宋_GB2312" w:cs="Times New Roman"/>
          <w:color w:val="000000" w:themeColor="text1"/>
          <w:kern w:val="0"/>
          <w:sz w:val="32"/>
          <w:szCs w:val="32"/>
          <w:lang w:bidi="zh-CN"/>
          <w14:textFill>
            <w14:solidFill>
              <w14:schemeClr w14:val="tx1"/>
            </w14:solidFill>
          </w14:textFill>
        </w:rPr>
        <w:t>社会</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服务”</w:t>
      </w:r>
      <w:r>
        <w:rPr>
          <w:rFonts w:ascii="Times New Roman" w:hAnsi="Times New Roman" w:eastAsia="仿宋_GB2312" w:cs="Times New Roman"/>
          <w:color w:val="000000" w:themeColor="text1"/>
          <w:kern w:val="0"/>
          <w:sz w:val="32"/>
          <w:szCs w:val="32"/>
          <w:lang w:bidi="zh-CN"/>
          <w14:textFill>
            <w14:solidFill>
              <w14:schemeClr w14:val="tx1"/>
            </w14:solidFill>
          </w14:textFill>
        </w:rPr>
        <w:t>消费模式</w:t>
      </w:r>
      <w:r>
        <w:rPr>
          <w:rFonts w:hint="eastAsia" w:ascii="Times New Roman" w:hAnsi="Times New Roman" w:eastAsia="仿宋_GB2312" w:cs="Times New Roman"/>
          <w:color w:val="000000" w:themeColor="text1"/>
          <w:kern w:val="0"/>
          <w:sz w:val="32"/>
          <w:szCs w:val="32"/>
          <w:lang w:val="zh-CN" w:bidi="zh-CN"/>
          <w14:textFill>
            <w14:solidFill>
              <w14:schemeClr w14:val="tx1"/>
            </w14:solidFill>
          </w14:textFill>
        </w:rPr>
        <w:t>，</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拓展服务内容，扩大服务覆盖面。支持互联网平台企业向线下延伸拓展，加快传统线下业态数字化改造和转型升级，支持实体企业开发数字化产品和服务。创新无接触、</w:t>
      </w:r>
      <w:r>
        <w:rPr>
          <w:rFonts w:ascii="Times New Roman" w:hAnsi="Times New Roman" w:eastAsia="仿宋_GB2312" w:cs="Times New Roman"/>
          <w:color w:val="000000" w:themeColor="text1"/>
          <w:kern w:val="0"/>
          <w:sz w:val="32"/>
          <w:szCs w:val="32"/>
          <w:lang w:bidi="zh-CN"/>
          <w14:textFill>
            <w14:solidFill>
              <w14:schemeClr w14:val="tx1"/>
            </w14:solidFill>
          </w14:textFill>
        </w:rPr>
        <w:t>少接触</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消费模式，探索发展智慧超市、智慧商店、智慧餐厅等新零售业态，支持生鲜、医药品及其他零售品融合电商发展。</w:t>
      </w:r>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扩大农村消费。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畅通城乡消费联通渠道，扩大电子商务进农村覆盖面，持续做好农批、农贸（集贸市场）提质升级，加快工业品下乡和农产品进城，推动消费新业态新模式向农村市场拓展，引导农村消费梯次升级。推动汽车下乡，鼓励整车企业开展多品牌联合经营，加快建设城乡一体的汽车销售和售后服务网络。推动农村地区家电更新换代，鼓励家电生产企业依托销售网点开展家电下乡。</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4" w:name="_Toc62051582"/>
      <w:r>
        <w:rPr>
          <w:rFonts w:ascii="Times New Roman" w:hAnsi="Times New Roman" w:eastAsia="楷体_GB2312" w:cs="Times New Roman"/>
          <w:b/>
          <w:bCs/>
          <w:color w:val="000000" w:themeColor="text1"/>
          <w:sz w:val="32"/>
          <w:szCs w:val="32"/>
          <w14:textFill>
            <w14:solidFill>
              <w14:schemeClr w14:val="tx1"/>
            </w14:solidFill>
          </w14:textFill>
        </w:rPr>
        <w:t>第二节  完善城乡消费网络</w:t>
      </w:r>
      <w:bookmarkEnd w:id="74"/>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结合区域发展布局打造多层级消费中心。</w:t>
      </w:r>
      <w:r>
        <w:rPr>
          <w:rFonts w:ascii="Times New Roman" w:hAnsi="Times New Roman" w:eastAsia="仿宋_GB2312" w:cs="Times New Roman"/>
          <w:color w:val="000000" w:themeColor="text1"/>
          <w:kern w:val="0"/>
          <w:sz w:val="32"/>
          <w:szCs w:val="32"/>
          <w:lang w:bidi="zh-CN"/>
          <w14:textFill>
            <w14:solidFill>
              <w14:schemeClr w14:val="tx1"/>
            </w14:solidFill>
          </w14:textFill>
        </w:rPr>
        <w:t xml:space="preserve">持续提升都市圈内公共服务共建共享和基础设施互联互通水平，推动都市圈消费升级。培育建设区域性国际消费中心城市，着力建设辐射带动能力强、资源整合有优势的若干区域消费中心和文化旅游消费试点、示范城市，同步加强中小型消费城市梯队建设，支持创建新型消费示范城市，支持做强“首店经济”“首发经济”。 </w:t>
      </w:r>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color w:val="000000" w:themeColor="text1"/>
          <w:kern w:val="0"/>
          <w:sz w:val="32"/>
          <w:szCs w:val="32"/>
          <w:lang w:bidi="zh-CN"/>
          <w14:textFill>
            <w14:solidFill>
              <w14:schemeClr w14:val="tx1"/>
            </w14:solidFill>
          </w14:textFill>
        </w:rPr>
        <w:t>建设</w:t>
      </w: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城乡融合消费网络节点</w:t>
      </w:r>
      <w:r>
        <w:rPr>
          <w:rFonts w:ascii="Times New Roman" w:hAnsi="Times New Roman" w:eastAsia="仿宋_GB2312" w:cs="Times New Roman"/>
          <w:b/>
          <w:color w:val="000000" w:themeColor="text1"/>
          <w:kern w:val="0"/>
          <w:sz w:val="32"/>
          <w:szCs w:val="32"/>
          <w:lang w:bidi="zh-CN"/>
          <w14:textFill>
            <w14:solidFill>
              <w14:schemeClr w14:val="tx1"/>
            </w14:solidFill>
          </w14:textFill>
        </w:rPr>
        <w:t>。</w:t>
      </w:r>
      <w:r>
        <w:rPr>
          <w:rFonts w:ascii="Times New Roman" w:hAnsi="Times New Roman" w:eastAsia="仿宋_GB2312" w:cs="Times New Roman"/>
          <w:color w:val="000000" w:themeColor="text1"/>
          <w:kern w:val="0"/>
          <w:sz w:val="32"/>
          <w:szCs w:val="32"/>
          <w:lang w:bidi="zh-CN"/>
          <w14:textFill>
            <w14:solidFill>
              <w14:schemeClr w14:val="tx1"/>
            </w14:solidFill>
          </w14:textFill>
        </w:rPr>
        <w:t>加快推进成熟商圈提档提质和商业步行街改造提升，积极发展智慧街区、智慧商圈，鼓励有条件的街区加快数字化改造，提供全方位数字生活新服务。优化百货商场、购物中心、便利店、农贸市场等城乡商业网点布局，完善农村现代流通网络体系，鼓励特色农产品的网上消费、体验消费和定制消费，拓宽农产品进城消费渠道。完善社区便民消费设施，加快建设便民生活服务圈、城市社区邻里中心和农村社区综合性服务网点，规划建设以县城为重要载体的城乡融合消费网络节点，畅通城乡消费循环。</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5" w:name="_Toc62051583"/>
      <w:r>
        <w:rPr>
          <w:rFonts w:ascii="Times New Roman" w:hAnsi="Times New Roman" w:eastAsia="楷体_GB2312" w:cs="Times New Roman"/>
          <w:b/>
          <w:bCs/>
          <w:color w:val="000000" w:themeColor="text1"/>
          <w:sz w:val="32"/>
          <w:szCs w:val="32"/>
          <w14:textFill>
            <w14:solidFill>
              <w14:schemeClr w14:val="tx1"/>
            </w14:solidFill>
          </w14:textFill>
        </w:rPr>
        <w:t>第三节  激发消费潜力</w:t>
      </w:r>
      <w:bookmarkEnd w:id="75"/>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完善消费政策。</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稳定和增加居民收入</w:t>
      </w:r>
      <w:r>
        <w:rPr>
          <w:rFonts w:ascii="Times New Roman" w:hAnsi="Times New Roman" w:eastAsia="仿宋_GB2312" w:cs="Times New Roman"/>
          <w:color w:val="000000" w:themeColor="text1"/>
          <w:kern w:val="0"/>
          <w:sz w:val="32"/>
          <w:szCs w:val="32"/>
          <w:lang w:bidi="zh-CN"/>
          <w14:textFill>
            <w14:solidFill>
              <w14:schemeClr w14:val="tx1"/>
            </w14:solidFill>
          </w14:textFill>
        </w:rPr>
        <w:t>，完善有利于提升居民消费的政策措施，提升消费能力和消费意愿</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w:t>
      </w:r>
      <w:r>
        <w:rPr>
          <w:rFonts w:ascii="Times New Roman" w:hAnsi="Times New Roman" w:eastAsia="仿宋_GB2312" w:cs="Times New Roman"/>
          <w:color w:val="000000" w:themeColor="text1"/>
          <w:kern w:val="0"/>
          <w:sz w:val="32"/>
          <w:szCs w:val="32"/>
          <w:lang w:bidi="zh-CN"/>
          <w14:textFill>
            <w14:solidFill>
              <w14:schemeClr w14:val="tx1"/>
            </w14:solidFill>
          </w14:textFill>
        </w:rPr>
        <w:t>落实带薪休假制度，扩大节假日消费，增强节日消费便利程度，丰富节日消费市场商品和服务供给。</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规范发展消费</w:t>
      </w:r>
      <w:r>
        <w:rPr>
          <w:rFonts w:ascii="Times New Roman" w:hAnsi="Times New Roman" w:eastAsia="仿宋_GB2312" w:cs="Times New Roman"/>
          <w:color w:val="000000" w:themeColor="text1"/>
          <w:kern w:val="0"/>
          <w:sz w:val="32"/>
          <w:szCs w:val="32"/>
          <w:lang w:bidi="zh-CN"/>
          <w14:textFill>
            <w14:solidFill>
              <w14:schemeClr w14:val="tx1"/>
            </w14:solidFill>
          </w14:textFill>
        </w:rPr>
        <w:t>金融</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，提升金融服务质效，</w:t>
      </w:r>
      <w:r>
        <w:rPr>
          <w:rFonts w:ascii="Times New Roman" w:hAnsi="Times New Roman" w:eastAsia="仿宋_GB2312" w:cs="Times New Roman"/>
          <w:color w:val="000000" w:themeColor="text1"/>
          <w:kern w:val="0"/>
          <w:sz w:val="32"/>
          <w:szCs w:val="32"/>
          <w:lang w:bidi="zh-CN"/>
          <w14:textFill>
            <w14:solidFill>
              <w14:schemeClr w14:val="tx1"/>
            </w14:solidFill>
          </w14:textFill>
        </w:rPr>
        <w:t>进一步释放消费需求。</w:t>
      </w:r>
    </w:p>
    <w:p>
      <w:pPr>
        <w:autoSpaceDE w:val="0"/>
        <w:autoSpaceDN w:val="0"/>
        <w:spacing w:line="596" w:lineRule="exact"/>
        <w:ind w:firstLine="642"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bidi="zh-CN"/>
          <w14:textFill>
            <w14:solidFill>
              <w14:schemeClr w14:val="tx1"/>
            </w14:solidFill>
          </w14:textFill>
        </w:rPr>
        <w:t>营造放心消费环境。</w:t>
      </w:r>
      <w:r>
        <w:rPr>
          <w:rFonts w:ascii="Times New Roman" w:hAnsi="Times New Roman" w:eastAsia="仿宋_GB2312" w:cs="Times New Roman"/>
          <w:color w:val="000000" w:themeColor="text1"/>
          <w:kern w:val="0"/>
          <w:sz w:val="32"/>
          <w:szCs w:val="32"/>
          <w:lang w:bidi="zh-CN"/>
          <w14:textFill>
            <w14:solidFill>
              <w14:schemeClr w14:val="tx1"/>
            </w14:solidFill>
          </w14:textFill>
        </w:rPr>
        <w:t>加强消费品质量安全监管、追溯、召回制度，</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畅通消费维权渠道，创新健全消费者维权保障体系。加强价格监管和反不正当竞争执法，探索建立消费环境测评体系。充分运用</w:t>
      </w:r>
      <w:r>
        <w:rPr>
          <w:rFonts w:ascii="Times New Roman" w:hAnsi="Times New Roman" w:eastAsia="仿宋_GB2312" w:cs="Times New Roman"/>
          <w:color w:val="000000" w:themeColor="text1"/>
          <w:kern w:val="0"/>
          <w:sz w:val="32"/>
          <w:szCs w:val="32"/>
          <w:lang w:bidi="zh-CN"/>
          <w14:textFill>
            <w14:solidFill>
              <w14:schemeClr w14:val="tx1"/>
            </w14:solidFill>
          </w14:textFill>
        </w:rPr>
        <w:t>政府信息平台，</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推动家政服务等消费领域信用体系建设，完善个人信息保护和消费后评价。强化市场秩序监管，维护公平竞争市场环境。</w:t>
      </w:r>
    </w:p>
    <w:tbl>
      <w:tblPr>
        <w:tblStyle w:val="2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03" w:type="dxa"/>
            <w:vAlign w:val="center"/>
          </w:tcPr>
          <w:p>
            <w:pPr>
              <w:autoSpaceDE w:val="0"/>
              <w:autoSpaceDN w:val="0"/>
              <w:spacing w:line="340" w:lineRule="atLeast"/>
              <w:ind w:firstLine="278"/>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专栏17  消费升级促进工程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03" w:type="dxa"/>
          </w:tcPr>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传统消费巩固提升行动。</w:t>
            </w:r>
            <w:r>
              <w:rPr>
                <w:rFonts w:ascii="Times New Roman" w:hAnsi="Times New Roman" w:eastAsia="宋体" w:cs="Times New Roman"/>
                <w:bCs/>
                <w:color w:val="000000" w:themeColor="text1"/>
                <w:sz w:val="24"/>
                <w:szCs w:val="24"/>
                <w14:textFill>
                  <w14:solidFill>
                    <w14:schemeClr w14:val="tx1"/>
                  </w14:solidFill>
                </w14:textFill>
              </w:rPr>
              <w:t>开展“汽车下乡”和汽车“更新换代”促销活动，出台省级新能源汽车推广应用调整升级政策，建立健全报废汽车回收利用体系。鼓励发展“互联网+废旧物资回收”新模式，促进家电家具等以旧换新。持续推动零售行业创新发展，做大做强省内重点零售企业，引进境内外知名零售品牌，培育在全国业内有较强影响力的本土零售品牌，创建绿色商场。扩大“中华老字号”和“湖南老字号”品牌队伍。鼓励湘菜企业特色化规模化发展。推动拍卖行业规范有序发展。</w:t>
            </w:r>
          </w:p>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培育商贸流通主体行动。</w:t>
            </w:r>
            <w:r>
              <w:rPr>
                <w:rFonts w:ascii="Times New Roman" w:hAnsi="Times New Roman" w:eastAsia="宋体" w:cs="Times New Roman"/>
                <w:bCs/>
                <w:color w:val="000000" w:themeColor="text1"/>
                <w:sz w:val="24"/>
                <w:szCs w:val="24"/>
                <w14:textFill>
                  <w14:solidFill>
                    <w14:schemeClr w14:val="tx1"/>
                  </w14:solidFill>
                </w14:textFill>
              </w:rPr>
              <w:t>持续推进商贸流通限上企业“破零倍增”和结构优化，大力引进境内外知名流通企业和服务领域品牌，不断壮大商贸流通主体，推进流通企业主体标准化信息化国际化发展。</w:t>
            </w:r>
          </w:p>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服务消费融合创新行动</w:t>
            </w:r>
            <w:r>
              <w:rPr>
                <w:rFonts w:ascii="Times New Roman" w:hAnsi="Times New Roman" w:eastAsia="宋体" w:cs="Times New Roman"/>
                <w:bCs/>
                <w:color w:val="000000" w:themeColor="text1"/>
                <w:sz w:val="24"/>
                <w:szCs w:val="24"/>
                <w14:textFill>
                  <w14:solidFill>
                    <w14:schemeClr w14:val="tx1"/>
                  </w14:solidFill>
                </w14:textFill>
              </w:rPr>
              <w:t>。加大健康、文化、医疗、教育等新型消费产业的投入力度，积极培育网络消费、定制消费、体验消费、信用消费、智能消费、时尚消费等新热点，促进各消费行业之间的集聚融合。大力推动数字技术与生产性服务业、生活性服务业融合发展，大力发展在线教育、在线医疗、在线文娱、智慧旅游、智能体育等新业态。</w:t>
            </w:r>
          </w:p>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城乡消费提质扩容行动。</w:t>
            </w:r>
            <w:r>
              <w:rPr>
                <w:rFonts w:ascii="Times New Roman" w:hAnsi="Times New Roman" w:eastAsia="宋体" w:cs="Times New Roman"/>
                <w:bCs/>
                <w:color w:val="000000" w:themeColor="text1"/>
                <w:sz w:val="24"/>
                <w:szCs w:val="24"/>
                <w14:textFill>
                  <w14:solidFill>
                    <w14:schemeClr w14:val="tx1"/>
                  </w14:solidFill>
                </w14:textFill>
              </w:rPr>
              <w:t>支持长沙建设区域性国际消费中心城市，建设一批区域性消费中心。开展便利店品牌化连锁化三年行动，开展“湖南省示范步行街”创建。加快建设养老、托育、家政、便利店、菜市场等配套设施，打造“一刻钟便民生活服务圈”。</w:t>
            </w:r>
          </w:p>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农贸市场（产品）提质增效行动。</w:t>
            </w:r>
            <w:r>
              <w:rPr>
                <w:rFonts w:ascii="Times New Roman" w:hAnsi="Times New Roman" w:eastAsia="宋体" w:cs="Times New Roman"/>
                <w:bCs/>
                <w:color w:val="000000" w:themeColor="text1"/>
                <w:sz w:val="24"/>
                <w:szCs w:val="24"/>
                <w14:textFill>
                  <w14:solidFill>
                    <w14:schemeClr w14:val="tx1"/>
                  </w14:solidFill>
                </w14:textFill>
              </w:rPr>
              <w:t>推进农产品批发市场升级改造，依托红星、马王堆、大河西、佳惠等大型农产品批发市场，推动数字化转型，形成辐射中西部邻近区域的农产品批发市场网络。推动集贸市场提质升级，建设群众满意的农产品购销场所。加快农产品冷链物流体系建设，初步形成布局合理、结构优化、运行高效、管理规范的农产品冷链物流服务体系。深入推进农村电子商务进农村综合示范建设，培育一批各具特色、经验可复制推广的示范县，畅通农产品出村进城和工业品下乡渠道。</w:t>
            </w:r>
          </w:p>
          <w:p>
            <w:pPr>
              <w:spacing w:line="32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数字新消费行动。</w:t>
            </w:r>
            <w:r>
              <w:rPr>
                <w:rFonts w:ascii="Times New Roman" w:hAnsi="Times New Roman" w:eastAsia="宋体" w:cs="Times New Roman"/>
                <w:bCs/>
                <w:color w:val="000000" w:themeColor="text1"/>
                <w:sz w:val="24"/>
                <w:szCs w:val="24"/>
                <w14:textFill>
                  <w14:solidFill>
                    <w14:schemeClr w14:val="tx1"/>
                  </w14:solidFill>
                </w14:textFill>
              </w:rPr>
              <w:t>加快生活服务业数字化，培育一批示范平台和项目。鼓励实体商业通过直播电子商务、社交营销开启“云街”等新模式。加快推广农产品“生鲜电子商务+冷链宅配”“中央厨房+食材冷链配送”等服务新模式。大力发展“互联网+医疗健康”服务。构建“互联网+家庭式”共享养老模式，鼓励发展家政、养老、社区照料服务等家庭服务消费。积极开展消费服务领域人工智能应用试点，丰富5G技术应用场景，带动5G智能终端、AI智能服务新消费。</w:t>
            </w:r>
          </w:p>
          <w:p>
            <w:pPr>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夜经济点亮行动。</w:t>
            </w:r>
            <w:r>
              <w:rPr>
                <w:rFonts w:ascii="Times New Roman" w:hAnsi="Times New Roman" w:eastAsia="宋体" w:cs="Times New Roman"/>
                <w:bCs/>
                <w:color w:val="000000" w:themeColor="text1"/>
                <w:sz w:val="24"/>
                <w:szCs w:val="24"/>
                <w14:textFill>
                  <w14:solidFill>
                    <w14:schemeClr w14:val="tx1"/>
                  </w14:solidFill>
                </w14:textFill>
              </w:rPr>
              <w:t>制定加快推进夜间经济发展的政策措施。鼓励对传统商业街区、百货商场、闲置厂房、街道内巷、高校和创业创新集中商圈区域等进行改造提升，推进智慧夜市建设，打造食、游、购、娱、体、展、演等多元化夜间消费市场，重点打造“长沙夜星城”全国品牌。</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76" w:name="_Toc62051584"/>
      <w:r>
        <w:rPr>
          <w:rFonts w:ascii="Times New Roman" w:hAnsi="Times New Roman" w:eastAsia="黑体" w:cs="Times New Roman"/>
          <w:bCs/>
          <w:color w:val="000000" w:themeColor="text1"/>
          <w:sz w:val="32"/>
          <w:szCs w:val="32"/>
          <w14:textFill>
            <w14:solidFill>
              <w14:schemeClr w14:val="tx1"/>
            </w14:solidFill>
          </w14:textFill>
        </w:rPr>
        <w:t>第十五章  扩大有效投资</w:t>
      </w:r>
      <w:bookmarkEnd w:id="76"/>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发挥投资对优化供给结构的关键作用，完善投资要素保障，优化投资结构，促进投资合理增长，提高投资效益。创新投融资机制，激发民间投资活力。</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7" w:name="_Toc62051585"/>
      <w:r>
        <w:rPr>
          <w:rFonts w:ascii="Times New Roman" w:hAnsi="Times New Roman" w:eastAsia="楷体_GB2312" w:cs="Times New Roman"/>
          <w:b/>
          <w:bCs/>
          <w:color w:val="000000" w:themeColor="text1"/>
          <w:sz w:val="32"/>
          <w:szCs w:val="32"/>
          <w14:textFill>
            <w14:solidFill>
              <w14:schemeClr w14:val="tx1"/>
            </w14:solidFill>
          </w14:textFill>
        </w:rPr>
        <w:t>第一节  保持投资合理增长</w:t>
      </w:r>
      <w:bookmarkEnd w:id="77"/>
    </w:p>
    <w:p>
      <w:pPr>
        <w:adjustRightInd w:val="0"/>
        <w:snapToGrid w:val="0"/>
        <w:spacing w:line="596" w:lineRule="exact"/>
        <w:ind w:firstLine="624" w:firstLineChars="200"/>
        <w:rPr>
          <w:rFonts w:ascii="Times New Roman" w:hAnsi="Times New Roman" w:eastAsia="仿宋_GB2312" w:cs="Times New Roman"/>
          <w:color w:val="000000" w:themeColor="text1"/>
          <w:spacing w:val="-4"/>
          <w:kern w:val="0"/>
          <w:sz w:val="32"/>
          <w:szCs w:val="32"/>
          <w14:textFill>
            <w14:solidFill>
              <w14:schemeClr w14:val="tx1"/>
            </w14:solidFill>
          </w14:textFill>
        </w:rPr>
      </w:pP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围绕</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三高四新</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战略，紧跟国家产业政策和投资动向，着力实施</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扩投资四大行动</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，稳定有效投资增长</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加强稳投资项目储备和政策储备，坚持</w:t>
      </w:r>
      <w:r>
        <w:rPr>
          <w:rFonts w:ascii="Times New Roman" w:hAnsi="Times New Roman" w:eastAsia="仿宋_GB2312" w:cs="Times New Roman"/>
          <w:color w:val="000000" w:themeColor="text1"/>
          <w:spacing w:val="-4"/>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资金跟着项目走</w:t>
      </w:r>
      <w:r>
        <w:rPr>
          <w:rFonts w:ascii="Times New Roman" w:hAnsi="Times New Roman" w:eastAsia="仿宋_GB2312" w:cs="Times New Roman"/>
          <w:color w:val="000000" w:themeColor="text1"/>
          <w:spacing w:val="-4"/>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，精准聚焦关键领域和薄弱环节，按照近期、中期、长期三类，</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精准储备开发</w:t>
      </w:r>
      <w:r>
        <w:rPr>
          <w:rFonts w:hint="eastAsia" w:ascii="Times New Roman" w:hAnsi="Times New Roman" w:eastAsia="仿宋_GB2312" w:cs="Times New Roman"/>
          <w:color w:val="000000" w:themeColor="text1"/>
          <w:spacing w:val="-4"/>
          <w:sz w:val="32"/>
          <w:szCs w:val="32"/>
          <w14:textFill>
            <w14:solidFill>
              <w14:schemeClr w14:val="tx1"/>
            </w14:solidFill>
          </w14:textFill>
        </w:rPr>
        <w:t>一批强基础、增动能、利长远重大项目。密切跟踪和分析研判投资形势，完善投资评价机制，发挥好财政资金、地方政府专项债券等各类财政性资金带动作用，调动民间投资积极性，拓宽投资来源。</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完善重大项目落地协调机制，建立项目全过程跟踪机制。提升项目质量和前期深度，建立常态化前期工作协调推进机制，全力提速项目前期。完善重大项目服务保障机制，推进项目建设全要素保障。</w:t>
      </w:r>
      <w:r>
        <w:rPr>
          <w:rFonts w:ascii="Times New Roman" w:hAnsi="Times New Roman" w:eastAsia="仿宋_GB2312" w:cs="Times New Roman"/>
          <w:color w:val="000000" w:themeColor="text1"/>
          <w:spacing w:val="-4"/>
          <w:kern w:val="0"/>
          <w:sz w:val="32"/>
          <w:szCs w:val="32"/>
          <w14:textFill>
            <w14:solidFill>
              <w14:schemeClr w14:val="tx1"/>
            </w14:solidFill>
          </w14:textFill>
        </w:rPr>
        <w:t xml:space="preserve"> </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8" w:name="_Toc62051586"/>
      <w:r>
        <w:rPr>
          <w:rFonts w:ascii="Times New Roman" w:hAnsi="Times New Roman" w:eastAsia="楷体_GB2312" w:cs="Times New Roman"/>
          <w:b/>
          <w:bCs/>
          <w:color w:val="000000" w:themeColor="text1"/>
          <w:sz w:val="32"/>
          <w:szCs w:val="32"/>
          <w14:textFill>
            <w14:solidFill>
              <w14:schemeClr w14:val="tx1"/>
            </w14:solidFill>
          </w14:textFill>
        </w:rPr>
        <w:t>第二节  优化投资结构</w:t>
      </w:r>
      <w:bookmarkEnd w:id="78"/>
    </w:p>
    <w:p>
      <w:pPr>
        <w:spacing w:line="596"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补齐基础设施、新型城镇化、区域协调、农业农村、公共安全、生态环保等领域短板，实施国家综合交通枢纽、长株潭一体化等一批重大工程。加大产业投资力度，扩大高水平、高质量产业投资，扩大战略性新兴产业投资，加快企业设备更新和技术改造，提高先进制造业投资比重、技改投入在工业投资中的比重。围绕培育新动能，系统布局新型基础设施，重点引导新一代信息基础设施网络完善和提升、一体化融合基础设施规模化部署和应用、集群化创新基础设施建设和优化等领域投资。突出重大科技基础设施、大型公用试验设施、重大科研平台等建设投入。拓展数字经济产业投资。加大教育医疗、养老育幼、公共安全、防灾减灾等基本公共服务投入。</w:t>
      </w:r>
    </w:p>
    <w:p>
      <w:pPr>
        <w:keepNext/>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9" w:name="_Toc62051587"/>
      <w:r>
        <w:rPr>
          <w:rFonts w:ascii="Times New Roman" w:hAnsi="Times New Roman" w:eastAsia="楷体_GB2312" w:cs="Times New Roman"/>
          <w:b/>
          <w:bCs/>
          <w:color w:val="000000" w:themeColor="text1"/>
          <w:sz w:val="32"/>
          <w:szCs w:val="32"/>
          <w14:textFill>
            <w14:solidFill>
              <w14:schemeClr w14:val="tx1"/>
            </w14:solidFill>
          </w14:textFill>
        </w:rPr>
        <w:t>第三节  提高投资效益</w:t>
      </w:r>
      <w:bookmarkEnd w:id="79"/>
    </w:p>
    <w:p>
      <w:pPr>
        <w:adjustRightInd w:val="0"/>
        <w:snapToGrid w:val="0"/>
        <w:spacing w:line="568" w:lineRule="exact"/>
        <w:ind w:firstLine="632" w:firstLineChars="200"/>
        <w:rPr>
          <w:rFonts w:ascii="Times New Roman" w:hAnsi="Times New Roman" w:eastAsia="仿宋_GB2312" w:cs="Times New Roman"/>
          <w:color w:val="000000" w:themeColor="text1"/>
          <w:spacing w:val="-2"/>
          <w:kern w:val="0"/>
          <w:sz w:val="32"/>
          <w:szCs w:val="32"/>
          <w14:textFill>
            <w14:solidFill>
              <w14:schemeClr w14:val="tx1"/>
            </w14:solidFill>
          </w14:textFill>
        </w:rPr>
      </w:pPr>
      <w:r>
        <w:rPr>
          <w:rFonts w:ascii="Times New Roman" w:hAnsi="Times New Roman" w:eastAsia="仿宋_GB2312" w:cs="Times New Roman"/>
          <w:color w:val="000000" w:themeColor="text1"/>
          <w:spacing w:val="-2"/>
          <w:kern w:val="0"/>
          <w:sz w:val="32"/>
          <w:szCs w:val="32"/>
          <w14:textFill>
            <w14:solidFill>
              <w14:schemeClr w14:val="tx1"/>
            </w14:solidFill>
          </w14:textFill>
        </w:rPr>
        <w:t>确立高质量投资导向</w:t>
      </w:r>
      <w:r>
        <w:rPr>
          <w:rFonts w:ascii="Times New Roman" w:hAnsi="Times New Roman" w:eastAsia="仿宋_GB2312" w:cs="Times New Roman"/>
          <w:spacing w:val="-2"/>
          <w:kern w:val="0"/>
          <w:sz w:val="32"/>
          <w:szCs w:val="32"/>
        </w:rPr>
        <w:t>，建立投资绩效评估机制，优化投资指标体系、工作体系和评价体系</w:t>
      </w:r>
      <w:r>
        <w:rPr>
          <w:rFonts w:ascii="Times New Roman" w:hAnsi="Times New Roman" w:eastAsia="仿宋_GB2312" w:cs="Times New Roman"/>
          <w:color w:val="000000" w:themeColor="text1"/>
          <w:spacing w:val="-2"/>
          <w:kern w:val="0"/>
          <w:sz w:val="32"/>
          <w:szCs w:val="32"/>
          <w14:textFill>
            <w14:solidFill>
              <w14:schemeClr w14:val="tx1"/>
            </w14:solidFill>
          </w14:textFill>
        </w:rPr>
        <w:t>。规范政府投资行为，全面落实政府投资条例，推进政府投资科学决策，防范政绩工程、面子工程增加政府债务风险，避免无效投资和重复投资；强化政府项目代建制管理，严格落实政府投资项目管理和概算管理规定，加强对政府投资项目超概审计核查。发挥产业投资政策导向作用，引导社会资本合理布局，推动资源要素向优质高效投资领域流动，集约高效投资。坚持项目跟着规划走，强化项目的评估咨询论证，防控项目选址、生态环境、社会稳定等风险。创新投资管理手段，利用大数据强化重点项目建设全过程监管，建立财政资金分配与项目储备、实物工作量“双挂钩”机制，奖优惩劣。</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0" w:name="_Toc62051588"/>
      <w:r>
        <w:rPr>
          <w:rFonts w:ascii="Times New Roman" w:hAnsi="Times New Roman" w:eastAsia="楷体_GB2312" w:cs="Times New Roman"/>
          <w:b/>
          <w:bCs/>
          <w:color w:val="000000" w:themeColor="text1"/>
          <w:sz w:val="32"/>
          <w:szCs w:val="32"/>
          <w14:textFill>
            <w14:solidFill>
              <w14:schemeClr w14:val="tx1"/>
            </w14:solidFill>
          </w14:textFill>
        </w:rPr>
        <w:t>第四节  扩大民间投资</w:t>
      </w:r>
      <w:bookmarkEnd w:id="80"/>
    </w:p>
    <w:p>
      <w:pPr>
        <w:adjustRightInd w:val="0"/>
        <w:snapToGrid w:val="0"/>
        <w:spacing w:line="568" w:lineRule="exact"/>
        <w:ind w:firstLine="632" w:firstLineChars="200"/>
        <w:rPr>
          <w:rFonts w:ascii="Times New Roman" w:hAnsi="Times New Roman" w:eastAsia="仿宋_GB2312" w:cs="Times New Roman"/>
          <w:spacing w:val="-2"/>
          <w:kern w:val="0"/>
          <w:sz w:val="32"/>
          <w:szCs w:val="32"/>
        </w:rPr>
      </w:pPr>
      <w:r>
        <w:rPr>
          <w:rFonts w:ascii="Times New Roman" w:hAnsi="Times New Roman" w:eastAsia="仿宋_GB2312" w:cs="Times New Roman"/>
          <w:color w:val="000000" w:themeColor="text1"/>
          <w:spacing w:val="-2"/>
          <w:kern w:val="0"/>
          <w:sz w:val="32"/>
          <w:szCs w:val="32"/>
          <w14:textFill>
            <w14:solidFill>
              <w14:schemeClr w14:val="tx1"/>
            </w14:solidFill>
          </w14:textFill>
        </w:rPr>
        <w:t>完善和落实鼓励民间投资的政策措施，营造公平竞争市场环境，支持民营企业参与基础设施、老旧小区改造等领域建设运营。落实《鼓励外商投资产业目录》和招商引资各项政策，促进“引资补链”“引资强链”“引资扩链”。深入开展招投标专项整治，保障民营企业平等参与投资项目建设运营。在市场不能完全有效配置资源</w:t>
      </w:r>
      <w:r>
        <w:rPr>
          <w:rFonts w:hint="eastAsia"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具有一定回报的基础设施和公共服务领域，加大政府与社会资本合作力度（PPP），充分发挥政府资金撬动作用。在基础设施、公用事业、产业园区等领域，选择一批有合理回报的存量资产项目，规范有序开展基础设施领域不动产投资信托基金（REITs）试点，释放社会投资空间。建立民间资本重点领域项目库，定期向社会资本推介重大项目，大力开展政银企担合作，</w:t>
      </w:r>
      <w:r>
        <w:rPr>
          <w:rFonts w:ascii="Times New Roman" w:hAnsi="Times New Roman" w:eastAsia="仿宋_GB2312" w:cs="Times New Roman"/>
          <w:kern w:val="0"/>
          <w:sz w:val="32"/>
          <w:szCs w:val="32"/>
        </w:rPr>
        <w:t>建立完善投融资在线对接平台，畅通项目主体和融资机构对接渠道，</w:t>
      </w:r>
      <w:r>
        <w:rPr>
          <w:rFonts w:ascii="Times New Roman" w:hAnsi="Times New Roman" w:eastAsia="仿宋_GB2312" w:cs="Times New Roman"/>
          <w:color w:val="000000" w:themeColor="text1"/>
          <w:spacing w:val="-2"/>
          <w:kern w:val="0"/>
          <w:sz w:val="32"/>
          <w:szCs w:val="32"/>
          <w14:textFill>
            <w14:solidFill>
              <w14:schemeClr w14:val="tx1"/>
            </w14:solidFill>
          </w14:textFill>
        </w:rPr>
        <w:t>助力社会资本融</w:t>
      </w:r>
      <w:r>
        <w:rPr>
          <w:rFonts w:ascii="Times New Roman" w:hAnsi="Times New Roman" w:eastAsia="仿宋_GB2312" w:cs="Times New Roman"/>
          <w:spacing w:val="-2"/>
          <w:kern w:val="0"/>
          <w:sz w:val="32"/>
          <w:szCs w:val="32"/>
        </w:rPr>
        <w:t>资。</w:t>
      </w:r>
    </w:p>
    <w:tbl>
      <w:tblPr>
        <w:tblStyle w:val="2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03" w:type="dxa"/>
            <w:vAlign w:val="center"/>
          </w:tcPr>
          <w:p>
            <w:pPr>
              <w:autoSpaceDE w:val="0"/>
              <w:autoSpaceDN w:val="0"/>
              <w:spacing w:line="340" w:lineRule="atLeast"/>
              <w:ind w:firstLine="278"/>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专栏18  扩投资四大行动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03" w:type="dxa"/>
          </w:tcPr>
          <w:p>
            <w:pPr>
              <w:spacing w:line="36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项目储备开发深化行动。</w:t>
            </w:r>
            <w:r>
              <w:rPr>
                <w:rFonts w:ascii="Times New Roman" w:hAnsi="Times New Roman" w:eastAsia="宋体" w:cs="Times New Roman"/>
                <w:bCs/>
                <w:color w:val="000000" w:themeColor="text1"/>
                <w:sz w:val="24"/>
                <w:szCs w:val="24"/>
                <w14:textFill>
                  <w14:solidFill>
                    <w14:schemeClr w14:val="tx1"/>
                  </w14:solidFill>
                </w14:textFill>
              </w:rPr>
              <w:t>加强重大项目开发储备，优化人员配置，加大前期经费支持，引导各类市场主体多途径开发项目。围绕国家与省重大战略、重大规划和重大政策落实、当地发展重点，精准开发储备项目，完善省市县三级重大项目库体系，突出谋划以“五个100”为代表的产业项目，以“五张网”为重点的基础设施项目，以补短板惠民生为目标的社会事业项目，建立“现代产业+四大工程（市政、生态环境、社会事业、应急能力）+五张网”的“145”重大项目体系。</w:t>
            </w:r>
          </w:p>
          <w:p>
            <w:pPr>
              <w:spacing w:line="36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项目前期工作提速行动。</w:t>
            </w:r>
            <w:r>
              <w:rPr>
                <w:rFonts w:ascii="Times New Roman" w:hAnsi="Times New Roman" w:eastAsia="宋体" w:cs="Times New Roman"/>
                <w:bCs/>
                <w:color w:val="000000" w:themeColor="text1"/>
                <w:sz w:val="24"/>
                <w:szCs w:val="24"/>
                <w14:textFill>
                  <w14:solidFill>
                    <w14:schemeClr w14:val="tx1"/>
                  </w14:solidFill>
                </w14:textFill>
              </w:rPr>
              <w:t>进一步完善发改牵头、多部门共同参与的常态化前期工作协调推进机制，加大重大项目前期难点堵点协调调度力度。区分政府投资、企业投资重大限制类和一般类项目，分类推进项目前期工作，实现“资金等项目”向“项目等资金”转变。进一步优化审批流程，大力推进容缺受理、并联审批和承诺制，推行区域评估和“多规合一”，简化整合项目报建手续。深化投资项目在线审批监管平台应用，加快全程网办和“一网通办”，实现“最多跑一次”。</w:t>
            </w:r>
          </w:p>
          <w:p>
            <w:pPr>
              <w:spacing w:line="360" w:lineRule="exact"/>
              <w:ind w:firstLine="481"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建设要素保障强化行动。</w:t>
            </w:r>
            <w:r>
              <w:rPr>
                <w:rFonts w:ascii="Times New Roman" w:hAnsi="Times New Roman" w:eastAsia="宋体" w:cs="Times New Roman"/>
                <w:bCs/>
                <w:color w:val="000000" w:themeColor="text1"/>
                <w:sz w:val="24"/>
                <w:szCs w:val="24"/>
                <w14:textFill>
                  <w14:solidFill>
                    <w14:schemeClr w14:val="tx1"/>
                  </w14:solidFill>
                </w14:textFill>
              </w:rPr>
              <w:t>推行领导联系重点项目、分片协调调度、重大项目工作专班等措施，分层分级负责，进一步完善重大项目服务保障机制。强化项目建设全要素保障，统筹做好资金、土地、水电、燃气、环保等要素配置，实现重大项目“物流通、资金通、人员通、政策通”。</w:t>
            </w:r>
          </w:p>
          <w:p>
            <w:pPr>
              <w:spacing w:line="36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民间投资扩量提质行动。</w:t>
            </w:r>
            <w:r>
              <w:rPr>
                <w:rFonts w:ascii="Times New Roman" w:hAnsi="Times New Roman" w:eastAsia="宋体" w:cs="Times New Roman"/>
                <w:bCs/>
                <w:color w:val="000000" w:themeColor="text1"/>
                <w:sz w:val="24"/>
                <w:szCs w:val="24"/>
                <w14:textFill>
                  <w14:solidFill>
                    <w14:schemeClr w14:val="tx1"/>
                  </w14:solidFill>
                </w14:textFill>
              </w:rPr>
              <w:t>开展市场准入限制性条件清理</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鼓励和引导民间资本进入法律法规未明确禁止准入的行业领域，实现国有、民营平等参与、公平竞争。推进国有企业混合所有制改革，鼓励引导民间投资参与国有企业改制重组、合资合作。完善公平竞争审查制度，深化放管服改革。提速龙头骨干企业股权融资，落实小微企业信贷投放支持政策，稳步拓宽贷款抵押质押范围。健全完善政策性担保体系，落实“4321”新型政银担风险分担机制。规范推进政府与社会资本合作</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PPP</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模式，稳妥开展基础设施领域与不动产投资信托基金</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REIT</w:t>
            </w:r>
            <w:r>
              <w:rPr>
                <w:rFonts w:hint="eastAsia" w:ascii="Times New Roman" w:hAnsi="Times New Roman" w:eastAsia="宋体" w:cs="Times New Roman"/>
                <w:bCs/>
                <w:color w:val="000000" w:themeColor="text1"/>
                <w:sz w:val="24"/>
                <w:szCs w:val="24"/>
                <w14:textFill>
                  <w14:solidFill>
                    <w14:schemeClr w14:val="tx1"/>
                  </w14:solidFill>
                </w14:textFill>
              </w:rPr>
              <w:t>s）</w:t>
            </w:r>
            <w:r>
              <w:rPr>
                <w:rFonts w:ascii="Times New Roman" w:hAnsi="Times New Roman" w:eastAsia="宋体" w:cs="Times New Roman"/>
                <w:bCs/>
                <w:color w:val="000000" w:themeColor="text1"/>
                <w:sz w:val="24"/>
                <w:szCs w:val="24"/>
                <w14:textFill>
                  <w14:solidFill>
                    <w14:schemeClr w14:val="tx1"/>
                  </w14:solidFill>
                </w14:textFill>
              </w:rPr>
              <w:t>试点。</w:t>
            </w:r>
          </w:p>
        </w:tc>
      </w:tr>
    </w:tbl>
    <w:p>
      <w:pPr>
        <w:autoSpaceDE w:val="0"/>
        <w:autoSpaceDN w:val="0"/>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81" w:name="_Toc62051589"/>
      <w:r>
        <w:rPr>
          <w:rFonts w:ascii="Times New Roman" w:hAnsi="Times New Roman" w:eastAsia="黑体" w:cs="Times New Roman"/>
          <w:bCs/>
          <w:color w:val="000000" w:themeColor="text1"/>
          <w:sz w:val="32"/>
          <w:szCs w:val="32"/>
          <w14:textFill>
            <w14:solidFill>
              <w14:schemeClr w14:val="tx1"/>
            </w14:solidFill>
          </w14:textFill>
        </w:rPr>
        <w:t>第十六章  打造现代基础设施支撑体系</w:t>
      </w:r>
      <w:bookmarkEnd w:id="81"/>
    </w:p>
    <w:p>
      <w:pPr>
        <w:spacing w:line="61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适应产业人口布局和新一代技术发展趋势，统筹新型和传统基础设施建设，完善交通、能源、水安全、物流、信息五张网，构建系统完备、高效实用、智能绿色、安全可靠的现代基础设施体系，全面支撑全省经济社会高质量发展</w:t>
      </w:r>
      <w:r>
        <w:rPr>
          <w:rFonts w:ascii="Times New Roman" w:hAnsi="Times New Roman" w:eastAsia="仿宋_GB2312" w:cs="Times New Roman"/>
          <w:color w:val="000000" w:themeColor="text1"/>
          <w:sz w:val="32"/>
          <w:szCs w:val="32"/>
          <w14:textFill>
            <w14:solidFill>
              <w14:schemeClr w14:val="tx1"/>
            </w14:solidFill>
          </w14:textFill>
        </w:rPr>
        <w:t>。</w:t>
      </w:r>
    </w:p>
    <w:p>
      <w:pPr>
        <w:keepNext/>
        <w:keepLines/>
        <w:autoSpaceDE w:val="0"/>
        <w:autoSpaceDN w:val="0"/>
        <w:spacing w:before="447" w:beforeLines="100" w:after="447" w:afterLines="100" w:line="616" w:lineRule="exact"/>
        <w:jc w:val="center"/>
        <w:outlineLvl w:val="2"/>
        <w:rPr>
          <w:rFonts w:ascii="Times New Roman" w:hAnsi="Times New Roman" w:eastAsia="楷体_GB2312" w:cs="Times New Roman"/>
          <w:b/>
          <w:color w:val="000000" w:themeColor="text1"/>
          <w:kern w:val="0"/>
          <w:sz w:val="32"/>
          <w:lang w:bidi="zh-CN"/>
          <w14:textFill>
            <w14:solidFill>
              <w14:schemeClr w14:val="tx1"/>
            </w14:solidFill>
          </w14:textFill>
        </w:rPr>
      </w:pPr>
      <w:bookmarkStart w:id="82" w:name="_Toc60501854"/>
      <w:bookmarkStart w:id="83" w:name="_Toc62051590"/>
      <w:r>
        <w:rPr>
          <w:rFonts w:ascii="Times New Roman" w:hAnsi="Times New Roman" w:eastAsia="楷体_GB2312" w:cs="Times New Roman"/>
          <w:b/>
          <w:color w:val="000000" w:themeColor="text1"/>
          <w:kern w:val="0"/>
          <w:sz w:val="32"/>
          <w:lang w:bidi="zh-CN"/>
          <w14:textFill>
            <w14:solidFill>
              <w14:schemeClr w14:val="tx1"/>
            </w14:solidFill>
          </w14:textFill>
        </w:rPr>
        <w:t>第一节  构建综合交通网</w:t>
      </w:r>
      <w:bookmarkEnd w:id="82"/>
      <w:bookmarkEnd w:id="83"/>
    </w:p>
    <w:p>
      <w:pPr>
        <w:spacing w:line="616" w:lineRule="exact"/>
        <w:ind w:firstLine="666"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color w:val="000000" w:themeColor="text1"/>
          <w:spacing w:val="6"/>
          <w:sz w:val="32"/>
          <w:szCs w:val="32"/>
          <w14:textFill>
            <w14:solidFill>
              <w14:schemeClr w14:val="tx1"/>
            </w14:solidFill>
          </w14:textFill>
        </w:rPr>
        <w:t>构建综合运输大通道。</w:t>
      </w:r>
      <w:r>
        <w:rPr>
          <w:rFonts w:ascii="Times New Roman" w:hAnsi="Times New Roman" w:eastAsia="仿宋_GB2312" w:cs="Times New Roman"/>
          <w:color w:val="000000" w:themeColor="text1"/>
          <w:spacing w:val="6"/>
          <w:sz w:val="32"/>
          <w:szCs w:val="32"/>
          <w14:textFill>
            <w14:solidFill>
              <w14:schemeClr w14:val="tx1"/>
            </w14:solidFill>
          </w14:textFill>
        </w:rPr>
        <w:t>统筹开发利用干线铁路、高速公路、高等级航道等资源，打造“三纵五横”综合运输大通道。构建京港澳、呼南、焦柳三大纵向通道：依托京广高铁、京广铁路、浩吉铁路、京港澳高速、湘江航道等，进一步扩能京港澳通道。依托呼南高铁、洛湛铁路、二广高速等，加快提升呼南通道。依托张吉怀高铁、焦柳铁路、包茂高速、呼北高速等，加快完善焦柳通道，融入西部陆海大通道。构建沪昆、渝长厦、杭瑞、湘桂、厦蓉五大横向通道：依托沪昆高铁、沪昆铁路、沪昆高速等，稳步扩容沪昆通道；依托渝长厦高铁、长张高速等，加快打通渝长厦通道；依托杭瑞高速、澧水航道等，形成杭瑞通道；依托衡柳铁路、湘桂铁路、吉衡铁路、泉南高速等，逐步扩容湘桂通道；依托厦蓉高速、桂新高速等，加快构建厦蓉通道。</w:t>
      </w: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80" w:type="dxa"/>
            <w:vAlign w:val="center"/>
          </w:tcPr>
          <w:p>
            <w:pPr>
              <w:pStyle w:val="8"/>
              <w:spacing w:after="0"/>
              <w:ind w:firstLine="280"/>
              <w:jc w:val="center"/>
              <w:rPr>
                <w:rFonts w:ascii="Times New Roman" w:hAnsi="Times New Roman" w:eastAsia="黑体" w:cs="Times New Roman"/>
                <w:color w:val="000000" w:themeColor="text1"/>
                <w:sz w:val="22"/>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专栏19  综合交通大通道布局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80" w:type="dxa"/>
          </w:tcPr>
          <w:p>
            <w:pPr>
              <w:spacing w:line="340" w:lineRule="exact"/>
              <w:ind w:firstLine="481" w:firstLineChars="200"/>
              <w:rPr>
                <w:rFonts w:ascii="Times New Roman" w:hAnsi="Times New Roman" w:eastAsia="楷体_GB2312" w:cs="Times New Roman"/>
                <w:b/>
                <w:color w:val="000000" w:themeColor="text1"/>
                <w:sz w:val="24"/>
                <w:szCs w:val="24"/>
                <w14:textFill>
                  <w14:solidFill>
                    <w14:schemeClr w14:val="tx1"/>
                  </w14:solidFill>
                </w14:textFill>
              </w:rPr>
            </w:pPr>
            <w:r>
              <w:rPr>
                <w:rFonts w:ascii="Times New Roman" w:hAnsi="Times New Roman" w:eastAsia="楷体_GB2312" w:cs="Times New Roman"/>
                <w:b/>
                <w:color w:val="000000" w:themeColor="text1"/>
                <w:sz w:val="24"/>
                <w:szCs w:val="24"/>
                <w14:textFill>
                  <w14:solidFill>
                    <w14:schemeClr w14:val="tx1"/>
                  </w14:solidFill>
                </w14:textFill>
              </w:rPr>
              <w:t>（一）三纵</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京港澳通道。</w:t>
            </w:r>
            <w:r>
              <w:rPr>
                <w:rFonts w:ascii="Times New Roman" w:hAnsi="Times New Roman" w:cs="Times New Roman" w:eastAsiaTheme="majorEastAsia"/>
                <w:color w:val="000000" w:themeColor="text1"/>
                <w:sz w:val="24"/>
                <w:szCs w:val="24"/>
                <w14:textFill>
                  <w14:solidFill>
                    <w14:schemeClr w14:val="tx1"/>
                  </w14:solidFill>
                </w14:textFill>
              </w:rPr>
              <w:t>对接京津冀、中原、粤港澳大湾区等城市群。由北自岳阳经长株潭、衡阳至郴州往南。利用京广高铁、京广铁路、浩吉铁路</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京港澳高速</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湘江航道等，重点推进京港澳扩容</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适时启动许广高速拥堵路段扩能，建成长沙机场改扩建工程，扩建岳阳三荷机场。研究建设长岳、长衡城际、京广铁路岳阳城区段外绕。</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呼南通道。</w:t>
            </w:r>
            <w:r>
              <w:rPr>
                <w:rFonts w:ascii="Times New Roman" w:hAnsi="Times New Roman" w:cs="Times New Roman" w:eastAsiaTheme="majorEastAsia"/>
                <w:color w:val="000000" w:themeColor="text1"/>
                <w:sz w:val="24"/>
                <w:szCs w:val="24"/>
                <w14:textFill>
                  <w14:solidFill>
                    <w14:schemeClr w14:val="tx1"/>
                  </w14:solidFill>
                </w14:textFill>
              </w:rPr>
              <w:t>对接关中、粤港澳大湾区、北部湾等城市群和海南自贸港。由北自常德经益阳、娄底、邵阳至永州往南。利用洛湛铁路、二广高速等，加快建成常益长铁路，尽早启动呼南高铁襄阳-常德、益阳-娄底、邵阳-永州线路建设，推动洛湛铁路扩能改造，规划建设永清广铁路；建设零陵至道县高速；提升常德港能力；谋划永州机场迁建，扩建邵阳武冈机场。</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焦柳通道。</w:t>
            </w:r>
            <w:r>
              <w:rPr>
                <w:rFonts w:ascii="Times New Roman" w:hAnsi="Times New Roman" w:cs="Times New Roman" w:eastAsiaTheme="majorEastAsia"/>
                <w:color w:val="000000" w:themeColor="text1"/>
                <w:sz w:val="24"/>
                <w:szCs w:val="24"/>
                <w14:textFill>
                  <w14:solidFill>
                    <w14:schemeClr w14:val="tx1"/>
                  </w14:solidFill>
                </w14:textFill>
              </w:rPr>
              <w:t>对接关中、北部湾等城市群。由北自张家界经吉首至怀化往南。利用焦柳铁路、包茂高速等，推动张吉怀高铁“北上南下”形成系统能力，融入西部陆海大通道。谋划建设张吉怀高铁与呼南高铁联络线、怀化至桂林铁路，做好安康至张家界铁路规划研究；全线贯通呼北高速，建设安化至溆浦至洞口高速；建设沅水上游航道；建成湘西机场，加快张家界、怀化机场改扩建。</w:t>
            </w:r>
          </w:p>
          <w:p>
            <w:pPr>
              <w:spacing w:line="340" w:lineRule="exact"/>
              <w:ind w:firstLine="481" w:firstLineChars="200"/>
              <w:rPr>
                <w:rFonts w:ascii="Times New Roman" w:hAnsi="Times New Roman" w:eastAsia="楷体_GB2312" w:cs="Times New Roman"/>
                <w:b/>
                <w:color w:val="000000" w:themeColor="text1"/>
                <w:sz w:val="24"/>
                <w:szCs w:val="24"/>
                <w14:textFill>
                  <w14:solidFill>
                    <w14:schemeClr w14:val="tx1"/>
                  </w14:solidFill>
                </w14:textFill>
              </w:rPr>
            </w:pPr>
            <w:r>
              <w:rPr>
                <w:rFonts w:ascii="Times New Roman" w:hAnsi="Times New Roman" w:eastAsia="楷体_GB2312" w:cs="Times New Roman"/>
                <w:b/>
                <w:color w:val="000000" w:themeColor="text1"/>
                <w:sz w:val="24"/>
                <w:szCs w:val="24"/>
                <w14:textFill>
                  <w14:solidFill>
                    <w14:schemeClr w14:val="tx1"/>
                  </w14:solidFill>
                </w14:textFill>
              </w:rPr>
              <w:t>（二）五横</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沪昆通道。</w:t>
            </w:r>
            <w:r>
              <w:rPr>
                <w:rFonts w:ascii="Times New Roman" w:hAnsi="Times New Roman" w:cs="Times New Roman" w:eastAsiaTheme="majorEastAsia"/>
                <w:color w:val="000000" w:themeColor="text1"/>
                <w:sz w:val="24"/>
                <w:szCs w:val="24"/>
                <w14:textFill>
                  <w14:solidFill>
                    <w14:schemeClr w14:val="tx1"/>
                  </w14:solidFill>
                </w14:textFill>
              </w:rPr>
              <w:t>对接长三角</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滇中、黔中等城市群。由东自长株潭经娄底、邵阳至怀化往西。利用沪昆高铁、沪昆铁路、沪昆高速等，谋划建设长九高铁，利用既有铁路尽快开通韶山至井冈山红色旅游铁路专线；实施沪昆高速拥堵路段扩容、江干高速东延等线路建设；建设娄底机场。</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渝长厦通道。</w:t>
            </w:r>
            <w:r>
              <w:rPr>
                <w:rFonts w:ascii="Times New Roman" w:hAnsi="Times New Roman" w:cs="Times New Roman" w:eastAsiaTheme="majorEastAsia"/>
                <w:color w:val="000000" w:themeColor="text1"/>
                <w:sz w:val="24"/>
                <w:szCs w:val="24"/>
                <w14:textFill>
                  <w14:solidFill>
                    <w14:schemeClr w14:val="tx1"/>
                  </w14:solidFill>
                </w14:textFill>
              </w:rPr>
              <w:t>对接成渝地区双城经济圈、粤闽浙沿海城市群。由西自湘西自治州、张家界、常德、益阳经长株潭向东。利用黔张常铁路、长张高速、长益高速扩容等，加快建成常益长、长赣铁路，谋划建设渝湘高铁黔江至吉首段；建成桑龙、益常高速扩容，谋划建设张家界至桃源高速等。</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杭瑞通道。</w:t>
            </w:r>
            <w:r>
              <w:rPr>
                <w:rFonts w:ascii="Times New Roman" w:hAnsi="Times New Roman" w:cs="Times New Roman" w:eastAsiaTheme="majorEastAsia"/>
                <w:color w:val="000000" w:themeColor="text1"/>
                <w:sz w:val="24"/>
                <w:szCs w:val="24"/>
                <w14:textFill>
                  <w14:solidFill>
                    <w14:schemeClr w14:val="tx1"/>
                  </w14:solidFill>
                </w14:textFill>
              </w:rPr>
              <w:t>对接长三角，滇中、黔中等城市群，融入长江经济带战略。由东自岳阳、常德至吉首往西。利用杭瑞高速、澧水航道等，建设铜吉铁路，谋划建设常岳九、荆岳铁路；加快建设平益、安慈等高速，力争启动辰溪至凤凰、沅陵至酉阳高速建设；建设澧水、沅水、资水中下游高等级航道。</w:t>
            </w:r>
          </w:p>
          <w:p>
            <w:pPr>
              <w:spacing w:line="340" w:lineRule="exact"/>
              <w:ind w:firstLine="481"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湘桂通道。</w:t>
            </w:r>
            <w:r>
              <w:rPr>
                <w:rFonts w:ascii="Times New Roman" w:hAnsi="Times New Roman" w:cs="Times New Roman" w:eastAsiaTheme="majorEastAsia"/>
                <w:color w:val="000000" w:themeColor="text1"/>
                <w:sz w:val="24"/>
                <w:szCs w:val="24"/>
                <w14:textFill>
                  <w14:solidFill>
                    <w14:schemeClr w14:val="tx1"/>
                  </w14:solidFill>
                </w14:textFill>
              </w:rPr>
              <w:t>对接北部湾城市群，延伸对接东盟，融入西部陆海新通道。由东自衡阳经永州往西。利用衡柳铁路、湘桂铁路、吉衡铁路、泉南高速等，建成湘桂铁路永州段扩能，实施衡柳铁路提速改造，谋划衡阳铁路枢纽改造；建设衡阳至永州、永州至零陵、茶陵至常宁等高速。</w:t>
            </w:r>
          </w:p>
          <w:p>
            <w:pPr>
              <w:spacing w:line="340" w:lineRule="exact"/>
              <w:ind w:firstLine="481"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厦蓉通道。</w:t>
            </w:r>
            <w:r>
              <w:rPr>
                <w:rFonts w:ascii="Times New Roman" w:hAnsi="Times New Roman" w:cs="Times New Roman" w:eastAsiaTheme="majorEastAsia"/>
                <w:color w:val="000000" w:themeColor="text1"/>
                <w:sz w:val="24"/>
                <w:szCs w:val="24"/>
                <w14:textFill>
                  <w14:solidFill>
                    <w14:schemeClr w14:val="tx1"/>
                  </w14:solidFill>
                </w14:textFill>
              </w:rPr>
              <w:t>对接粤闽浙沿海城市群、黔中城市群、成渝地区双城经济圈。由东自郴州经永州往西。利用厦蓉高速等，研究建设兴永郴赣铁路；建设桂东至新田高速。</w:t>
            </w:r>
          </w:p>
        </w:tc>
      </w:tr>
    </w:tbl>
    <w:p>
      <w:pPr>
        <w:spacing w:line="596" w:lineRule="exact"/>
        <w:ind w:firstLine="562" w:firstLineChars="200"/>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图4  湖南省“三纵五横”综合交通运输大通道示意图</w:t>
      </w:r>
    </w:p>
    <w:p>
      <w:pPr>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57850" cy="742950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6" cstate="print">
                      <a:extLst>
                        <a:ext uri="{28A0092B-C50C-407E-A947-70E740481C1C}">
                          <a14:useLocalDpi xmlns:a14="http://schemas.microsoft.com/office/drawing/2010/main" val="false"/>
                        </a:ext>
                      </a:extLst>
                    </a:blip>
                    <a:srcRect l="4780" t="7347" r="4753" b="5978"/>
                    <a:stretch>
                      <a:fillRect/>
                    </a:stretch>
                  </pic:blipFill>
                  <pic:spPr>
                    <a:xfrm>
                      <a:off x="0" y="0"/>
                      <a:ext cx="5659224" cy="7431736"/>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完善综合交通大网络。</w:t>
      </w:r>
      <w:r>
        <w:rPr>
          <w:rFonts w:ascii="Times New Roman" w:hAnsi="Times New Roman" w:eastAsia="仿宋_GB2312" w:cs="Times New Roman"/>
          <w:color w:val="000000" w:themeColor="text1"/>
          <w:sz w:val="32"/>
          <w:szCs w:val="32"/>
          <w14:textFill>
            <w14:solidFill>
              <w14:schemeClr w14:val="tx1"/>
            </w14:solidFill>
          </w14:textFill>
        </w:rPr>
        <w:t>依托综合运输大通道，加快推动交通设施多层次网络化布局，实现各经济板块的互联互通。构建“五纵五横”干线铁路网，重点建设融入粤港澳、对接长三角、衔接西部陆海新通道的铁路项目，加快推进张吉怀、常益长等铁路建设，实现所有市州通高铁，形成省内2小时高铁经济圈，长沙至周边省会及深圳2-3小时，至北京、上海、成都4-5小时的高铁出行圈。以专用线建设和既有线能力提升为重点，推动普速铁路提质增效。建成“七纵七横”高速公路网，加速推进新增国高网、繁忙路段扩容、出省通道、路网优化等项目建设，加速形成长株潭1小时、“3+5”城市群2小时、全省4小时高速圈，提质改造普通国省干线公路约6900公里，深入推进“四好农村路”建设。打造“一江一湖四水”水运网，基本贯通湘江、沅水高等级航道，有序推进资水、澧水等级航道建设和涟水复航，打通洞庭湖入长江第二黄金水道（松虎），建设连通工业集中地的重要支线航道，促进岳阳、长株潭、常德、益阳等港口集约化、规模化发展，建设湘阴虞公港。构筑“一枢纽一干九支多点”航空网，建成长沙机场改扩建工程，加快发展湖南航空，构建长沙四小时航空经济圈；建设娄底机场、谋划迁建永州机场，统筹推进张家界、岳阳、衡阳、邵阳等机场改扩建；深化低空空域管理改革试点，建设“1+13+N”通用机场体系，大力发展通用航空。促进城市内外交通高效衔接，推动干线铁路、城际铁路、市域（郊）铁路和城市轨道交通融合发展，打造轨道上的长株潭都市圈和环长株潭一体化交通网。</w:t>
      </w:r>
    </w:p>
    <w:p>
      <w:pPr>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5</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湖南省“十四五”高速公路规划示意图</w:t>
      </w:r>
    </w:p>
    <w:p>
      <w:pPr>
        <w:widowControl/>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60390" cy="745807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7" cstate="print">
                      <a:extLst>
                        <a:ext uri="{28A0092B-C50C-407E-A947-70E740481C1C}">
                          <a14:useLocalDpi xmlns:a14="http://schemas.microsoft.com/office/drawing/2010/main" val="false"/>
                        </a:ext>
                      </a:extLst>
                    </a:blip>
                    <a:srcRect l="4951" t="7348" r="4715" b="5853"/>
                    <a:stretch>
                      <a:fillRect/>
                    </a:stretch>
                  </pic:blipFill>
                  <pic:spPr>
                    <a:xfrm>
                      <a:off x="0" y="0"/>
                      <a:ext cx="5662312" cy="7460551"/>
                    </a:xfrm>
                    <a:prstGeom prst="rect">
                      <a:avLst/>
                    </a:prstGeom>
                    <a:ln>
                      <a:noFill/>
                    </a:ln>
                  </pic:spPr>
                </pic:pic>
              </a:graphicData>
            </a:graphic>
          </wp:inline>
        </w:drawing>
      </w:r>
    </w:p>
    <w:p>
      <w:pPr>
        <w:spacing w:line="568"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6</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湖南省“十四五”机场布局示意图</w:t>
      </w:r>
    </w:p>
    <w:p>
      <w:pPr>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drawing>
          <wp:inline distT="0" distB="0" distL="0" distR="0">
            <wp:extent cx="5638800" cy="737997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8" cstate="print">
                      <a:extLst>
                        <a:ext uri="{28A0092B-C50C-407E-A947-70E740481C1C}">
                          <a14:useLocalDpi xmlns:a14="http://schemas.microsoft.com/office/drawing/2010/main" val="false"/>
                        </a:ext>
                      </a:extLst>
                    </a:blip>
                    <a:srcRect l="4779" t="7472" r="4582" b="5977"/>
                    <a:stretch>
                      <a:fillRect/>
                    </a:stretch>
                  </pic:blipFill>
                  <pic:spPr>
                    <a:xfrm>
                      <a:off x="0" y="0"/>
                      <a:ext cx="5642353" cy="7385002"/>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widowControl/>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7</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湖南省“十四五”水运规划示意图</w:t>
      </w:r>
    </w:p>
    <w:p>
      <w:pPr>
        <w:widowControl/>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86425" cy="7477760"/>
            <wp:effectExtent l="0" t="0" r="0" b="889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9" cstate="print">
                      <a:extLst>
                        <a:ext uri="{28A0092B-C50C-407E-A947-70E740481C1C}">
                          <a14:useLocalDpi xmlns:a14="http://schemas.microsoft.com/office/drawing/2010/main" val="false"/>
                        </a:ext>
                      </a:extLst>
                    </a:blip>
                    <a:srcRect l="4782" t="7097" r="4706" b="6102"/>
                    <a:stretch>
                      <a:fillRect/>
                    </a:stretch>
                  </pic:blipFill>
                  <pic:spPr>
                    <a:xfrm>
                      <a:off x="0" y="0"/>
                      <a:ext cx="5688786" cy="7481290"/>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spacing w:line="596" w:lineRule="exact"/>
        <w:ind w:firstLine="642"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建设综合交通大枢纽。</w:t>
      </w:r>
      <w:r>
        <w:rPr>
          <w:rFonts w:ascii="Times New Roman" w:hAnsi="Times New Roman" w:eastAsia="仿宋_GB2312" w:cs="Times New Roman"/>
          <w:color w:val="000000" w:themeColor="text1"/>
          <w:sz w:val="32"/>
          <w:szCs w:val="32"/>
          <w14:textFill>
            <w14:solidFill>
              <w14:schemeClr w14:val="tx1"/>
            </w14:solidFill>
          </w14:textFill>
        </w:rPr>
        <w:t>强化交通协同服务能力，将长沙（株洲、湘潭）建设成为国家综合交通枢纽和面向全球的国际交通门户，将岳阳、衡阳、怀化、永州、常德建设成为全国性区域综合交通枢纽，提升跨省运输和便捷集散服务水平；推动其他市州建设区域性综合交通枢纽，强化枢纽衔接运转能力，促进不同层次枢纽城市分工协作。加强综合交通枢纽一体化规划建设，实现不同运输方式在枢纽节点的高效衔接，提高旅客换乘和货物接驳转运效率。发展智慧交通，完善交通物流、运输调度、应急指挥等信息平台，提高交通设施信息化水平。</w:t>
      </w:r>
    </w:p>
    <w:p>
      <w:pPr>
        <w:keepNext/>
        <w:keepLines/>
        <w:autoSpaceDE w:val="0"/>
        <w:autoSpaceDN w:val="0"/>
        <w:spacing w:before="447" w:beforeLines="100" w:after="447" w:afterLines="100" w:line="596" w:lineRule="exact"/>
        <w:jc w:val="center"/>
        <w:outlineLvl w:val="2"/>
        <w:rPr>
          <w:rFonts w:ascii="Times New Roman" w:hAnsi="Times New Roman" w:eastAsia="楷体_GB2312" w:cs="Times New Roman"/>
          <w:b/>
          <w:color w:val="000000" w:themeColor="text1"/>
          <w:kern w:val="0"/>
          <w:sz w:val="32"/>
          <w:lang w:bidi="zh-CN"/>
          <w14:textFill>
            <w14:solidFill>
              <w14:schemeClr w14:val="tx1"/>
            </w14:solidFill>
          </w14:textFill>
        </w:rPr>
      </w:pPr>
      <w:bookmarkStart w:id="84" w:name="_Toc62051591"/>
      <w:r>
        <w:rPr>
          <w:rFonts w:ascii="Times New Roman" w:hAnsi="Times New Roman" w:eastAsia="楷体_GB2312" w:cs="Times New Roman"/>
          <w:b/>
          <w:color w:val="000000" w:themeColor="text1"/>
          <w:kern w:val="0"/>
          <w:sz w:val="32"/>
          <w:lang w:bidi="zh-CN"/>
          <w14:textFill>
            <w14:solidFill>
              <w14:schemeClr w14:val="tx1"/>
            </w14:solidFill>
          </w14:textFill>
        </w:rPr>
        <w:t>第二节  夯实能源保障网</w:t>
      </w:r>
      <w:bookmarkEnd w:id="84"/>
    </w:p>
    <w:p>
      <w:pPr>
        <w:spacing w:line="596"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切实加大能源供应能力。</w:t>
      </w:r>
      <w:r>
        <w:rPr>
          <w:rFonts w:ascii="Times New Roman" w:hAnsi="Times New Roman" w:eastAsia="仿宋_GB2312" w:cs="Times New Roman"/>
          <w:bCs/>
          <w:color w:val="000000" w:themeColor="text1"/>
          <w:sz w:val="32"/>
          <w:szCs w:val="32"/>
          <w14:textFill>
            <w14:solidFill>
              <w14:schemeClr w14:val="tx1"/>
            </w14:solidFill>
          </w14:textFill>
        </w:rPr>
        <w:t>坚持省外优质引入和省内加快建设相结合，多渠道全面提升能源供应能力，构建保障有力、清洁低碳</w:t>
      </w:r>
      <w:r>
        <w:rPr>
          <w:rFonts w:hint="eastAsia" w:ascii="Times New Roman" w:hAnsi="Times New Roman" w:eastAsia="仿宋_GB2312" w:cs="Times New Roman"/>
          <w:bCs/>
          <w:color w:val="000000" w:themeColor="text1"/>
          <w:sz w:val="32"/>
          <w:szCs w:val="32"/>
          <w14:textFill>
            <w14:solidFill>
              <w14:schemeClr w14:val="tx1"/>
            </w14:solidFill>
          </w14:textFill>
        </w:rPr>
        <w:t>、适度超前</w:t>
      </w:r>
      <w:r>
        <w:rPr>
          <w:rFonts w:ascii="Times New Roman" w:hAnsi="Times New Roman" w:eastAsia="仿宋_GB2312" w:cs="Times New Roman"/>
          <w:bCs/>
          <w:color w:val="000000" w:themeColor="text1"/>
          <w:sz w:val="32"/>
          <w:szCs w:val="32"/>
          <w14:textFill>
            <w14:solidFill>
              <w14:schemeClr w14:val="tx1"/>
            </w14:solidFill>
          </w14:textFill>
        </w:rPr>
        <w:t>的能源供应体系。大力引入区外优质能源，提升祁韶直流、雅</w:t>
      </w:r>
      <w:r>
        <w:rPr>
          <w:rFonts w:hint="eastAsia" w:ascii="Times New Roman" w:hAnsi="Times New Roman" w:eastAsia="仿宋_GB2312" w:cs="Times New Roman"/>
          <w:bCs/>
          <w:color w:val="000000" w:themeColor="text1"/>
          <w:sz w:val="32"/>
          <w:szCs w:val="32"/>
          <w14:textFill>
            <w14:solidFill>
              <w14:schemeClr w14:val="tx1"/>
            </w14:solidFill>
          </w14:textFill>
        </w:rPr>
        <w:t>江</w:t>
      </w:r>
      <w:r>
        <w:rPr>
          <w:rFonts w:ascii="Times New Roman" w:hAnsi="Times New Roman" w:eastAsia="仿宋_GB2312" w:cs="Times New Roman"/>
          <w:bCs/>
          <w:color w:val="000000" w:themeColor="text1"/>
          <w:sz w:val="32"/>
          <w:szCs w:val="32"/>
          <w14:textFill>
            <w14:solidFill>
              <w14:schemeClr w14:val="tx1"/>
            </w14:solidFill>
          </w14:textFill>
        </w:rPr>
        <w:t>直流利用率，加快“宁电入湘”特高压直流工程前期工作，</w:t>
      </w:r>
      <w:r>
        <w:rPr>
          <w:rFonts w:hint="eastAsia" w:ascii="Times New Roman" w:hAnsi="Times New Roman" w:eastAsia="仿宋_GB2312" w:cs="Times New Roman"/>
          <w:bCs/>
          <w:color w:val="000000" w:themeColor="text1"/>
          <w:sz w:val="32"/>
          <w:szCs w:val="32"/>
          <w14:textFill>
            <w14:solidFill>
              <w14:schemeClr w14:val="tx1"/>
            </w14:solidFill>
          </w14:textFill>
        </w:rPr>
        <w:t>实现</w:t>
      </w:r>
      <w:r>
        <w:rPr>
          <w:rFonts w:ascii="Times New Roman" w:hAnsi="Times New Roman" w:eastAsia="仿宋_GB2312" w:cs="Times New Roman"/>
          <w:bCs/>
          <w:color w:val="000000" w:themeColor="text1"/>
          <w:sz w:val="32"/>
          <w:szCs w:val="32"/>
          <w14:textFill>
            <w14:solidFill>
              <w14:schemeClr w14:val="tx1"/>
            </w14:solidFill>
          </w14:textFill>
        </w:rPr>
        <w:t>鲤鱼江电厂送电湖南</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加大天然气、煤炭引入力度。</w:t>
      </w:r>
      <w:r>
        <w:rPr>
          <w:rFonts w:hint="eastAsia" w:ascii="Times New Roman" w:hAnsi="Times New Roman" w:eastAsia="仿宋_GB2312" w:cs="Times New Roman"/>
          <w:bCs/>
          <w:color w:val="000000" w:themeColor="text1"/>
          <w:sz w:val="32"/>
          <w:szCs w:val="32"/>
          <w14:textFill>
            <w14:solidFill>
              <w14:schemeClr w14:val="tx1"/>
            </w14:solidFill>
          </w14:textFill>
        </w:rPr>
        <w:t>充分发挥</w:t>
      </w:r>
      <w:r>
        <w:rPr>
          <w:rFonts w:ascii="Times New Roman" w:hAnsi="Times New Roman" w:eastAsia="仿宋_GB2312" w:cs="Times New Roman"/>
          <w:bCs/>
          <w:color w:val="000000" w:themeColor="text1"/>
          <w:sz w:val="32"/>
          <w:szCs w:val="32"/>
          <w14:textFill>
            <w14:solidFill>
              <w14:schemeClr w14:val="tx1"/>
            </w14:solidFill>
          </w14:textFill>
        </w:rPr>
        <w:t>煤电兜底</w:t>
      </w:r>
      <w:r>
        <w:rPr>
          <w:rFonts w:hint="eastAsia" w:ascii="Times New Roman" w:hAnsi="Times New Roman" w:eastAsia="仿宋_GB2312" w:cs="Times New Roman"/>
          <w:bCs/>
          <w:color w:val="000000" w:themeColor="text1"/>
          <w:sz w:val="32"/>
          <w:szCs w:val="32"/>
          <w14:textFill>
            <w14:solidFill>
              <w14:schemeClr w14:val="tx1"/>
            </w14:solidFill>
          </w14:textFill>
        </w:rPr>
        <w:t>作用</w:t>
      </w:r>
      <w:r>
        <w:rPr>
          <w:rFonts w:ascii="Times New Roman" w:hAnsi="Times New Roman" w:eastAsia="仿宋_GB2312" w:cs="Times New Roman"/>
          <w:bCs/>
          <w:color w:val="000000" w:themeColor="text1"/>
          <w:sz w:val="32"/>
          <w:szCs w:val="32"/>
          <w14:textFill>
            <w14:solidFill>
              <w14:schemeClr w14:val="tx1"/>
            </w14:solidFill>
          </w14:textFill>
        </w:rPr>
        <w:t>，实现永州、平江、华容和怀化石煤</w:t>
      </w:r>
      <w:r>
        <w:rPr>
          <w:rFonts w:hint="eastAsia" w:ascii="Times New Roman" w:hAnsi="Times New Roman" w:eastAsia="仿宋_GB2312" w:cs="Times New Roman"/>
          <w:bCs/>
          <w:color w:val="000000" w:themeColor="text1"/>
          <w:sz w:val="32"/>
          <w:szCs w:val="32"/>
          <w14:textFill>
            <w14:solidFill>
              <w14:schemeClr w14:val="tx1"/>
            </w14:solidFill>
          </w14:textFill>
        </w:rPr>
        <w:t>等4个</w:t>
      </w:r>
      <w:r>
        <w:rPr>
          <w:rFonts w:ascii="Times New Roman" w:hAnsi="Times New Roman" w:eastAsia="仿宋_GB2312" w:cs="Times New Roman"/>
          <w:bCs/>
          <w:color w:val="000000" w:themeColor="text1"/>
          <w:sz w:val="32"/>
          <w:szCs w:val="32"/>
          <w14:textFill>
            <w14:solidFill>
              <w14:schemeClr w14:val="tx1"/>
            </w14:solidFill>
          </w14:textFill>
        </w:rPr>
        <w:t>电厂建成投产；鼓励煤电机组延寿改造和煤电联营，加快推进株洲电厂退城进郊、益阳电厂三期、石门电厂三期等项目前期工作</w:t>
      </w:r>
      <w:r>
        <w:rPr>
          <w:rFonts w:hint="eastAsia" w:ascii="Times New Roman" w:hAnsi="Times New Roman" w:eastAsia="仿宋_GB2312" w:cs="Times New Roman"/>
          <w:bCs/>
          <w:color w:val="000000" w:themeColor="text1"/>
          <w:sz w:val="32"/>
          <w:szCs w:val="32"/>
          <w14:textFill>
            <w14:solidFill>
              <w14:schemeClr w14:val="tx1"/>
            </w14:solidFill>
          </w14:textFill>
        </w:rPr>
        <w:t>，争取湘南地区新建一个煤电项目</w:t>
      </w:r>
      <w:r>
        <w:rPr>
          <w:rFonts w:ascii="Times New Roman" w:hAnsi="Times New Roman" w:eastAsia="仿宋_GB2312" w:cs="Times New Roman"/>
          <w:bCs/>
          <w:color w:val="000000" w:themeColor="text1"/>
          <w:sz w:val="32"/>
          <w:szCs w:val="32"/>
          <w14:textFill>
            <w14:solidFill>
              <w14:schemeClr w14:val="tx1"/>
            </w14:solidFill>
          </w14:textFill>
        </w:rPr>
        <w:t>。加强煤炭产运需协调衔接，推进与陕西、山西、内蒙古等重点</w:t>
      </w:r>
      <w:r>
        <w:rPr>
          <w:rFonts w:hint="eastAsia" w:ascii="Times New Roman" w:hAnsi="Times New Roman" w:eastAsia="仿宋_GB2312" w:cs="Times New Roman"/>
          <w:bCs/>
          <w:color w:val="000000" w:themeColor="text1"/>
          <w:sz w:val="32"/>
          <w:szCs w:val="32"/>
          <w14:textFill>
            <w14:solidFill>
              <w14:schemeClr w14:val="tx1"/>
            </w14:solidFill>
          </w14:textFill>
        </w:rPr>
        <w:t>产煤地区</w:t>
      </w:r>
      <w:r>
        <w:rPr>
          <w:rFonts w:ascii="Times New Roman" w:hAnsi="Times New Roman" w:eastAsia="仿宋_GB2312" w:cs="Times New Roman"/>
          <w:bCs/>
          <w:color w:val="000000" w:themeColor="text1"/>
          <w:sz w:val="32"/>
          <w:szCs w:val="32"/>
          <w14:textFill>
            <w14:solidFill>
              <w14:schemeClr w14:val="tx1"/>
            </w14:solidFill>
          </w14:textFill>
        </w:rPr>
        <w:t>合作，多渠道保障煤炭供应。淘汰煤矿落后产能，优化煤炭生产结构，推进煤炭绿色发展。深度挖潜水电，建成五强溪</w:t>
      </w:r>
      <w:r>
        <w:rPr>
          <w:rFonts w:hint="eastAsia" w:ascii="Times New Roman" w:hAnsi="Times New Roman" w:eastAsia="仿宋_GB2312" w:cs="Times New Roman"/>
          <w:bCs/>
          <w:color w:val="000000" w:themeColor="text1"/>
          <w:sz w:val="32"/>
          <w:szCs w:val="32"/>
          <w14:textFill>
            <w14:solidFill>
              <w14:schemeClr w14:val="tx1"/>
            </w14:solidFill>
          </w14:textFill>
        </w:rPr>
        <w:t>电站</w:t>
      </w:r>
      <w:r>
        <w:rPr>
          <w:rFonts w:ascii="Times New Roman" w:hAnsi="Times New Roman" w:eastAsia="仿宋_GB2312" w:cs="Times New Roman"/>
          <w:bCs/>
          <w:color w:val="000000" w:themeColor="text1"/>
          <w:sz w:val="32"/>
          <w:szCs w:val="32"/>
          <w14:textFill>
            <w14:solidFill>
              <w14:schemeClr w14:val="tx1"/>
            </w14:solidFill>
          </w14:textFill>
        </w:rPr>
        <w:t>扩机工程</w:t>
      </w:r>
      <w:r>
        <w:rPr>
          <w:rFonts w:hint="eastAsia" w:ascii="Times New Roman" w:hAnsi="Times New Roman" w:eastAsia="仿宋_GB2312" w:cs="Times New Roman"/>
          <w:bCs/>
          <w:color w:val="000000" w:themeColor="text1"/>
          <w:sz w:val="32"/>
          <w:szCs w:val="32"/>
          <w14:textFill>
            <w14:solidFill>
              <w14:schemeClr w14:val="tx1"/>
            </w14:solidFill>
          </w14:textFill>
        </w:rPr>
        <w:t>；重点</w:t>
      </w:r>
      <w:r>
        <w:rPr>
          <w:rStyle w:val="43"/>
          <w:rFonts w:eastAsia="仿宋_GB2312"/>
          <w:bCs/>
          <w:color w:val="000000"/>
          <w:spacing w:val="4"/>
          <w:sz w:val="32"/>
          <w:szCs w:val="32"/>
        </w:rPr>
        <w:t>依托一体化基地规模化</w:t>
      </w:r>
      <w:r>
        <w:rPr>
          <w:rStyle w:val="43"/>
          <w:rFonts w:hint="eastAsia" w:eastAsia="仿宋_GB2312"/>
          <w:bCs/>
          <w:color w:val="000000"/>
          <w:spacing w:val="4"/>
          <w:sz w:val="32"/>
          <w:szCs w:val="32"/>
        </w:rPr>
        <w:t>布局风电</w:t>
      </w:r>
      <w:r>
        <w:rPr>
          <w:rStyle w:val="43"/>
          <w:rFonts w:eastAsia="仿宋_GB2312"/>
          <w:bCs/>
          <w:color w:val="000000"/>
          <w:spacing w:val="4"/>
          <w:sz w:val="32"/>
          <w:szCs w:val="32"/>
        </w:rPr>
        <w:t>，</w:t>
      </w:r>
      <w:r>
        <w:rPr>
          <w:rFonts w:ascii="Times New Roman" w:hAnsi="Times New Roman" w:eastAsia="仿宋_GB2312" w:cs="Times New Roman"/>
          <w:bCs/>
          <w:color w:val="000000" w:themeColor="text1"/>
          <w:sz w:val="32"/>
          <w:szCs w:val="32"/>
          <w14:textFill>
            <w14:solidFill>
              <w14:schemeClr w14:val="tx1"/>
            </w14:solidFill>
          </w14:textFill>
        </w:rPr>
        <w:t>坚持集中式和分布式并重</w:t>
      </w:r>
      <w:r>
        <w:rPr>
          <w:rFonts w:hint="eastAsia" w:ascii="Times New Roman" w:hAnsi="Times New Roman" w:eastAsia="仿宋_GB2312" w:cs="Times New Roman"/>
          <w:bCs/>
          <w:color w:val="000000" w:themeColor="text1"/>
          <w:sz w:val="32"/>
          <w:szCs w:val="32"/>
          <w14:textFill>
            <w14:solidFill>
              <w14:schemeClr w14:val="tx1"/>
            </w14:solidFill>
          </w14:textFill>
        </w:rPr>
        <w:t>发展</w:t>
      </w:r>
      <w:r>
        <w:rPr>
          <w:rStyle w:val="43"/>
          <w:rFonts w:hint="eastAsia" w:eastAsia="仿宋_GB2312"/>
          <w:bCs/>
          <w:color w:val="000000"/>
          <w:spacing w:val="4"/>
          <w:sz w:val="32"/>
          <w:szCs w:val="32"/>
        </w:rPr>
        <w:t>光伏发电</w:t>
      </w:r>
      <w:r>
        <w:rPr>
          <w:rFonts w:ascii="Times New Roman" w:hAnsi="Times New Roman" w:eastAsia="仿宋_GB2312" w:cs="Times New Roman"/>
          <w:bCs/>
          <w:color w:val="000000" w:themeColor="text1"/>
          <w:sz w:val="32"/>
          <w:szCs w:val="32"/>
          <w14:textFill>
            <w14:solidFill>
              <w14:schemeClr w14:val="tx1"/>
            </w14:solidFill>
          </w14:textFill>
        </w:rPr>
        <w:t>，因地制宜发展生物质发电和地热能，稳步推进氢能等发展。加强应急储备调峰设施建设</w:t>
      </w:r>
      <w:r>
        <w:rPr>
          <w:rFonts w:hint="eastAsia" w:ascii="Times New Roman" w:hAnsi="Times New Roman" w:eastAsia="仿宋_GB2312" w:cs="Times New Roman"/>
          <w:bCs/>
          <w:color w:val="000000" w:themeColor="text1"/>
          <w:sz w:val="32"/>
          <w:szCs w:val="32"/>
          <w14:textFill>
            <w14:solidFill>
              <w14:schemeClr w14:val="tx1"/>
            </w14:solidFill>
          </w14:textFill>
        </w:rPr>
        <w:t>。增强电力系统调节能力，大力推进</w:t>
      </w:r>
      <w:r>
        <w:rPr>
          <w:rFonts w:ascii="Times New Roman" w:hAnsi="Times New Roman" w:eastAsia="仿宋_GB2312" w:cs="Times New Roman"/>
          <w:bCs/>
          <w:color w:val="000000" w:themeColor="text1"/>
          <w:sz w:val="32"/>
          <w:szCs w:val="32"/>
          <w14:textFill>
            <w14:solidFill>
              <w14:schemeClr w14:val="tx1"/>
            </w14:solidFill>
          </w14:textFill>
        </w:rPr>
        <w:t>煤电灵活性改造</w:t>
      </w:r>
      <w:r>
        <w:rPr>
          <w:rFonts w:hint="eastAsia" w:ascii="Times New Roman" w:hAnsi="Times New Roman" w:eastAsia="仿宋_GB2312" w:cs="Times New Roman"/>
          <w:bCs/>
          <w:color w:val="000000" w:themeColor="text1"/>
          <w:sz w:val="32"/>
          <w:szCs w:val="32"/>
          <w14:textFill>
            <w14:solidFill>
              <w14:schemeClr w14:val="tx1"/>
            </w14:solidFill>
          </w14:textFill>
        </w:rPr>
        <w:t>，建成</w:t>
      </w:r>
      <w:r>
        <w:rPr>
          <w:rFonts w:ascii="Times New Roman" w:hAnsi="Times New Roman" w:eastAsia="仿宋_GB2312" w:cs="Times New Roman"/>
          <w:bCs/>
          <w:color w:val="000000" w:themeColor="text1"/>
          <w:sz w:val="32"/>
          <w:szCs w:val="32"/>
          <w14:textFill>
            <w14:solidFill>
              <w14:schemeClr w14:val="tx1"/>
            </w14:solidFill>
          </w14:textFill>
        </w:rPr>
        <w:t>平江抽水蓄能电站，开工建设安化抽水蓄能电站，争取</w:t>
      </w:r>
      <w:r>
        <w:rPr>
          <w:rFonts w:hint="eastAsia" w:ascii="Times New Roman" w:hAnsi="Times New Roman" w:eastAsia="仿宋_GB2312" w:cs="Times New Roman"/>
          <w:bCs/>
          <w:color w:val="000000" w:themeColor="text1"/>
          <w:sz w:val="32"/>
          <w:szCs w:val="32"/>
          <w14:textFill>
            <w14:solidFill>
              <w14:schemeClr w14:val="tx1"/>
            </w14:solidFill>
          </w14:textFill>
        </w:rPr>
        <w:t>安化二期、东江、</w:t>
      </w:r>
      <w:r>
        <w:rPr>
          <w:rFonts w:ascii="Times New Roman" w:hAnsi="Times New Roman" w:eastAsia="仿宋_GB2312" w:cs="Times New Roman"/>
          <w:bCs/>
          <w:color w:val="000000" w:themeColor="text1"/>
          <w:sz w:val="32"/>
          <w:szCs w:val="32"/>
          <w14:textFill>
            <w14:solidFill>
              <w14:schemeClr w14:val="tx1"/>
            </w14:solidFill>
          </w14:textFill>
        </w:rPr>
        <w:t>汨罗、攸县和湘南地区等抽水蓄能电站</w:t>
      </w:r>
      <w:r>
        <w:rPr>
          <w:rFonts w:hint="eastAsia" w:ascii="Times New Roman" w:hAnsi="Times New Roman" w:eastAsia="仿宋_GB2312" w:cs="Times New Roman"/>
          <w:bCs/>
          <w:color w:val="000000" w:themeColor="text1"/>
          <w:sz w:val="32"/>
          <w:szCs w:val="32"/>
          <w14:textFill>
            <w14:solidFill>
              <w14:schemeClr w14:val="tx1"/>
            </w14:solidFill>
          </w14:textFill>
        </w:rPr>
        <w:t>纳</w:t>
      </w:r>
      <w:r>
        <w:rPr>
          <w:rFonts w:ascii="Times New Roman" w:hAnsi="Times New Roman" w:eastAsia="仿宋_GB2312" w:cs="Times New Roman"/>
          <w:bCs/>
          <w:color w:val="000000" w:themeColor="text1"/>
          <w:sz w:val="32"/>
          <w:szCs w:val="32"/>
          <w14:textFill>
            <w14:solidFill>
              <w14:schemeClr w14:val="tx1"/>
            </w14:solidFill>
          </w14:textFill>
        </w:rPr>
        <w:t>入选址规划</w:t>
      </w:r>
      <w:r>
        <w:rPr>
          <w:rFonts w:hint="eastAsia" w:ascii="Times New Roman" w:hAnsi="Times New Roman" w:eastAsia="仿宋_GB2312" w:cs="Times New Roman"/>
          <w:bCs/>
          <w:color w:val="000000" w:themeColor="text1"/>
          <w:sz w:val="32"/>
          <w:szCs w:val="32"/>
          <w14:textFill>
            <w14:solidFill>
              <w14:schemeClr w14:val="tx1"/>
            </w14:solidFill>
          </w14:textFill>
        </w:rPr>
        <w:t>，鼓励风电、光伏发电与储能融合发展</w:t>
      </w:r>
      <w:r>
        <w:rPr>
          <w:rFonts w:ascii="Times New Roman" w:hAnsi="Times New Roman" w:eastAsia="仿宋_GB2312" w:cs="Times New Roman"/>
          <w:bCs/>
          <w:color w:val="000000" w:themeColor="text1"/>
          <w:sz w:val="32"/>
          <w:szCs w:val="32"/>
          <w14:textFill>
            <w14:solidFill>
              <w14:schemeClr w14:val="tx1"/>
            </w14:solidFill>
          </w14:textFill>
        </w:rPr>
        <w:t>；</w:t>
      </w:r>
      <w:r>
        <w:rPr>
          <w:rFonts w:hint="eastAsia" w:ascii="Times New Roman" w:hAnsi="Times New Roman" w:eastAsia="仿宋_GB2312" w:cs="Times New Roman"/>
          <w:bCs/>
          <w:color w:val="000000" w:themeColor="text1"/>
          <w:sz w:val="32"/>
          <w:szCs w:val="32"/>
          <w14:textFill>
            <w14:solidFill>
              <w14:schemeClr w14:val="tx1"/>
            </w14:solidFill>
          </w14:textFill>
        </w:rPr>
        <w:t>加快煤炭储备体系建设，</w:t>
      </w:r>
      <w:r>
        <w:rPr>
          <w:rFonts w:ascii="Times New Roman" w:hAnsi="Times New Roman" w:eastAsia="仿宋_GB2312" w:cs="Times New Roman"/>
          <w:bCs/>
          <w:color w:val="000000" w:themeColor="text1"/>
          <w:sz w:val="32"/>
          <w:szCs w:val="32"/>
          <w14:textFill>
            <w14:solidFill>
              <w14:schemeClr w14:val="tx1"/>
            </w14:solidFill>
          </w14:textFill>
        </w:rPr>
        <w:t>依托浩吉铁路运力和临港码头建设岳阳、华容煤炭铁水联运储备基地</w:t>
      </w:r>
      <w:r>
        <w:rPr>
          <w:rFonts w:hint="eastAsia" w:ascii="Times New Roman" w:hAnsi="Times New Roman" w:eastAsia="仿宋_GB2312" w:cs="Times New Roman"/>
          <w:bCs/>
          <w:color w:val="000000" w:themeColor="text1"/>
          <w:sz w:val="32"/>
          <w:szCs w:val="32"/>
          <w14:textFill>
            <w14:solidFill>
              <w14:schemeClr w14:val="tx1"/>
            </w14:solidFill>
          </w14:textFill>
        </w:rPr>
        <w:t>，在湘北、长株潭、湘中、湘南等地区布局区域性煤炭储备基地，鼓励多式联运型和干支衔接型煤炭应急储备项目建设；</w:t>
      </w:r>
      <w:r>
        <w:rPr>
          <w:rFonts w:ascii="Times New Roman" w:hAnsi="Times New Roman" w:eastAsia="仿宋_GB2312" w:cs="Times New Roman"/>
          <w:bCs/>
          <w:color w:val="000000" w:themeColor="text1"/>
          <w:sz w:val="32"/>
          <w:szCs w:val="32"/>
          <w14:textFill>
            <w14:solidFill>
              <w14:schemeClr w14:val="tx1"/>
            </w14:solidFill>
          </w14:textFill>
        </w:rPr>
        <w:t>推进</w:t>
      </w:r>
      <w:r>
        <w:rPr>
          <w:rFonts w:hint="eastAsia" w:ascii="Times New Roman" w:hAnsi="Times New Roman" w:eastAsia="仿宋_GB2312" w:cs="Times New Roman"/>
          <w:bCs/>
          <w:color w:val="000000" w:themeColor="text1"/>
          <w:sz w:val="32"/>
          <w:szCs w:val="32"/>
          <w14:textFill>
            <w14:solidFill>
              <w14:schemeClr w14:val="tx1"/>
            </w14:solidFill>
          </w14:textFill>
        </w:rPr>
        <w:t>长沙、</w:t>
      </w:r>
      <w:r>
        <w:rPr>
          <w:rFonts w:ascii="Times New Roman" w:hAnsi="Times New Roman" w:eastAsia="仿宋_GB2312" w:cs="Times New Roman"/>
          <w:bCs/>
          <w:color w:val="000000" w:themeColor="text1"/>
          <w:sz w:val="32"/>
          <w:szCs w:val="32"/>
          <w14:textFill>
            <w14:solidFill>
              <w14:schemeClr w14:val="tx1"/>
            </w14:solidFill>
          </w14:textFill>
        </w:rPr>
        <w:t>常德、衡阳等</w:t>
      </w:r>
      <w:r>
        <w:rPr>
          <w:rFonts w:hint="eastAsia" w:ascii="Times New Roman" w:hAnsi="Times New Roman" w:eastAsia="仿宋_GB2312" w:cs="Times New Roman"/>
          <w:bCs/>
          <w:color w:val="000000" w:themeColor="text1"/>
          <w:sz w:val="32"/>
          <w:szCs w:val="32"/>
          <w14:textFill>
            <w14:solidFill>
              <w14:schemeClr w14:val="tx1"/>
            </w14:solidFill>
          </w14:textFill>
        </w:rPr>
        <w:t>地</w:t>
      </w:r>
      <w:r>
        <w:rPr>
          <w:rFonts w:ascii="Times New Roman" w:hAnsi="Times New Roman" w:eastAsia="仿宋_GB2312" w:cs="Times New Roman"/>
          <w:bCs/>
          <w:color w:val="000000" w:themeColor="text1"/>
          <w:sz w:val="32"/>
          <w:szCs w:val="32"/>
          <w14:textFill>
            <w14:solidFill>
              <w14:schemeClr w14:val="tx1"/>
            </w14:solidFill>
          </w14:textFill>
        </w:rPr>
        <w:t>应急</w:t>
      </w:r>
      <w:r>
        <w:rPr>
          <w:rFonts w:hint="eastAsia" w:ascii="Times New Roman" w:hAnsi="Times New Roman" w:eastAsia="仿宋_GB2312" w:cs="Times New Roman"/>
          <w:bCs/>
          <w:color w:val="000000" w:themeColor="text1"/>
          <w:sz w:val="32"/>
          <w:szCs w:val="32"/>
          <w14:textFill>
            <w14:solidFill>
              <w14:schemeClr w14:val="tx1"/>
            </w14:solidFill>
          </w14:textFill>
        </w:rPr>
        <w:t>储气</w:t>
      </w:r>
      <w:r>
        <w:rPr>
          <w:rFonts w:ascii="Times New Roman" w:hAnsi="Times New Roman" w:eastAsia="仿宋_GB2312" w:cs="Times New Roman"/>
          <w:bCs/>
          <w:color w:val="000000" w:themeColor="text1"/>
          <w:sz w:val="32"/>
          <w:szCs w:val="32"/>
          <w14:textFill>
            <w14:solidFill>
              <w14:schemeClr w14:val="tx1"/>
            </w14:solidFill>
          </w14:textFill>
        </w:rPr>
        <w:t>调峰设施建设，新建</w:t>
      </w:r>
      <w:r>
        <w:rPr>
          <w:rFonts w:hint="eastAsia" w:ascii="Times New Roman" w:hAnsi="Times New Roman" w:eastAsia="仿宋_GB2312" w:cs="Times New Roman"/>
          <w:bCs/>
          <w:color w:val="000000" w:themeColor="text1"/>
          <w:sz w:val="32"/>
          <w:szCs w:val="32"/>
          <w14:textFill>
            <w14:solidFill>
              <w14:schemeClr w14:val="tx1"/>
            </w14:solidFill>
          </w14:textFill>
        </w:rPr>
        <w:t>长沙等</w:t>
      </w:r>
      <w:r>
        <w:rPr>
          <w:rFonts w:ascii="Times New Roman" w:hAnsi="Times New Roman" w:eastAsia="仿宋_GB2312" w:cs="Times New Roman"/>
          <w:bCs/>
          <w:color w:val="000000" w:themeColor="text1"/>
          <w:sz w:val="32"/>
          <w:szCs w:val="32"/>
          <w14:textFill>
            <w14:solidFill>
              <w14:schemeClr w14:val="tx1"/>
            </w14:solidFill>
          </w14:textFill>
        </w:rPr>
        <w:t>一批天然气调峰电厂</w:t>
      </w:r>
      <w:r>
        <w:rPr>
          <w:rFonts w:hint="eastAsia" w:ascii="Times New Roman" w:hAnsi="Times New Roman" w:eastAsia="仿宋_GB2312" w:cs="Times New Roman"/>
          <w:bCs/>
          <w:color w:val="000000" w:themeColor="text1"/>
          <w:sz w:val="32"/>
          <w:szCs w:val="32"/>
          <w14:textFill>
            <w14:solidFill>
              <w14:schemeClr w14:val="tx1"/>
            </w14:solidFill>
          </w14:textFill>
        </w:rPr>
        <w:t>；加快</w:t>
      </w:r>
      <w:r>
        <w:rPr>
          <w:rFonts w:ascii="Times New Roman" w:hAnsi="Times New Roman" w:eastAsia="仿宋_GB2312" w:cs="Times New Roman"/>
          <w:bCs/>
          <w:color w:val="000000" w:themeColor="text1"/>
          <w:sz w:val="32"/>
          <w:szCs w:val="32"/>
          <w14:textFill>
            <w14:solidFill>
              <w14:schemeClr w14:val="tx1"/>
            </w14:solidFill>
          </w14:textFill>
        </w:rPr>
        <w:t>岳阳</w:t>
      </w:r>
      <w:r>
        <w:rPr>
          <w:rFonts w:hint="eastAsia" w:ascii="Times New Roman" w:hAnsi="Times New Roman" w:eastAsia="仿宋_GB2312" w:cs="Times New Roman"/>
          <w:bCs/>
          <w:color w:val="000000" w:themeColor="text1"/>
          <w:sz w:val="32"/>
          <w:szCs w:val="32"/>
          <w14:textFill>
            <w14:solidFill>
              <w14:schemeClr w14:val="tx1"/>
            </w14:solidFill>
          </w14:textFill>
        </w:rPr>
        <w:t>国家</w:t>
      </w:r>
      <w:r>
        <w:rPr>
          <w:rFonts w:ascii="Times New Roman" w:hAnsi="Times New Roman" w:eastAsia="仿宋_GB2312" w:cs="Times New Roman"/>
          <w:bCs/>
          <w:color w:val="000000" w:themeColor="text1"/>
          <w:sz w:val="32"/>
          <w:szCs w:val="32"/>
          <w14:textFill>
            <w14:solidFill>
              <w14:schemeClr w14:val="tx1"/>
            </w14:solidFill>
          </w14:textFill>
        </w:rPr>
        <w:t>原油</w:t>
      </w:r>
      <w:r>
        <w:rPr>
          <w:rFonts w:hint="eastAsia" w:ascii="Times New Roman" w:hAnsi="Times New Roman" w:eastAsia="仿宋_GB2312" w:cs="Times New Roman"/>
          <w:bCs/>
          <w:color w:val="000000" w:themeColor="text1"/>
          <w:sz w:val="30"/>
          <w:szCs w:val="30"/>
          <w14:textFill>
            <w14:solidFill>
              <w14:schemeClr w14:val="tx1"/>
            </w14:solidFill>
          </w14:textFill>
        </w:rPr>
        <w:t>商业</w:t>
      </w:r>
      <w:r>
        <w:rPr>
          <w:rFonts w:ascii="Times New Roman" w:hAnsi="Times New Roman" w:eastAsia="仿宋_GB2312" w:cs="Times New Roman"/>
          <w:bCs/>
          <w:color w:val="000000" w:themeColor="text1"/>
          <w:sz w:val="32"/>
          <w:szCs w:val="32"/>
          <w14:textFill>
            <w14:solidFill>
              <w14:schemeClr w14:val="tx1"/>
            </w14:solidFill>
          </w14:textFill>
        </w:rPr>
        <w:t>储备基地、黄花机场航煤油库等建设。</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着力构建坚强能源网络。</w:t>
      </w:r>
      <w:r>
        <w:rPr>
          <w:rFonts w:ascii="Times New Roman" w:hAnsi="Times New Roman" w:eastAsia="仿宋_GB2312" w:cs="Times New Roman"/>
          <w:color w:val="000000" w:themeColor="text1"/>
          <w:sz w:val="32"/>
          <w:szCs w:val="32"/>
          <w14:textFill>
            <w14:solidFill>
              <w14:schemeClr w14:val="tx1"/>
            </w14:solidFill>
          </w14:textFill>
        </w:rPr>
        <w:t>优化布局能源输配通道，</w:t>
      </w:r>
      <w:r>
        <w:rPr>
          <w:rFonts w:hint="eastAsia" w:ascii="Times New Roman" w:hAnsi="Times New Roman" w:eastAsia="仿宋_GB2312" w:cs="Times New Roman"/>
          <w:color w:val="000000" w:themeColor="text1"/>
          <w:sz w:val="32"/>
          <w:szCs w:val="32"/>
          <w14:textFill>
            <w14:solidFill>
              <w14:schemeClr w14:val="tx1"/>
            </w14:solidFill>
          </w14:textFill>
        </w:rPr>
        <w:t>构建“十纵八横六通道”的综合能源大受端</w:t>
      </w:r>
      <w:r>
        <w:rPr>
          <w:rFonts w:ascii="Times New Roman" w:hAnsi="Times New Roman" w:eastAsia="仿宋_GB2312" w:cs="Times New Roman"/>
          <w:color w:val="000000" w:themeColor="text1"/>
          <w:sz w:val="32"/>
          <w:szCs w:val="32"/>
          <w14:textFill>
            <w14:solidFill>
              <w14:schemeClr w14:val="tx1"/>
            </w14:solidFill>
          </w14:textFill>
        </w:rPr>
        <w:t>。建成荆门-长沙-南昌交流和祁韶、雅</w:t>
      </w:r>
      <w:r>
        <w:rPr>
          <w:rFonts w:hint="eastAsia" w:ascii="Times New Roman" w:hAnsi="Times New Roman" w:eastAsia="仿宋_GB2312" w:cs="Times New Roman"/>
          <w:color w:val="000000" w:themeColor="text1"/>
          <w:sz w:val="32"/>
          <w:szCs w:val="32"/>
          <w14:textFill>
            <w14:solidFill>
              <w14:schemeClr w14:val="tx1"/>
            </w14:solidFill>
          </w14:textFill>
        </w:rPr>
        <w:t>江</w:t>
      </w:r>
      <w:r>
        <w:rPr>
          <w:rFonts w:ascii="Times New Roman" w:hAnsi="Times New Roman" w:eastAsia="仿宋_GB2312" w:cs="Times New Roman"/>
          <w:color w:val="000000" w:themeColor="text1"/>
          <w:sz w:val="32"/>
          <w:szCs w:val="32"/>
          <w14:textFill>
            <w14:solidFill>
              <w14:schemeClr w14:val="tx1"/>
            </w14:solidFill>
          </w14:textFill>
        </w:rPr>
        <w:t>直流相结合的强交强直特高压网</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优化完善电网主网架，</w:t>
      </w:r>
      <w:r>
        <w:rPr>
          <w:rFonts w:hint="eastAsia" w:ascii="Times New Roman" w:hAnsi="Times New Roman" w:eastAsia="仿宋_GB2312" w:cs="Times New Roman"/>
          <w:color w:val="000000" w:themeColor="text1"/>
          <w:sz w:val="32"/>
          <w:szCs w:val="32"/>
          <w14:textFill>
            <w14:solidFill>
              <w14:schemeClr w14:val="tx1"/>
            </w14:solidFill>
          </w14:textFill>
        </w:rPr>
        <w:t>基本建成湘东</w:t>
      </w:r>
      <w:r>
        <w:rPr>
          <w:rFonts w:ascii="Times New Roman" w:hAnsi="Times New Roman" w:eastAsia="仿宋_GB2312" w:cs="Times New Roman"/>
          <w:color w:val="000000" w:themeColor="text1"/>
          <w:sz w:val="32"/>
          <w:szCs w:val="32"/>
          <w14:textFill>
            <w14:solidFill>
              <w14:schemeClr w14:val="tx1"/>
            </w14:solidFill>
          </w14:textFill>
        </w:rPr>
        <w:t>“立体双环”</w:t>
      </w:r>
      <w:r>
        <w:rPr>
          <w:rFonts w:hint="eastAsia" w:ascii="Times New Roman" w:hAnsi="Times New Roman" w:eastAsia="仿宋_GB2312" w:cs="Times New Roman"/>
          <w:color w:val="000000" w:themeColor="text1"/>
          <w:sz w:val="32"/>
          <w:szCs w:val="32"/>
          <w14:textFill>
            <w14:solidFill>
              <w14:schemeClr w14:val="tx1"/>
            </w14:solidFill>
          </w14:textFill>
        </w:rPr>
        <w:t>网、湘南“日”字型环网、湘西北和湘北环网，实现</w:t>
      </w:r>
      <w:r>
        <w:rPr>
          <w:rFonts w:ascii="Times New Roman" w:hAnsi="Times New Roman" w:eastAsia="仿宋_GB2312" w:cs="Times New Roman"/>
          <w:color w:val="000000" w:themeColor="text1"/>
          <w:sz w:val="32"/>
          <w:szCs w:val="32"/>
          <w14:textFill>
            <w14:solidFill>
              <w14:schemeClr w14:val="tx1"/>
            </w14:solidFill>
          </w14:textFill>
        </w:rPr>
        <w:t>500千伏</w:t>
      </w:r>
      <w:r>
        <w:rPr>
          <w:rFonts w:hint="eastAsia" w:ascii="Times New Roman" w:hAnsi="Times New Roman" w:eastAsia="仿宋_GB2312" w:cs="Times New Roman"/>
          <w:color w:val="000000" w:themeColor="text1"/>
          <w:sz w:val="32"/>
          <w:szCs w:val="32"/>
          <w14:textFill>
            <w14:solidFill>
              <w14:schemeClr w14:val="tx1"/>
            </w14:solidFill>
          </w14:textFill>
        </w:rPr>
        <w:t>电</w:t>
      </w:r>
      <w:r>
        <w:rPr>
          <w:rFonts w:ascii="Times New Roman" w:hAnsi="Times New Roman" w:eastAsia="仿宋_GB2312" w:cs="Times New Roman"/>
          <w:color w:val="000000" w:themeColor="text1"/>
          <w:sz w:val="32"/>
          <w:szCs w:val="32"/>
          <w14:textFill>
            <w14:solidFill>
              <w14:schemeClr w14:val="tx1"/>
            </w14:solidFill>
          </w14:textFill>
        </w:rPr>
        <w:t>网</w:t>
      </w:r>
      <w:r>
        <w:rPr>
          <w:rFonts w:hint="eastAsia" w:ascii="Times New Roman" w:hAnsi="Times New Roman" w:eastAsia="仿宋_GB2312" w:cs="Times New Roman"/>
          <w:color w:val="000000" w:themeColor="text1"/>
          <w:sz w:val="32"/>
          <w:szCs w:val="32"/>
          <w14:textFill>
            <w14:solidFill>
              <w14:schemeClr w14:val="tx1"/>
            </w14:solidFill>
          </w14:textFill>
        </w:rPr>
        <w:t>市州</w:t>
      </w:r>
      <w:r>
        <w:rPr>
          <w:rFonts w:ascii="Times New Roman" w:hAnsi="Times New Roman" w:eastAsia="仿宋_GB2312" w:cs="Times New Roman"/>
          <w:color w:val="000000" w:themeColor="text1"/>
          <w:sz w:val="32"/>
          <w:szCs w:val="32"/>
          <w14:textFill>
            <w14:solidFill>
              <w14:schemeClr w14:val="tx1"/>
            </w14:solidFill>
          </w14:textFill>
        </w:rPr>
        <w:t>全覆盖</w:t>
      </w:r>
      <w:r>
        <w:rPr>
          <w:rFonts w:hint="eastAsia" w:ascii="Times New Roman" w:hAnsi="Times New Roman" w:eastAsia="仿宋_GB2312" w:cs="Times New Roman"/>
          <w:color w:val="000000" w:themeColor="text1"/>
          <w:sz w:val="32"/>
          <w:szCs w:val="32"/>
          <w14:textFill>
            <w14:solidFill>
              <w14:schemeClr w14:val="tx1"/>
            </w14:solidFill>
          </w14:textFill>
        </w:rPr>
        <w:t>和220千伏电网县级全覆盖；</w:t>
      </w:r>
      <w:r>
        <w:rPr>
          <w:rFonts w:ascii="Times New Roman" w:hAnsi="Times New Roman" w:eastAsia="仿宋_GB2312" w:cs="Times New Roman"/>
          <w:color w:val="000000" w:themeColor="text1"/>
          <w:sz w:val="32"/>
          <w:szCs w:val="32"/>
          <w14:textFill>
            <w14:solidFill>
              <w14:schemeClr w14:val="tx1"/>
            </w14:solidFill>
          </w14:textFill>
        </w:rPr>
        <w:t>加强配电网升级改造，</w:t>
      </w:r>
      <w:r>
        <w:rPr>
          <w:rFonts w:hint="eastAsia" w:ascii="Times New Roman" w:hAnsi="Times New Roman" w:eastAsia="仿宋_GB2312" w:cs="Times New Roman"/>
          <w:color w:val="000000" w:themeColor="text1"/>
          <w:sz w:val="32"/>
          <w:szCs w:val="32"/>
          <w14:textFill>
            <w14:solidFill>
              <w14:schemeClr w14:val="tx1"/>
            </w14:solidFill>
          </w14:textFill>
        </w:rPr>
        <w:t>全面提高城网可靠性和智能化水平，将长沙打造为一流城市配电网，实施农村电网巩固提升工程，着力加强县城电网建设，全面提升农村供电能力，</w:t>
      </w:r>
      <w:r>
        <w:rPr>
          <w:rFonts w:eastAsia="仿宋_GB2312"/>
          <w:color w:val="000000"/>
          <w:spacing w:val="4"/>
          <w:sz w:val="32"/>
          <w:szCs w:val="32"/>
        </w:rPr>
        <w:t>基本实现城乡供电服务均等化</w:t>
      </w:r>
      <w:r>
        <w:rPr>
          <w:rFonts w:ascii="Times New Roman" w:hAnsi="Times New Roman" w:eastAsia="仿宋_GB2312" w:cs="Times New Roman"/>
          <w:color w:val="000000" w:themeColor="text1"/>
          <w:sz w:val="32"/>
          <w:szCs w:val="32"/>
          <w14:textFill>
            <w14:solidFill>
              <w14:schemeClr w14:val="tx1"/>
            </w14:solidFill>
          </w14:textFill>
        </w:rPr>
        <w:t>。深入推进“气化湖南工程”，依托新粤浙干线、忠武线潜湘支线、西二线樟湘支线、新粤浙广西支线等“一干三支”国家天然气管道，构建长株潭“日”字形环网，促进湘西、湘中、湘南地区联环成网，省内输气管道突破5000公里，基本实现“县县通”</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逐步推进天然气</w:t>
      </w:r>
      <w:r>
        <w:rPr>
          <w:rFonts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进镇入乡</w:t>
      </w:r>
      <w:r>
        <w:rPr>
          <w:rFonts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，建设产业特色小镇等重点乡镇气化工程</w:t>
      </w:r>
      <w:r>
        <w:rPr>
          <w:rFonts w:ascii="Times New Roman" w:hAnsi="Times New Roman" w:eastAsia="仿宋_GB2312" w:cs="Times New Roman"/>
          <w:color w:val="000000" w:themeColor="text1"/>
          <w:sz w:val="32"/>
          <w:szCs w:val="32"/>
          <w14:textFill>
            <w14:solidFill>
              <w14:schemeClr w14:val="tx1"/>
            </w14:solidFill>
          </w14:textFill>
        </w:rPr>
        <w:t>。打造长郴、兰郑长、长炼-黄花机场、邵怀、娄邵永“四纵一横”成品油管网。</w:t>
      </w:r>
      <w:r>
        <w:rPr>
          <w:rFonts w:hint="eastAsia" w:ascii="Times New Roman" w:hAnsi="Times New Roman" w:eastAsia="仿宋_GB2312" w:cs="Times New Roman"/>
          <w:color w:val="000000" w:themeColor="text1"/>
          <w:sz w:val="32"/>
          <w:szCs w:val="32"/>
          <w14:textFill>
            <w14:solidFill>
              <w14:schemeClr w14:val="tx1"/>
            </w14:solidFill>
          </w14:textFill>
        </w:rPr>
        <w:t>完善</w:t>
      </w:r>
      <w:r>
        <w:rPr>
          <w:rFonts w:ascii="Times New Roman" w:hAnsi="Times New Roman" w:eastAsia="仿宋_GB2312" w:cs="Times New Roman"/>
          <w:color w:val="000000" w:themeColor="text1"/>
          <w:sz w:val="32"/>
          <w:szCs w:val="32"/>
          <w14:textFill>
            <w14:solidFill>
              <w14:schemeClr w14:val="tx1"/>
            </w14:solidFill>
          </w14:textFill>
        </w:rPr>
        <w:t>铁路</w:t>
      </w:r>
      <w:r>
        <w:rPr>
          <w:rFonts w:hint="eastAsia" w:ascii="Times New Roman" w:hAnsi="Times New Roman" w:eastAsia="仿宋_GB2312" w:cs="Times New Roman"/>
          <w:color w:val="000000" w:themeColor="text1"/>
          <w:sz w:val="32"/>
          <w:szCs w:val="32"/>
          <w14:textFill>
            <w14:solidFill>
              <w14:schemeClr w14:val="tx1"/>
            </w14:solidFill>
          </w14:textFill>
        </w:rPr>
        <w:t>和“海进江”等煤炭入湘通道的储备和转运基础设施建设</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加大湘资沅澧流域煤炭码头建设，建成从煤源富集地到终端用户“门对门”的煤炭集疏运系统。</w:t>
      </w:r>
      <w:r>
        <w:rPr>
          <w:rFonts w:ascii="Times New Roman" w:hAnsi="Times New Roman" w:eastAsia="仿宋_GB2312" w:cs="Times New Roman"/>
          <w:color w:val="000000" w:themeColor="text1"/>
          <w:sz w:val="32"/>
          <w:szCs w:val="32"/>
          <w14:textFill>
            <w14:solidFill>
              <w14:schemeClr w14:val="tx1"/>
            </w14:solidFill>
          </w14:textFill>
        </w:rPr>
        <w:t>加快充电基础设施建设，建成充电桩</w:t>
      </w:r>
      <w:r>
        <w:rPr>
          <w:rFonts w:hint="eastAsia" w:ascii="Times New Roman" w:hAnsi="Times New Roman" w:eastAsia="仿宋_GB2312" w:cs="Times New Roman"/>
          <w:color w:val="000000" w:themeColor="text1"/>
          <w:sz w:val="32"/>
          <w:szCs w:val="32"/>
          <w14:textFill>
            <w14:solidFill>
              <w14:schemeClr w14:val="tx1"/>
            </w14:solidFill>
          </w14:textFill>
        </w:rPr>
        <w:t>40</w:t>
      </w:r>
      <w:r>
        <w:rPr>
          <w:rFonts w:ascii="Times New Roman" w:hAnsi="Times New Roman" w:eastAsia="仿宋_GB2312" w:cs="Times New Roman"/>
          <w:color w:val="000000" w:themeColor="text1"/>
          <w:sz w:val="32"/>
          <w:szCs w:val="32"/>
          <w14:textFill>
            <w14:solidFill>
              <w14:schemeClr w14:val="tx1"/>
            </w14:solidFill>
          </w14:textFill>
        </w:rPr>
        <w:t>万个，</w:t>
      </w:r>
      <w:r>
        <w:rPr>
          <w:rFonts w:eastAsia="仿宋_GB2312"/>
          <w:color w:val="000000"/>
          <w:sz w:val="32"/>
          <w:szCs w:val="32"/>
        </w:rPr>
        <w:t>形成</w:t>
      </w:r>
      <w:r>
        <w:rPr>
          <w:rFonts w:hint="eastAsia" w:ascii="Times New Roman" w:hAnsi="Times New Roman" w:eastAsia="仿宋_GB2312" w:cs="Times New Roman"/>
          <w:color w:val="000000"/>
          <w:sz w:val="32"/>
          <w:szCs w:val="32"/>
        </w:rPr>
        <w:t>“车桩相随、开放通用、标准统一、智能高效”</w:t>
      </w:r>
      <w:r>
        <w:rPr>
          <w:rFonts w:eastAsia="仿宋_GB2312"/>
          <w:color w:val="000000"/>
          <w:sz w:val="32"/>
          <w:szCs w:val="32"/>
        </w:rPr>
        <w:t>的</w:t>
      </w:r>
      <w:r>
        <w:rPr>
          <w:rFonts w:ascii="Times New Roman" w:hAnsi="Times New Roman" w:eastAsia="仿宋_GB2312" w:cs="Times New Roman"/>
          <w:color w:val="000000" w:themeColor="text1"/>
          <w:sz w:val="32"/>
          <w:szCs w:val="32"/>
          <w14:textFill>
            <w14:solidFill>
              <w14:schemeClr w14:val="tx1"/>
            </w14:solidFill>
          </w14:textFill>
        </w:rPr>
        <w:t>充电网。</w:t>
      </w:r>
    </w:p>
    <w:p>
      <w:pPr>
        <w:widowControl/>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8</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湖南省“十四五”500千伏及以上电力系统规划接线图</w:t>
      </w:r>
    </w:p>
    <w:p>
      <w:pPr>
        <w:widowControl/>
        <w:rPr>
          <w:rFonts w:ascii="Times New Roman" w:hAnsi="Times New Roman" w:eastAsia="仿宋_GB2312" w:cs="Times New Roman"/>
          <w:color w:val="000000" w:themeColor="text1"/>
          <w:sz w:val="32"/>
          <w:szCs w:val="32"/>
          <w14:textFill>
            <w14:solidFill>
              <w14:schemeClr w14:val="tx1"/>
            </w14:solidFill>
          </w14:textFill>
        </w:rPr>
      </w:pPr>
      <w:r>
        <w:rPr>
          <w:rFonts w:hint="eastAsia"/>
        </w:rPr>
        <w:drawing>
          <wp:inline distT="0" distB="0" distL="114300" distR="114300">
            <wp:extent cx="5851525" cy="7783830"/>
            <wp:effectExtent l="0" t="0" r="0" b="7620"/>
            <wp:docPr id="8" name="图片 8" descr="20210311湖南省“十四五”500千伏及以上电力系统规划接线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20210311湖南省“十四五”500千伏及以上电力系统规划接线图"/>
                    <pic:cNvPicPr>
                      <a:picLocks noChangeAspect="true"/>
                    </pic:cNvPicPr>
                  </pic:nvPicPr>
                  <pic:blipFill>
                    <a:blip r:embed="rId20"/>
                    <a:srcRect l="4749" t="6615" r="4927" b="5737"/>
                    <a:stretch>
                      <a:fillRect/>
                    </a:stretch>
                  </pic:blipFill>
                  <pic:spPr>
                    <a:xfrm>
                      <a:off x="0" y="0"/>
                      <a:ext cx="5857844" cy="7792116"/>
                    </a:xfrm>
                    <a:prstGeom prst="rect">
                      <a:avLst/>
                    </a:prstGeom>
                  </pic:spPr>
                </pic:pic>
              </a:graphicData>
            </a:graphic>
          </wp:inline>
        </w:drawing>
      </w:r>
    </w:p>
    <w:p>
      <w:pPr>
        <w:widowControl/>
        <w:jc w:val="center"/>
        <w:rPr>
          <w:rFonts w:ascii="Times New Roman" w:hAnsi="Times New Roman" w:eastAsia="仿宋_GB2312" w:cs="Times New Roman"/>
          <w:color w:val="000000" w:themeColor="text1"/>
          <w:sz w:val="32"/>
          <w:szCs w:val="32"/>
          <w14:textFill>
            <w14:solidFill>
              <w14:schemeClr w14:val="tx1"/>
            </w14:solidFill>
          </w14:textFill>
        </w:rPr>
      </w:pP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深入推进能源体制改革。</w:t>
      </w:r>
      <w:r>
        <w:rPr>
          <w:rFonts w:ascii="Times New Roman" w:hAnsi="Times New Roman" w:eastAsia="仿宋_GB2312" w:cs="Times New Roman"/>
          <w:color w:val="000000" w:themeColor="text1"/>
          <w:sz w:val="32"/>
          <w:szCs w:val="32"/>
          <w14:textFill>
            <w14:solidFill>
              <w14:schemeClr w14:val="tx1"/>
            </w14:solidFill>
          </w14:textFill>
        </w:rPr>
        <w:t>推进能源领域市场化改革，还原能源商品属性，形成统一开放、竞争有序的能源市场。加快推进电力体制改革，建立健全以中长期交易为基础、现货交易为补充的交易机制，推动电力交易机构独立规范运行和增量配电业务试点</w:t>
      </w:r>
      <w:r>
        <w:rPr>
          <w:rFonts w:hint="eastAsia" w:ascii="Times New Roman" w:hAnsi="Times New Roman" w:eastAsia="仿宋_GB2312" w:cs="Times New Roman"/>
          <w:color w:val="000000" w:themeColor="text1"/>
          <w:sz w:val="32"/>
          <w:szCs w:val="32"/>
          <w14:textFill>
            <w14:solidFill>
              <w14:schemeClr w14:val="tx1"/>
            </w14:solidFill>
          </w14:textFill>
        </w:rPr>
        <w:t>。完善电力辅助服务，研究增加绿电交易品种，提升可再生能源消纳能力。完善两部制电价政策，提升调峰电源建设积极性。</w:t>
      </w:r>
      <w:r>
        <w:rPr>
          <w:rFonts w:ascii="Times New Roman" w:hAnsi="Times New Roman" w:eastAsia="仿宋_GB2312" w:cs="Times New Roman"/>
          <w:color w:val="000000" w:themeColor="text1"/>
          <w:sz w:val="32"/>
          <w:szCs w:val="32"/>
          <w14:textFill>
            <w14:solidFill>
              <w14:schemeClr w14:val="tx1"/>
            </w14:solidFill>
          </w14:textFill>
        </w:rPr>
        <w:t>有序推进油气体制改革，促进省级油气管网同网同价，完善油气管网公平接入机制，开展大用户直供试点。</w:t>
      </w:r>
      <w:r>
        <w:rPr>
          <w:rFonts w:hint="eastAsia" w:ascii="Times New Roman" w:hAnsi="Times New Roman" w:eastAsia="仿宋_GB2312" w:cs="Times New Roman"/>
          <w:color w:val="000000" w:themeColor="text1"/>
          <w:sz w:val="32"/>
          <w:szCs w:val="32"/>
          <w14:textFill>
            <w14:solidFill>
              <w14:schemeClr w14:val="tx1"/>
            </w14:solidFill>
          </w14:textFill>
        </w:rPr>
        <w:t>优化需求侧管理，推进需求响应机制建设</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持续优化营商环境，</w:t>
      </w:r>
      <w:r>
        <w:rPr>
          <w:rFonts w:ascii="Times New Roman" w:hAnsi="Times New Roman" w:eastAsia="仿宋_GB2312" w:cs="Times New Roman"/>
          <w:color w:val="000000" w:themeColor="text1"/>
          <w:sz w:val="32"/>
          <w:szCs w:val="32"/>
          <w14:textFill>
            <w14:solidFill>
              <w14:schemeClr w14:val="tx1"/>
            </w14:solidFill>
          </w14:textFill>
        </w:rPr>
        <w:t>全面提升“获得电力”服务水平，简化能源工程建设项目审批流程，降低市场准入门槛，加强和规范事中事后监管。</w:t>
      </w:r>
    </w:p>
    <w:tbl>
      <w:tblPr>
        <w:tblStyle w:val="25"/>
        <w:tblW w:w="90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900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专栏20  “十四五”重大能源工程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900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能源拓源工程。</w:t>
            </w:r>
            <w:r>
              <w:rPr>
                <w:rFonts w:ascii="Times New Roman" w:hAnsi="Times New Roman" w:cs="Times New Roman"/>
                <w:color w:val="000000" w:themeColor="text1"/>
                <w:kern w:val="0"/>
                <w:sz w:val="24"/>
                <w:szCs w:val="24"/>
                <w14:textFill>
                  <w14:solidFill>
                    <w14:schemeClr w14:val="tx1"/>
                  </w14:solidFill>
                </w14:textFill>
              </w:rPr>
              <w:t>火电：建成永州、平江、华容、怀化石煤电厂，推进株洲电厂退城进郊、益阳电厂三期</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石门电厂三期和湘南电厂开工建设。水电：建成五强溪扩机工程。新能源：推进环洞庭湖和湘南“风光水火储一体化”基地建设，推进建设岳阳氢能示范城市。区外能源：推进“宁电入湘”特高压直流工程前期工作，</w:t>
            </w:r>
            <w:r>
              <w:rPr>
                <w:rFonts w:hint="eastAsia" w:ascii="Times New Roman" w:hAnsi="Times New Roman" w:cs="Times New Roman"/>
                <w:color w:val="000000" w:themeColor="text1"/>
                <w:kern w:val="0"/>
                <w:sz w:val="24"/>
                <w:szCs w:val="24"/>
                <w14:textFill>
                  <w14:solidFill>
                    <w14:schemeClr w14:val="tx1"/>
                  </w14:solidFill>
                </w14:textFill>
              </w:rPr>
              <w:t>实现</w:t>
            </w:r>
            <w:r>
              <w:rPr>
                <w:rFonts w:ascii="Times New Roman" w:hAnsi="Times New Roman" w:cs="Times New Roman"/>
                <w:color w:val="000000" w:themeColor="text1"/>
                <w:kern w:val="0"/>
                <w:sz w:val="24"/>
                <w:szCs w:val="24"/>
                <w14:textFill>
                  <w14:solidFill>
                    <w14:schemeClr w14:val="tx1"/>
                  </w14:solidFill>
                </w14:textFill>
              </w:rPr>
              <w:t>鲤鱼江电厂供电湖南，加大天然气、煤炭引入力度，提升原油和成品油调入能力。应急储备调峰设施：争取平江抽水蓄能电站投产，开工建设安化抽水蓄能电站。加快岳阳、华容煤炭铁水联运储备基地和</w:t>
            </w:r>
            <w:r>
              <w:rPr>
                <w:rFonts w:hint="eastAsia" w:ascii="Times New Roman" w:hAnsi="Times New Roman" w:cs="Times New Roman"/>
                <w:color w:val="000000" w:themeColor="text1"/>
                <w:kern w:val="0"/>
                <w:sz w:val="24"/>
                <w:szCs w:val="24"/>
                <w14:textFill>
                  <w14:solidFill>
                    <w14:schemeClr w14:val="tx1"/>
                  </w14:solidFill>
                </w14:textFill>
              </w:rPr>
              <w:t>长沙、</w:t>
            </w:r>
            <w:r>
              <w:rPr>
                <w:rFonts w:ascii="Times New Roman" w:hAnsi="Times New Roman" w:cs="Times New Roman"/>
                <w:color w:val="000000" w:themeColor="text1"/>
                <w:kern w:val="0"/>
                <w:sz w:val="24"/>
                <w:szCs w:val="24"/>
                <w14:textFill>
                  <w14:solidFill>
                    <w14:schemeClr w14:val="tx1"/>
                  </w14:solidFill>
                </w14:textFill>
              </w:rPr>
              <w:t>常德、衡阳等天然气应急调峰设施建设。新建</w:t>
            </w:r>
            <w:r>
              <w:rPr>
                <w:rFonts w:hint="eastAsia" w:ascii="Times New Roman" w:hAnsi="Times New Roman" w:cs="Times New Roman"/>
                <w:color w:val="000000" w:themeColor="text1"/>
                <w:kern w:val="0"/>
                <w:sz w:val="24"/>
                <w:szCs w:val="24"/>
                <w14:textFill>
                  <w14:solidFill>
                    <w14:schemeClr w14:val="tx1"/>
                  </w14:solidFill>
                </w14:textFill>
              </w:rPr>
              <w:t>长沙等</w:t>
            </w:r>
            <w:r>
              <w:rPr>
                <w:rFonts w:ascii="Times New Roman" w:hAnsi="Times New Roman" w:cs="Times New Roman"/>
                <w:color w:val="000000" w:themeColor="text1"/>
                <w:kern w:val="0"/>
                <w:sz w:val="24"/>
                <w:szCs w:val="24"/>
                <w14:textFill>
                  <w14:solidFill>
                    <w14:schemeClr w14:val="tx1"/>
                  </w14:solidFill>
                </w14:textFill>
              </w:rPr>
              <w:t>一批天然气调峰电厂。推进岳阳</w:t>
            </w:r>
            <w:r>
              <w:rPr>
                <w:rFonts w:hint="eastAsia" w:ascii="Times New Roman" w:hAnsi="Times New Roman" w:cs="Times New Roman"/>
                <w:color w:val="000000" w:themeColor="text1"/>
                <w:kern w:val="0"/>
                <w:sz w:val="24"/>
                <w:szCs w:val="24"/>
                <w14:textFill>
                  <w14:solidFill>
                    <w14:schemeClr w14:val="tx1"/>
                  </w14:solidFill>
                </w14:textFill>
              </w:rPr>
              <w:t>国家</w:t>
            </w:r>
            <w:r>
              <w:rPr>
                <w:rFonts w:ascii="Times New Roman" w:hAnsi="Times New Roman" w:cs="Times New Roman"/>
                <w:color w:val="000000" w:themeColor="text1"/>
                <w:kern w:val="0"/>
                <w:sz w:val="24"/>
                <w:szCs w:val="24"/>
                <w14:textFill>
                  <w14:solidFill>
                    <w14:schemeClr w14:val="tx1"/>
                  </w14:solidFill>
                </w14:textFill>
              </w:rPr>
              <w:t>原油</w:t>
            </w:r>
            <w:r>
              <w:rPr>
                <w:rFonts w:hint="eastAsia" w:ascii="Times New Roman" w:hAnsi="Times New Roman" w:cs="Times New Roman"/>
                <w:color w:val="000000" w:themeColor="text1"/>
                <w:kern w:val="0"/>
                <w:sz w:val="24"/>
                <w:szCs w:val="24"/>
                <w14:textFill>
                  <w14:solidFill>
                    <w14:schemeClr w14:val="tx1"/>
                  </w14:solidFill>
                </w14:textFill>
              </w:rPr>
              <w:t>商业</w:t>
            </w:r>
            <w:r>
              <w:rPr>
                <w:rFonts w:ascii="Times New Roman" w:hAnsi="Times New Roman" w:cs="Times New Roman"/>
                <w:color w:val="000000" w:themeColor="text1"/>
                <w:kern w:val="0"/>
                <w:sz w:val="24"/>
                <w:szCs w:val="24"/>
                <w14:textFill>
                  <w14:solidFill>
                    <w14:schemeClr w14:val="tx1"/>
                  </w14:solidFill>
                </w14:textFill>
              </w:rPr>
              <w:t>储备基地、黄花机场航煤油库、衡阳盐穴油气储库等建设。建成电化学储能200万千瓦。</w:t>
            </w:r>
          </w:p>
          <w:p>
            <w:pPr>
              <w:spacing w:line="320" w:lineRule="exact"/>
              <w:ind w:firstLine="481" w:firstLineChars="200"/>
              <w:rPr>
                <w:rFonts w:ascii="Times New Roman" w:hAnsi="Times New Roman" w:eastAsia="宋体" w:cs="Times New Roman"/>
                <w:color w:val="000000" w:themeColor="text1"/>
                <w:kern w:val="0"/>
                <w:sz w:val="2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能源强网工程。</w:t>
            </w:r>
            <w:r>
              <w:rPr>
                <w:rFonts w:ascii="Times New Roman" w:hAnsi="Times New Roman" w:cs="Times New Roman"/>
                <w:color w:val="000000" w:themeColor="text1"/>
                <w:kern w:val="0"/>
                <w:sz w:val="24"/>
                <w:szCs w:val="24"/>
                <w14:textFill>
                  <w14:solidFill>
                    <w14:schemeClr w14:val="tx1"/>
                  </w14:solidFill>
                </w14:textFill>
              </w:rPr>
              <w:t>电网：建成雅中-江西特高压直流线路工程湖南段、荆门-长沙-南昌特高压交流线路工程和长沙特高压交流站。新建宁乡、娄底西、自治州、张家界和郴州东等500千伏变电站，改扩建罗城、浏阳、星城和牌楼等500千伏变电站，新建自治州-娄底西、雁城-郴州东和宗元-紫霞第二回等500千伏线路，加强配电网升级改造。天然气网：建设新粤浙广西支干线湖南段、玉屏-新晃、铜仁-凤凰等入湘气源管道，推进“气化湖南工程”，新建3000公里省内输气管道。油网：建成长岭-黄花机场航煤油等成品油管道。煤炭物流网：搭建省级煤炭交易中心。充电网：建成充电桩</w:t>
            </w:r>
            <w:r>
              <w:rPr>
                <w:rFonts w:hint="eastAsia" w:ascii="Times New Roman" w:hAnsi="Times New Roman" w:cs="Times New Roman"/>
                <w:color w:val="000000" w:themeColor="text1"/>
                <w:kern w:val="0"/>
                <w:sz w:val="24"/>
                <w:szCs w:val="24"/>
                <w14:textFill>
                  <w14:solidFill>
                    <w14:schemeClr w14:val="tx1"/>
                  </w14:solidFill>
                </w14:textFill>
              </w:rPr>
              <w:t>40</w:t>
            </w:r>
            <w:r>
              <w:rPr>
                <w:rFonts w:ascii="Times New Roman" w:hAnsi="Times New Roman" w:cs="Times New Roman"/>
                <w:color w:val="000000" w:themeColor="text1"/>
                <w:kern w:val="0"/>
                <w:sz w:val="24"/>
                <w:szCs w:val="24"/>
                <w14:textFill>
                  <w14:solidFill>
                    <w14:schemeClr w14:val="tx1"/>
                  </w14:solidFill>
                </w14:textFill>
              </w:rPr>
              <w:t>万个。</w:t>
            </w:r>
          </w:p>
        </w:tc>
      </w:tr>
    </w:tbl>
    <w:p>
      <w:pPr>
        <w:autoSpaceDE w:val="0"/>
        <w:autoSpaceDN w:val="0"/>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5" w:name="_Toc62051592"/>
      <w:r>
        <w:rPr>
          <w:rFonts w:ascii="Times New Roman" w:hAnsi="Times New Roman" w:eastAsia="楷体_GB2312" w:cs="Times New Roman"/>
          <w:b/>
          <w:bCs/>
          <w:color w:val="000000" w:themeColor="text1"/>
          <w:sz w:val="32"/>
          <w:szCs w:val="32"/>
          <w14:textFill>
            <w14:solidFill>
              <w14:schemeClr w14:val="tx1"/>
            </w14:solidFill>
          </w14:textFill>
        </w:rPr>
        <w:t>第三节  筑牢水安全网</w:t>
      </w:r>
      <w:bookmarkEnd w:id="85"/>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蓄泄兼筹保障防洪安全。</w:t>
      </w:r>
      <w:r>
        <w:rPr>
          <w:rFonts w:ascii="Times New Roman" w:hAnsi="Times New Roman" w:eastAsia="仿宋_GB2312" w:cs="Times New Roman"/>
          <w:color w:val="000000" w:themeColor="text1"/>
          <w:sz w:val="32"/>
          <w:szCs w:val="32"/>
          <w14:textFill>
            <w14:solidFill>
              <w14:schemeClr w14:val="tx1"/>
            </w14:solidFill>
          </w14:textFill>
        </w:rPr>
        <w:t>围绕洞庭湖水系防洪安澜，以四水流域为重点单元、县级以上城市为重点对象，完善防洪格局。提升洞庭湖防洪能力，持续推进长江岸线崩岸滑坡治理，加固洞庭湖重要堤防，降低防洪保护区溃垸风险；推进国家级重要蓄滞洪区分洪闸、安全区等建设，分步实施蓄滞洪区居民迁建，逐步实现设防标准下安全分蓄超额洪量；全面完成洞庭湖区18个重点涝片排涝能力建设，有效降低内涝风险。加强四水防洪保障，加快四水防洪控制性工程建设和病险水库除险加固，加强河道整治与堤防等建设，提高四水流域蓄洪、泄洪和除涝能力。加强百城防洪保障，依托流域及区域防洪体系，加快完成89个县级城市防洪闭合圈建设，提升城市防洪能力。加强城市和县城排水防涝设施建设，更新改造老城区排水设施，高标准规划建设新城区排涝设施。建设智慧水利，构建安全可控的水利监测感知网络，提升洪水科学调度能力。</w:t>
      </w:r>
      <w:r>
        <w:rPr>
          <w:rFonts w:hint="eastAsia" w:ascii="Times New Roman" w:hAnsi="Times New Roman" w:eastAsia="仿宋_GB2312" w:cs="Times New Roman"/>
          <w:color w:val="000000" w:themeColor="text1"/>
          <w:sz w:val="32"/>
          <w:szCs w:val="32"/>
          <w14:textFill>
            <w14:solidFill>
              <w14:schemeClr w14:val="tx1"/>
            </w14:solidFill>
          </w14:textFill>
        </w:rPr>
        <w:t>到</w:t>
      </w:r>
      <w:r>
        <w:rPr>
          <w:rFonts w:ascii="Times New Roman" w:hAnsi="Times New Roman" w:eastAsia="仿宋_GB2312" w:cs="Times New Roman"/>
          <w:color w:val="000000" w:themeColor="text1"/>
          <w:sz w:val="32"/>
          <w:szCs w:val="32"/>
          <w14:textFill>
            <w14:solidFill>
              <w14:schemeClr w14:val="tx1"/>
            </w14:solidFill>
          </w14:textFill>
        </w:rPr>
        <w:t>2025年，长江干流、洞庭湖区、四水干流及重要支流重点防洪保护区防洪能力明显提高，洞庭湖区等重点低洼易涝地区和粮食主产区排涝能力明显改善，全省县</w:t>
      </w:r>
      <w:r>
        <w:rPr>
          <w:rFonts w:hint="eastAsia" w:ascii="Times New Roman" w:hAnsi="Times New Roman" w:eastAsia="仿宋_GB2312" w:cs="Times New Roman"/>
          <w:color w:val="000000" w:themeColor="text1"/>
          <w:sz w:val="32"/>
          <w:szCs w:val="32"/>
          <w14:textFill>
            <w14:solidFill>
              <w14:schemeClr w14:val="tx1"/>
            </w14:solidFill>
          </w14:textFill>
        </w:rPr>
        <w:t>级</w:t>
      </w:r>
      <w:r>
        <w:rPr>
          <w:rFonts w:ascii="Times New Roman" w:hAnsi="Times New Roman" w:eastAsia="仿宋_GB2312" w:cs="Times New Roman"/>
          <w:color w:val="000000" w:themeColor="text1"/>
          <w:sz w:val="32"/>
          <w:szCs w:val="32"/>
          <w14:textFill>
            <w14:solidFill>
              <w14:schemeClr w14:val="tx1"/>
            </w14:solidFill>
          </w14:textFill>
        </w:rPr>
        <w:t>以上城市排涝能力明显提升。</w:t>
      </w:r>
    </w:p>
    <w:p>
      <w:pPr>
        <w:spacing w:line="596" w:lineRule="exact"/>
        <w:ind w:firstLine="658"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4"/>
          <w:sz w:val="32"/>
          <w:szCs w:val="32"/>
          <w14:textFill>
            <w14:solidFill>
              <w14:schemeClr w14:val="tx1"/>
            </w14:solidFill>
          </w14:textFill>
        </w:rPr>
        <w:t>量质并重保障供水安全。</w:t>
      </w:r>
      <w:r>
        <w:rPr>
          <w:rFonts w:ascii="Times New Roman" w:hAnsi="Times New Roman" w:eastAsia="仿宋_GB2312" w:cs="Times New Roman"/>
          <w:color w:val="000000" w:themeColor="text1"/>
          <w:spacing w:val="4"/>
          <w:sz w:val="32"/>
          <w:szCs w:val="32"/>
          <w14:textFill>
            <w14:solidFill>
              <w14:schemeClr w14:val="tx1"/>
            </w14:solidFill>
          </w14:textFill>
        </w:rPr>
        <w:t>大中小微并举，蓄引提调结合，构建丰枯互补饮水保障体系。完善饮水格局，加快现有水库功能调整，启动实施一批跨流域跨区域调水工程，推进城市第二水源及备用水源建设，提高城乡供水保障能力和应急保障能力。推进城乡供水一体化，加强农村供水规模化、标准化建设，保障农村饮水安全。到2025年，农村自来水普及率达到88%。完善用水格局，以衡邵干旱走廊、洞庭湖北部地区为重点，加快大中型骨干水源点建设和区域水资源配置工程前期论证，新建一批大型灌区，推进现有大中小型灌区续建配套和现代化改造，增强农业抗旱能力。到2025年，全省新增供水能力10亿立方米</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3" w:type="dxa"/>
          </w:tcPr>
          <w:p>
            <w:pPr>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专栏21  “十四五”重大水安全工程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3" w:type="dxa"/>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调蓄工程。</w:t>
            </w:r>
            <w:r>
              <w:rPr>
                <w:rFonts w:ascii="Times New Roman" w:hAnsi="Times New Roman" w:cs="Times New Roman"/>
                <w:color w:val="000000" w:themeColor="text1"/>
                <w:sz w:val="24"/>
                <w:szCs w:val="24"/>
                <w14:textFill>
                  <w14:solidFill>
                    <w14:schemeClr w14:val="tx1"/>
                  </w14:solidFill>
                </w14:textFill>
              </w:rPr>
              <w:t>推进钱粮湖等3个国家级蓄滞洪区安全建设工程、洞庭湖洪道航道疏浚工程，研究论证并适时建设大兴寨水库、金塘冲水库、宜冲桥水库等防洪控制性工程。</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堤防工程。</w:t>
            </w:r>
            <w:r>
              <w:rPr>
                <w:rFonts w:ascii="Times New Roman" w:hAnsi="Times New Roman" w:cs="Times New Roman"/>
                <w:color w:val="000000" w:themeColor="text1"/>
                <w:sz w:val="24"/>
                <w:szCs w:val="24"/>
                <w14:textFill>
                  <w14:solidFill>
                    <w14:schemeClr w14:val="tx1"/>
                  </w14:solidFill>
                </w14:textFill>
              </w:rPr>
              <w:t>继续开展流域面积200平方公里以上</w:t>
            </w:r>
            <w:r>
              <w:rPr>
                <w:rFonts w:hint="eastAsia"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14:textFill>
                  <w14:solidFill>
                    <w14:schemeClr w14:val="tx1"/>
                  </w14:solidFill>
                </w14:textFill>
              </w:rPr>
              <w:t>中小河流治理，启动实施洞庭湖区重点垸、重要一般垸以及长江中下游河势控制和河道整治工程、长江干流湖南段堤防提升工程等建设。</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病险水库除险加固工程。</w:t>
            </w:r>
            <w:r>
              <w:rPr>
                <w:rFonts w:ascii="Times New Roman" w:hAnsi="Times New Roman" w:cs="Times New Roman"/>
                <w:color w:val="000000" w:themeColor="text1"/>
                <w:sz w:val="24"/>
                <w:szCs w:val="24"/>
                <w14:textFill>
                  <w14:solidFill>
                    <w14:schemeClr w14:val="tx1"/>
                  </w14:solidFill>
                </w14:textFill>
              </w:rPr>
              <w:t>实施王家厂等17座大中型病险水库和小型病险水库除险加固。</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水资源配置工程。</w:t>
            </w:r>
            <w:r>
              <w:rPr>
                <w:rFonts w:ascii="Times New Roman" w:hAnsi="Times New Roman" w:cs="Times New Roman"/>
                <w:color w:val="000000" w:themeColor="text1"/>
                <w:sz w:val="24"/>
                <w:szCs w:val="24"/>
                <w14:textFill>
                  <w14:solidFill>
                    <w14:schemeClr w14:val="tx1"/>
                  </w14:solidFill>
                </w14:textFill>
              </w:rPr>
              <w:t>加快犬木塘水库、椒花水库等骨干水源点和引资济涟、湘江沿线水资源配置、四口水系综合整治等跨流域跨区域调水工程建设，研究论证并适时建设何仙观、㵲水、梅山等大型灌区，继续实施韶山等大型灌区续建配套和现代化改造。</w:t>
            </w:r>
          </w:p>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五小水利工程。</w:t>
            </w:r>
            <w:r>
              <w:rPr>
                <w:rFonts w:ascii="Times New Roman" w:hAnsi="Times New Roman" w:cs="Times New Roman"/>
                <w:color w:val="000000" w:themeColor="text1"/>
                <w:sz w:val="24"/>
                <w:szCs w:val="24"/>
                <w14:textFill>
                  <w14:solidFill>
                    <w14:schemeClr w14:val="tx1"/>
                  </w14:solidFill>
                </w14:textFill>
              </w:rPr>
              <w:t>开展小塘坝、小泵站、小渠道、小水池、小水窖等清淤、疏浚及修复。</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6" w:name="_Toc62051593"/>
      <w:r>
        <w:rPr>
          <w:rFonts w:ascii="Times New Roman" w:hAnsi="Times New Roman" w:eastAsia="楷体_GB2312" w:cs="Times New Roman"/>
          <w:b/>
          <w:bCs/>
          <w:color w:val="000000" w:themeColor="text1"/>
          <w:sz w:val="32"/>
          <w:szCs w:val="32"/>
          <w14:textFill>
            <w14:solidFill>
              <w14:schemeClr w14:val="tx1"/>
            </w14:solidFill>
          </w14:textFill>
        </w:rPr>
        <w:t>第四节  优化物流运输网</w:t>
      </w:r>
      <w:bookmarkEnd w:id="86"/>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构建“通道+枢纽+网络+平台”物流网。</w:t>
      </w:r>
      <w:r>
        <w:rPr>
          <w:rFonts w:ascii="Times New Roman" w:hAnsi="Times New Roman" w:eastAsia="仿宋_GB2312" w:cs="Times New Roman"/>
          <w:color w:val="000000" w:themeColor="text1"/>
          <w:sz w:val="32"/>
          <w:szCs w:val="32"/>
          <w14:textFill>
            <w14:solidFill>
              <w14:schemeClr w14:val="tx1"/>
            </w14:solidFill>
          </w14:textFill>
        </w:rPr>
        <w:t>依托“三纵五横”骨干交通网络，构建八大物流通道；以长沙、岳阳、衡阳、郴州、怀化等国家物流枢纽或承载城市为依托，加快融入国家物流枢纽联盟；依托港口、铁路货场、公路枢纽及干线机场，健全和完善物流设施网、冷链物流网、城乡配送网、信息平台网等四张网络；以长沙金霞、郴州湘南等国家、省级示范物流园和若干综合性物流园为基础，打造互联互通的物流平台。</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大力发展多式联运。</w:t>
      </w:r>
      <w:r>
        <w:rPr>
          <w:rFonts w:ascii="Times New Roman" w:hAnsi="Times New Roman" w:eastAsia="仿宋_GB2312" w:cs="Times New Roman"/>
          <w:color w:val="000000" w:themeColor="text1"/>
          <w:sz w:val="32"/>
          <w:szCs w:val="32"/>
          <w14:textFill>
            <w14:solidFill>
              <w14:schemeClr w14:val="tx1"/>
            </w14:solidFill>
          </w14:textFill>
        </w:rPr>
        <w:t>推动铁水、公铁、公水、空陆等联运方式发展，加强不同运输方式转运场站和“不落地”装卸设施建设，提升一体化转运衔接能力和货物快速换装便捷性。推动铁路专用线进园区、进码头，打通公铁水联运衔接“最后一公里”。发挥骨干物流企业作用，推动多式联运服务和设施设备等标准衔接，实现公路、航空、港口、铁路</w:t>
      </w:r>
      <w:r>
        <w:rPr>
          <w:rFonts w:hint="eastAsia" w:ascii="Times New Roman" w:hAnsi="Times New Roman" w:eastAsia="仿宋_GB2312" w:cs="Times New Roman"/>
          <w:color w:val="000000" w:themeColor="text1"/>
          <w:sz w:val="32"/>
          <w:szCs w:val="32"/>
          <w14:textFill>
            <w14:solidFill>
              <w14:schemeClr w14:val="tx1"/>
            </w14:solidFill>
          </w14:textFill>
        </w:rPr>
        <w:t>等</w:t>
      </w:r>
      <w:r>
        <w:rPr>
          <w:rFonts w:ascii="Times New Roman" w:hAnsi="Times New Roman" w:eastAsia="仿宋_GB2312" w:cs="Times New Roman"/>
          <w:color w:val="000000" w:themeColor="text1"/>
          <w:sz w:val="32"/>
          <w:szCs w:val="32"/>
          <w14:textFill>
            <w14:solidFill>
              <w14:schemeClr w14:val="tx1"/>
            </w14:solidFill>
          </w14:textFill>
        </w:rPr>
        <w:t>企业之间的业务单证“一单制”和电子化。</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补齐冷链物流和末端配送短板。</w:t>
      </w:r>
      <w:r>
        <w:rPr>
          <w:rFonts w:ascii="Times New Roman" w:hAnsi="Times New Roman" w:eastAsia="仿宋_GB2312" w:cs="Times New Roman"/>
          <w:bCs/>
          <w:color w:val="000000" w:themeColor="text1"/>
          <w:sz w:val="32"/>
          <w:szCs w:val="32"/>
          <w14:textFill>
            <w14:solidFill>
              <w14:schemeClr w14:val="tx1"/>
            </w14:solidFill>
          </w14:textFill>
        </w:rPr>
        <w:t>构建“</w:t>
      </w:r>
      <w:r>
        <w:rPr>
          <w:rFonts w:ascii="Times New Roman" w:hAnsi="Times New Roman" w:eastAsia="仿宋_GB2312" w:cs="Times New Roman"/>
          <w:color w:val="000000" w:themeColor="text1"/>
          <w:sz w:val="32"/>
          <w:szCs w:val="32"/>
          <w14:textFill>
            <w14:solidFill>
              <w14:schemeClr w14:val="tx1"/>
            </w14:solidFill>
          </w14:textFill>
        </w:rPr>
        <w:t>一核三区多基地”冷链物流格局，建设省级冷链物流平台，以肉禽水产、中药材、果蔬等为重点，突出洞庭湖河鲜水产运输、省际边界山区“山货出山”和肉类冷链需求，构建以长株潭为核心，洞庭湖、湘南、大湘西为片区，骨干冷链基地、农产品特色冷链基地和区域性冷链物流中心组成的冷链物流格局。畅通城乡物流循环，促进农村客运和物流业融合发展，完善县乡村三级物流配送体系，提升快递配送网点覆盖率，实施城乡高效配送专项行动和“邮政在乡”“快递下乡”等工程，构建城乡双向畅通的物流配送网络。</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提升物流服务质量。</w:t>
      </w:r>
      <w:r>
        <w:rPr>
          <w:rFonts w:ascii="Times New Roman" w:hAnsi="Times New Roman" w:eastAsia="仿宋_GB2312" w:cs="Times New Roman"/>
          <w:color w:val="000000" w:themeColor="text1"/>
          <w:sz w:val="32"/>
          <w:szCs w:val="32"/>
          <w14:textFill>
            <w14:solidFill>
              <w14:schemeClr w14:val="tx1"/>
            </w14:solidFill>
          </w14:textFill>
        </w:rPr>
        <w:t>丰富物流业态，推进物流智能装备产业化，创新发展共享物流、无人配送、高铁物流等新型物流模式，促进现代供应链、大件运输等专业化物流发展。加强信息化管理，加快数字化终端设备普及应用</w:t>
      </w:r>
      <w:r>
        <w:rPr>
          <w:rFonts w:ascii="Times New Roman" w:hAnsi="Times New Roman" w:eastAsia="仿宋_GB2312" w:cs="Times New Roman"/>
          <w:color w:val="000000" w:themeColor="text1"/>
          <w:spacing w:val="-2"/>
          <w:sz w:val="32"/>
          <w:szCs w:val="32"/>
          <w14:textFill>
            <w14:solidFill>
              <w14:schemeClr w14:val="tx1"/>
            </w14:solidFill>
          </w14:textFill>
        </w:rPr>
        <w:t>，推进物流信息资源交互共享，促进大数据在市场监测、优化配送线路、仓储储位等方面应用。提高标准化水平，加快完善物流标准体系，引导物流企业进行设备设施标准化改造，降低物流成本。到2025年，全省物流总费用占地区生产总值的比率降低2个百分点左右</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99" w:type="dxa"/>
            <w:vAlign w:val="center"/>
          </w:tcPr>
          <w:p>
            <w:pPr>
              <w:spacing w:line="380" w:lineRule="exact"/>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专栏22  “十四五”重大物流工程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tcPr>
          <w:p>
            <w:pPr>
              <w:spacing w:line="320" w:lineRule="exact"/>
              <w:ind w:firstLine="481"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物流网络布局工程。</w:t>
            </w:r>
            <w:r>
              <w:rPr>
                <w:rFonts w:ascii="Times New Roman" w:hAnsi="Times New Roman" w:cs="Times New Roman"/>
                <w:color w:val="000000" w:themeColor="text1"/>
                <w:kern w:val="0"/>
                <w:sz w:val="24"/>
                <w:szCs w:val="24"/>
                <w14:textFill>
                  <w14:solidFill>
                    <w14:schemeClr w14:val="tx1"/>
                  </w14:solidFill>
                </w14:textFill>
              </w:rPr>
              <w:t>八通道：京港澳、洛湛、焦柳、沪昆、渝长厦、杭瑞、湘桂、夏蓉物流大通道；八枢纽：以长沙、岳阳、衡阳、郴州、怀化为依托，加快建设国家物流枢纽，推动长株潭合建国家物流枢纽，争取常德、娄底、永州纳入国家物流枢纽承载城市名单。四网络：物流设施网、冷链物流网、城乡配送网、信息平台网。多平台：长沙金霞、郴州湘南等国家物流园，30家省级示范物流园和若干综合、专业物流园区。</w:t>
            </w:r>
          </w:p>
          <w:p>
            <w:pPr>
              <w:spacing w:line="320" w:lineRule="exact"/>
              <w:ind w:firstLine="481"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制造业与物流业联动工程。</w:t>
            </w:r>
            <w:r>
              <w:rPr>
                <w:rFonts w:ascii="Times New Roman" w:hAnsi="Times New Roman" w:cs="Times New Roman"/>
                <w:color w:val="000000" w:themeColor="text1"/>
                <w:kern w:val="0"/>
                <w:sz w:val="24"/>
                <w:szCs w:val="24"/>
                <w14:textFill>
                  <w14:solidFill>
                    <w14:schemeClr w14:val="tx1"/>
                  </w14:solidFill>
                </w14:textFill>
              </w:rPr>
              <w:t>围绕工程机械、先进轨道交通装备、航空航天装备、高档数控机床和工业机器人等高端制造业，推进专业化物流创新发展，推动制造业与物流业深度融合。打造若干高端制造业供应链一体化服务示范性项目，培育一批“两业”联动示范性物流企业。</w:t>
            </w:r>
          </w:p>
          <w:p>
            <w:pPr>
              <w:spacing w:line="320" w:lineRule="exact"/>
              <w:ind w:firstLine="481" w:firstLineChars="200"/>
              <w:jc w:val="left"/>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快递（农村物流）优化工程。</w:t>
            </w:r>
            <w:r>
              <w:rPr>
                <w:rFonts w:ascii="Times New Roman" w:hAnsi="Times New Roman" w:cs="Times New Roman"/>
                <w:color w:val="000000" w:themeColor="text1"/>
                <w:kern w:val="0"/>
                <w:sz w:val="24"/>
                <w:szCs w:val="24"/>
                <w14:textFill>
                  <w14:solidFill>
                    <w14:schemeClr w14:val="tx1"/>
                  </w14:solidFill>
                </w14:textFill>
              </w:rPr>
              <w:t>整合交通、邮政、电商、快递、供销等资源，进一步完善城乡物流配送网络，降低物流成本。推进农村快递网络建设，打造农村三级物流配送升级版，有效促进工业品下乡、农产品进城，力争到“十四五”末，全省农村三级物流配送</w:t>
            </w:r>
            <w:r>
              <w:rPr>
                <w:rFonts w:hint="eastAsia" w:ascii="Times New Roman" w:hAnsi="Times New Roman" w:cs="Times New Roman"/>
                <w:color w:val="000000" w:themeColor="text1"/>
                <w:kern w:val="0"/>
                <w:sz w:val="24"/>
                <w:szCs w:val="24"/>
                <w14:textFill>
                  <w14:solidFill>
                    <w14:schemeClr w14:val="tx1"/>
                  </w14:solidFill>
                </w14:textFill>
              </w:rPr>
              <w:t>网络</w:t>
            </w:r>
            <w:r>
              <w:rPr>
                <w:rFonts w:ascii="Times New Roman" w:hAnsi="Times New Roman" w:cs="Times New Roman"/>
                <w:color w:val="000000" w:themeColor="text1"/>
                <w:kern w:val="0"/>
                <w:sz w:val="24"/>
                <w:szCs w:val="24"/>
                <w14:textFill>
                  <w14:solidFill>
                    <w14:schemeClr w14:val="tx1"/>
                  </w14:solidFill>
                </w14:textFill>
              </w:rPr>
              <w:t>基本实现全覆盖。依托重要交通枢纽城市及大型物流园区，配套建设先进电商快递设施，促进电商快递物流降本增效。</w:t>
            </w:r>
          </w:p>
          <w:p>
            <w:pPr>
              <w:spacing w:line="320" w:lineRule="exact"/>
              <w:ind w:firstLine="481"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冷链物流提升工程。</w:t>
            </w:r>
            <w:r>
              <w:rPr>
                <w:rFonts w:ascii="Times New Roman" w:hAnsi="Times New Roman" w:cs="Times New Roman"/>
                <w:color w:val="000000" w:themeColor="text1"/>
                <w:kern w:val="0"/>
                <w:sz w:val="24"/>
                <w:szCs w:val="24"/>
                <w14:textFill>
                  <w14:solidFill>
                    <w14:schemeClr w14:val="tx1"/>
                  </w14:solidFill>
                </w14:textFill>
              </w:rPr>
              <w:t>加快怀化国家骨干冷链物流基地建设，着力打造五省边区冷链物流区域中心。以冷链物流龙头企业等为载体，建设长株潭冷链物流核心区。以湘南地区、环洞庭湖区、武陵山片区特色农产品、水产品等为基础，建设区域性冷链物流中心。以特色农产品原产地为依托，布局建设冷链物流特色基地。</w:t>
            </w:r>
          </w:p>
          <w:p>
            <w:pPr>
              <w:spacing w:line="320" w:lineRule="exact"/>
              <w:ind w:firstLine="481"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物流智慧化工程。</w:t>
            </w:r>
            <w:r>
              <w:rPr>
                <w:rFonts w:ascii="Times New Roman" w:hAnsi="Times New Roman" w:cs="Times New Roman"/>
                <w:color w:val="000000" w:themeColor="text1"/>
                <w:kern w:val="0"/>
                <w:sz w:val="24"/>
                <w:szCs w:val="24"/>
                <w14:textFill>
                  <w14:solidFill>
                    <w14:schemeClr w14:val="tx1"/>
                  </w14:solidFill>
                </w14:textFill>
              </w:rPr>
              <w:t>建设长沙现代物流技术装备产业园，培育和引进优势物流技术装备企业，支持发展一批智能物流装备制造企业，打造智能物流技术装备产业集聚区。完善物流标准体系，推进物流龙头企业参与物流技术标准和管理标准的制定，引导邮政、供销社、快递企业和商贸流通龙头企业率先开展物流标准化试点应用。建设物流大数据中心和物流与供应链总部基地，提升物流行业信息化水平。</w:t>
            </w:r>
          </w:p>
          <w:p>
            <w:pPr>
              <w:spacing w:line="320" w:lineRule="exact"/>
              <w:ind w:firstLine="481" w:firstLineChars="200"/>
              <w:jc w:val="left"/>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国际物流畅通工程。</w:t>
            </w:r>
            <w:r>
              <w:rPr>
                <w:rFonts w:ascii="Times New Roman" w:hAnsi="Times New Roman" w:cs="Times New Roman"/>
                <w:color w:val="000000" w:themeColor="text1"/>
                <w:kern w:val="0"/>
                <w:sz w:val="24"/>
                <w:szCs w:val="24"/>
                <w14:textFill>
                  <w14:solidFill>
                    <w14:schemeClr w14:val="tx1"/>
                  </w14:solidFill>
                </w14:textFill>
              </w:rPr>
              <w:t>实施岳阳市城陵矶新港、长沙传化智联、怀化武陵山片区四省联动等国家多式联运示范工程。完善长沙至非洲的货运航线网络，打造中欧班列南方区域核心枢纽，畅通对接北部湾和东盟的西部陆海新通道。打造中部地区对非国际物流集散分拨中心。支持岳阳发展江海联运，开通岳阳至香港、日韩、东盟国家（地区）的直航和接力航线。</w:t>
            </w:r>
          </w:p>
          <w:p>
            <w:pPr>
              <w:spacing w:line="320" w:lineRule="exact"/>
              <w:ind w:firstLine="481"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空港物流提质工程。</w:t>
            </w:r>
            <w:r>
              <w:rPr>
                <w:rFonts w:ascii="Times New Roman" w:hAnsi="Times New Roman" w:cs="Times New Roman"/>
                <w:color w:val="000000" w:themeColor="text1"/>
                <w:kern w:val="0"/>
                <w:sz w:val="24"/>
                <w:szCs w:val="24"/>
                <w14:textFill>
                  <w14:solidFill>
                    <w14:schemeClr w14:val="tx1"/>
                  </w14:solidFill>
                </w14:textFill>
              </w:rPr>
              <w:t>以长沙、张家界、衡阳、岳阳、常德等航空口岸为依托，发挥支线机场支撑作用和通用机场补充作用，进一步拓展货运航线网络，扩大全货机服务覆盖范围。支持建设长沙空港型国家物流枢纽，着力提升长沙黄花机场在国家航空规划战略中的地位。</w:t>
            </w:r>
          </w:p>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应急物流体系建设工程。</w:t>
            </w:r>
            <w:r>
              <w:rPr>
                <w:rFonts w:ascii="Times New Roman" w:hAnsi="Times New Roman" w:cs="Times New Roman"/>
                <w:color w:val="000000" w:themeColor="text1"/>
                <w:kern w:val="0"/>
                <w:sz w:val="24"/>
                <w:szCs w:val="24"/>
                <w14:textFill>
                  <w14:solidFill>
                    <w14:schemeClr w14:val="tx1"/>
                  </w14:solidFill>
                </w14:textFill>
              </w:rPr>
              <w:t>依托国家物流枢纽承载城市、重点物流园区，通过强化专用仓储、隔离区、快速中转换装等功能，打造一批平时服务、急时应急的应急物流基地。加强应急物流能力储备，研究建立应急物流保障重点物流企业名单制度。</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7" w:name="_Toc62051594"/>
      <w:r>
        <w:rPr>
          <w:rFonts w:ascii="Times New Roman" w:hAnsi="Times New Roman" w:eastAsia="楷体_GB2312" w:cs="Times New Roman"/>
          <w:b/>
          <w:bCs/>
          <w:color w:val="000000" w:themeColor="text1"/>
          <w:sz w:val="32"/>
          <w:szCs w:val="32"/>
          <w14:textFill>
            <w14:solidFill>
              <w14:schemeClr w14:val="tx1"/>
            </w14:solidFill>
          </w14:textFill>
        </w:rPr>
        <w:t>第五节  推进新型基础设施建设</w:t>
      </w:r>
      <w:bookmarkEnd w:id="87"/>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加快新一代信息基础设施建设。</w:t>
      </w:r>
      <w:r>
        <w:rPr>
          <w:rFonts w:ascii="Times New Roman" w:hAnsi="Times New Roman" w:eastAsia="仿宋_GB2312" w:cs="Times New Roman"/>
          <w:color w:val="000000" w:themeColor="text1"/>
          <w:spacing w:val="-2"/>
          <w:sz w:val="32"/>
          <w:szCs w:val="32"/>
          <w14:textFill>
            <w14:solidFill>
              <w14:schemeClr w14:val="tx1"/>
            </w14:solidFill>
          </w14:textFill>
        </w:rPr>
        <w:t>高水平建设5G和固网“双千兆”宽带网络，扩大5G建站规模，实现全省各市州城区5G连续覆盖，重点城区、产业园区、部分工矿区深度覆盖，用户体验和垂直应用场景形成规模效应。</w:t>
      </w:r>
      <w:r>
        <w:rPr>
          <w:rFonts w:ascii="Times New Roman" w:hAnsi="Times New Roman" w:eastAsia="仿宋_GB2312" w:cs="Times New Roman"/>
          <w:color w:val="000000" w:themeColor="text1"/>
          <w:sz w:val="32"/>
          <w:szCs w:val="32"/>
          <w14:textFill>
            <w14:solidFill>
              <w14:schemeClr w14:val="tx1"/>
            </w14:solidFill>
          </w14:textFill>
        </w:rPr>
        <w:t>深入实施IPv6规模化部署，建设域名根镜像服务器、国家顶级域名解析节点。统筹全省卫星导航定位基站建设与应用，提升卫星导航定位服务能力，推动北斗二号向北斗三号稳步过渡，强化北斗地基增强系统建设，创建航空航天遥感应用示范省。加快部署千万级智慧感知网络，推进各地“城市超级大脑”对接互联，建成全域智慧感知网络综合服务平台。打造一流人工智能算力设施，提升算力使用效率和算法原始创新能力，升级国家超级计算长沙中心。</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完善一体化融合基础设施建设。</w:t>
      </w:r>
      <w:r>
        <w:rPr>
          <w:rFonts w:ascii="Times New Roman" w:hAnsi="Times New Roman" w:eastAsia="仿宋_GB2312" w:cs="Times New Roman"/>
          <w:color w:val="000000" w:themeColor="text1"/>
          <w:sz w:val="32"/>
          <w:szCs w:val="32"/>
          <w14:textFill>
            <w14:solidFill>
              <w14:schemeClr w14:val="tx1"/>
            </w14:solidFill>
          </w14:textFill>
        </w:rPr>
        <w:t>持续提升各级“互联网+政务服务”一体化平台功能水平和互联互通能力，推进一体化平台AI中台升级改造，实现审批、服务、监管等政务服务场景的智能化应用。建设完善覆盖全省四级医疗机构的大数据资源中心，改造完善省市两级全民健康信息平台，推动5G</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AR/VR技术在教育领域应用，加快互联网医院和智慧教育标杆学校建设。建设工业互联网基础设施，统筹推进工业互联网内网和工业企业外网建设，鼓励龙头企业搭建工业互联网平台，推进无人工厂、无人生产线、无人车间的建设。</w:t>
      </w:r>
      <w:r>
        <w:rPr>
          <w:rFonts w:hint="eastAsia" w:ascii="Times New Roman" w:hAnsi="Times New Roman" w:eastAsia="仿宋_GB2312" w:cs="Times New Roman"/>
          <w:color w:val="000000" w:themeColor="text1"/>
          <w:sz w:val="32"/>
          <w:szCs w:val="32"/>
          <w14:textFill>
            <w14:solidFill>
              <w14:schemeClr w14:val="tx1"/>
            </w14:solidFill>
          </w14:textFill>
        </w:rPr>
        <w:t>加快</w:t>
      </w:r>
      <w:r>
        <w:rPr>
          <w:rFonts w:ascii="Times New Roman" w:hAnsi="Times New Roman" w:eastAsia="仿宋_GB2312" w:cs="Times New Roman"/>
          <w:color w:val="000000" w:themeColor="text1"/>
          <w:sz w:val="32"/>
          <w:szCs w:val="32"/>
          <w14:textFill>
            <w14:solidFill>
              <w14:schemeClr w14:val="tx1"/>
            </w14:solidFill>
          </w14:textFill>
        </w:rPr>
        <w:t>完善数字货币、电子认证等数字应用基础设施。对交通、水利、能源、市政等传统基础设施进行智慧化改造。</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推动集群化创新基础设施建设。</w:t>
      </w:r>
      <w:r>
        <w:rPr>
          <w:rFonts w:ascii="Times New Roman" w:hAnsi="Times New Roman" w:eastAsia="仿宋_GB2312" w:cs="Times New Roman"/>
          <w:color w:val="000000" w:themeColor="text1"/>
          <w:sz w:val="32"/>
          <w:szCs w:val="32"/>
          <w14:textFill>
            <w14:solidFill>
              <w14:schemeClr w14:val="tx1"/>
            </w14:solidFill>
          </w14:textFill>
        </w:rPr>
        <w:t>依托岳麓山大学科技城高校院所，布局大型科学装置和国家实验室，建设世界顶级国际科学城。以马栏山视频文创产业园为依托，建设4K+AI实验室，打造具有全国标杆意义的视频文创高地。依托E级原型机系统，研制天河新一代高性能计算机系统，加强量子计算实验室建设，谋划建设同步辐射光源、P3实验室，打造一流科学基础设施群。构建工程化基地、中间试验线、检测评价中心、数据共用库等基础设施，推动创建长沙新一代人工智能创新发展试验区，打造源头创新设施集群。构建具有自主技术的区块链网络，加快区块链安全监测与风险监测体系建设，为全省区块链企业发展提供服务。</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tcPr>
          <w:p>
            <w:pPr>
              <w:ind w:firstLine="280"/>
              <w:jc w:val="center"/>
              <w:rPr>
                <w:rFonts w:ascii="Times New Roman" w:hAnsi="Times New Roman" w:eastAsia="Times New Roman"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专栏23   “十四五”新型基础设施建设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tcPr>
          <w:p>
            <w:pPr>
              <w:widowControl/>
              <w:spacing w:line="320" w:lineRule="exact"/>
              <w:ind w:firstLine="480"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Times New Roman" w:cs="Times New Roman"/>
                <w:b/>
                <w:bCs/>
                <w:color w:val="000000" w:themeColor="text1"/>
                <w:kern w:val="0"/>
                <w:sz w:val="24"/>
                <w:szCs w:val="24"/>
                <w14:textFill>
                  <w14:solidFill>
                    <w14:schemeClr w14:val="tx1"/>
                  </w14:solidFill>
                </w14:textFill>
              </w:rPr>
              <w:t>5G</w:t>
            </w:r>
            <w:r>
              <w:rPr>
                <w:rFonts w:ascii="Times New Roman" w:hAnsi="Times New Roman" w:eastAsia="宋体" w:cs="Times New Roman"/>
                <w:b/>
                <w:bCs/>
                <w:color w:val="000000" w:themeColor="text1"/>
                <w:kern w:val="0"/>
                <w:sz w:val="24"/>
                <w:szCs w:val="24"/>
                <w14:textFill>
                  <w14:solidFill>
                    <w14:schemeClr w14:val="tx1"/>
                  </w14:solidFill>
                </w14:textFill>
              </w:rPr>
              <w:t>应用创新工程。</w:t>
            </w:r>
            <w:r>
              <w:rPr>
                <w:rFonts w:ascii="Times New Roman" w:hAnsi="Times New Roman" w:eastAsia="宋体" w:cs="Times New Roman"/>
                <w:color w:val="000000" w:themeColor="text1"/>
                <w:kern w:val="0"/>
                <w:sz w:val="24"/>
                <w:szCs w:val="24"/>
                <w14:textFill>
                  <w14:solidFill>
                    <w14:schemeClr w14:val="tx1"/>
                  </w14:solidFill>
                </w14:textFill>
              </w:rPr>
              <w:t>实施</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传输扩容工程，完成</w:t>
            </w:r>
            <w:r>
              <w:rPr>
                <w:rFonts w:ascii="Times New Roman" w:hAnsi="Times New Roman" w:eastAsia="Times New Roman" w:cs="Times New Roman"/>
                <w:color w:val="000000" w:themeColor="text1"/>
                <w:kern w:val="0"/>
                <w:sz w:val="24"/>
                <w:szCs w:val="24"/>
                <w14:textFill>
                  <w14:solidFill>
                    <w14:schemeClr w14:val="tx1"/>
                  </w14:solidFill>
                </w14:textFill>
              </w:rPr>
              <w:t>15</w:t>
            </w:r>
            <w:r>
              <w:rPr>
                <w:rFonts w:ascii="Times New Roman" w:hAnsi="Times New Roman" w:eastAsia="宋体" w:cs="Times New Roman"/>
                <w:color w:val="000000" w:themeColor="text1"/>
                <w:kern w:val="0"/>
                <w:sz w:val="24"/>
                <w:szCs w:val="24"/>
                <w14:textFill>
                  <w14:solidFill>
                    <w14:schemeClr w14:val="tx1"/>
                  </w14:solidFill>
                </w14:textFill>
              </w:rPr>
              <w:t>万个</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基站建设、</w:t>
            </w:r>
            <w:r>
              <w:rPr>
                <w:rFonts w:ascii="Times New Roman" w:hAnsi="Times New Roman" w:eastAsia="Times New Roman" w:cs="Times New Roman"/>
                <w:color w:val="000000" w:themeColor="text1"/>
                <w:kern w:val="0"/>
                <w:sz w:val="24"/>
                <w:szCs w:val="24"/>
                <w14:textFill>
                  <w14:solidFill>
                    <w14:schemeClr w14:val="tx1"/>
                  </w14:solidFill>
                </w14:textFill>
              </w:rPr>
              <w:t>6</w:t>
            </w:r>
            <w:r>
              <w:rPr>
                <w:rFonts w:ascii="Times New Roman" w:hAnsi="Times New Roman" w:eastAsia="宋体" w:cs="Times New Roman"/>
                <w:color w:val="000000" w:themeColor="text1"/>
                <w:kern w:val="0"/>
                <w:sz w:val="24"/>
                <w:szCs w:val="24"/>
                <w14:textFill>
                  <w14:solidFill>
                    <w14:schemeClr w14:val="tx1"/>
                  </w14:solidFill>
                </w14:textFill>
              </w:rPr>
              <w:t>万个</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站址改造和新建工程。以马栏山视频文创产业园、湘江新区等5G试验网为标杆，推动5G高新视频多场景应用重点实验室和5G智慧电台建设，打造示范应用场景，推动娄底万宝新区互联网</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应用创新及区块链应用示范。建设</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融合应用技术创新中心和成果转化基地（中心）。</w:t>
            </w:r>
          </w:p>
          <w:p>
            <w:pPr>
              <w:widowControl/>
              <w:spacing w:line="320" w:lineRule="exact"/>
              <w:ind w:firstLine="481" w:firstLineChars="200"/>
              <w:jc w:val="left"/>
              <w:rPr>
                <w:rFonts w:ascii="Times New Roman" w:hAnsi="Times New Roman" w:eastAsia="宋体" w:cs="Times New Roman"/>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网络基础升级工程。</w:t>
            </w:r>
            <w:r>
              <w:rPr>
                <w:rFonts w:ascii="Times New Roman" w:hAnsi="Times New Roman" w:eastAsia="宋体" w:cs="Times New Roman"/>
                <w:bCs/>
                <w:color w:val="000000" w:themeColor="text1"/>
                <w:kern w:val="0"/>
                <w:sz w:val="24"/>
                <w:szCs w:val="24"/>
                <w14:textFill>
                  <w14:solidFill>
                    <w14:schemeClr w14:val="tx1"/>
                  </w14:solidFill>
                </w14:textFill>
              </w:rPr>
              <w:t>积极推进千兆固网改造和接入网络建设，实现用户体验过百兆、家庭接入过千兆、企业商用达万兆的网络能力。打造低时延、高可靠、广覆盖的新一代通信网络。统筹优化全省大数据中心、人工智能算力设施等支撑平台布局，探索跨区域共建共享机制和模式，形成布局合理、连接畅通的一体化服务能力。加快推进大型绿色数据中心建设，发展应用承载、数据存储交易、容灾备份等数据服务。</w:t>
            </w:r>
          </w:p>
          <w:p>
            <w:pPr>
              <w:widowControl/>
              <w:spacing w:line="320" w:lineRule="exact"/>
              <w:ind w:firstLine="481"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网络安全保障工程。</w:t>
            </w:r>
            <w:r>
              <w:rPr>
                <w:rFonts w:ascii="Times New Roman" w:hAnsi="Times New Roman" w:eastAsia="宋体" w:cs="Times New Roman"/>
                <w:color w:val="000000" w:themeColor="text1"/>
                <w:kern w:val="0"/>
                <w:sz w:val="24"/>
                <w:szCs w:val="24"/>
                <w14:textFill>
                  <w14:solidFill>
                    <w14:schemeClr w14:val="tx1"/>
                  </w14:solidFill>
                </w14:textFill>
              </w:rPr>
              <w:t>提升省、市两级党政机关以及金融、能源、通信、水利、交通、物流等行业网络安全态势感知和应急处置能力。创新技术产品研发，推动技术应用创新，支持云计算、大数据、人工智能、区块链、量子计算、商用密码等技术在网络安全领域的应用。持续推进信息化创新产品服务和国产密码在信息系统中的应用。加快国家网络安全产业园区（长沙）建设，推进网络安全测试验证、产品检测、实训演练等公共平台建设。加快网络安全学科建设和人才培养，建设网络安全重点实验室。</w:t>
            </w:r>
          </w:p>
          <w:p>
            <w:pPr>
              <w:widowControl/>
              <w:spacing w:line="320" w:lineRule="exact"/>
              <w:ind w:firstLine="481"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物联网产业强基工程。</w:t>
            </w:r>
            <w:r>
              <w:rPr>
                <w:rFonts w:ascii="Times New Roman" w:hAnsi="Times New Roman" w:eastAsia="宋体" w:cs="Times New Roman"/>
                <w:color w:val="000000" w:themeColor="text1"/>
                <w:kern w:val="0"/>
                <w:sz w:val="24"/>
                <w:szCs w:val="24"/>
                <w14:textFill>
                  <w14:solidFill>
                    <w14:schemeClr w14:val="tx1"/>
                  </w14:solidFill>
                </w14:textFill>
              </w:rPr>
              <w:t>培育基于传感器技术、</w:t>
            </w:r>
            <w:r>
              <w:rPr>
                <w:rFonts w:ascii="Times New Roman" w:hAnsi="Times New Roman" w:eastAsia="Times New Roman" w:cs="Times New Roman"/>
                <w:color w:val="000000" w:themeColor="text1"/>
                <w:kern w:val="0"/>
                <w:sz w:val="24"/>
                <w:szCs w:val="24"/>
                <w14:textFill>
                  <w14:solidFill>
                    <w14:schemeClr w14:val="tx1"/>
                  </w14:solidFill>
                </w14:textFill>
              </w:rPr>
              <w:t>NB-IoT/5G</w:t>
            </w:r>
            <w:r>
              <w:rPr>
                <w:rFonts w:ascii="Times New Roman" w:hAnsi="Times New Roman" w:eastAsia="宋体" w:cs="Times New Roman"/>
                <w:color w:val="000000" w:themeColor="text1"/>
                <w:kern w:val="0"/>
                <w:sz w:val="24"/>
                <w:szCs w:val="24"/>
                <w14:textFill>
                  <w14:solidFill>
                    <w14:schemeClr w14:val="tx1"/>
                  </w14:solidFill>
                </w14:textFill>
              </w:rPr>
              <w:t>通信模组、边缘计算技术等能源物联网。面向交通、医疗、能源等重点领域推广物联网技术应用。发展导航及定位系统、车载物联网终端等。推进诊断装备、治疗装备的医疗物联网。全省范围内建成</w:t>
            </w:r>
            <w:r>
              <w:rPr>
                <w:rFonts w:ascii="Times New Roman" w:hAnsi="Times New Roman" w:eastAsia="Times New Roman" w:cs="Times New Roman"/>
                <w:color w:val="000000" w:themeColor="text1"/>
                <w:kern w:val="0"/>
                <w:sz w:val="24"/>
                <w:szCs w:val="24"/>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Times New Roman" w:cs="Times New Roman"/>
                <w:color w:val="000000" w:themeColor="text1"/>
                <w:kern w:val="0"/>
                <w:sz w:val="24"/>
                <w:szCs w:val="24"/>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个国内先进的物联网应用示范区。到</w:t>
            </w:r>
            <w:r>
              <w:rPr>
                <w:rFonts w:ascii="Times New Roman" w:hAnsi="Times New Roman" w:eastAsia="Times New Roman" w:cs="Times New Roman"/>
                <w:color w:val="000000" w:themeColor="text1"/>
                <w:kern w:val="0"/>
                <w:sz w:val="24"/>
                <w:szCs w:val="24"/>
                <w14:textFill>
                  <w14:solidFill>
                    <w14:schemeClr w14:val="tx1"/>
                  </w14:solidFill>
                </w14:textFill>
              </w:rPr>
              <w:t>2025</w:t>
            </w:r>
            <w:r>
              <w:rPr>
                <w:rFonts w:ascii="Times New Roman" w:hAnsi="Times New Roman" w:eastAsia="宋体" w:cs="Times New Roman"/>
                <w:color w:val="000000" w:themeColor="text1"/>
                <w:kern w:val="0"/>
                <w:sz w:val="24"/>
                <w:szCs w:val="24"/>
                <w14:textFill>
                  <w14:solidFill>
                    <w14:schemeClr w14:val="tx1"/>
                  </w14:solidFill>
                </w14:textFill>
              </w:rPr>
              <w:t>年，物联网基础设施在全省范围内形成有效覆盖。</w:t>
            </w:r>
          </w:p>
          <w:p>
            <w:pPr>
              <w:widowControl/>
              <w:spacing w:line="320" w:lineRule="exact"/>
              <w:ind w:firstLine="481"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工业互联网融合创新工程。</w:t>
            </w:r>
            <w:r>
              <w:rPr>
                <w:rFonts w:ascii="Times New Roman" w:hAnsi="Times New Roman" w:eastAsia="宋体" w:cs="Times New Roman"/>
                <w:color w:val="000000" w:themeColor="text1"/>
                <w:kern w:val="0"/>
                <w:sz w:val="24"/>
                <w:szCs w:val="24"/>
                <w14:textFill>
                  <w14:solidFill>
                    <w14:schemeClr w14:val="tx1"/>
                  </w14:solidFill>
                </w14:textFill>
              </w:rPr>
              <w:t>改造升级工业互联网内外网络，打造若干工业互联网内网改造升级标杆企业、外网优秀服务案例，推动企业开展工业互联网改造升级。建设湖南省工业互联网分中心，提升数据资源管理能力。开展工业互联网试点。深入实施</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工业互联网</w:t>
            </w:r>
            <w:r>
              <w:rPr>
                <w:rFonts w:ascii="Times New Roman" w:hAnsi="Times New Roman" w:eastAsia="Times New Roman"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工程。</w:t>
            </w:r>
          </w:p>
          <w:p>
            <w:pPr>
              <w:widowControl/>
              <w:spacing w:line="320" w:lineRule="exact"/>
              <w:ind w:firstLine="481" w:firstLineChars="200"/>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新型智慧</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交通网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能源网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水利网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建设工程。</w:t>
            </w:r>
            <w:r>
              <w:rPr>
                <w:rFonts w:ascii="Times New Roman" w:hAnsi="Times New Roman" w:eastAsia="宋体" w:cs="Times New Roman"/>
                <w:color w:val="000000" w:themeColor="text1"/>
                <w:kern w:val="0"/>
                <w:sz w:val="24"/>
                <w:szCs w:val="24"/>
                <w14:textFill>
                  <w14:solidFill>
                    <w14:schemeClr w14:val="tx1"/>
                  </w14:solidFill>
                </w14:textFill>
              </w:rPr>
              <w:t>构建全省综合交通运输调度和应急指挥系统，实现全省</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城市超级大脑</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互联互通、信息资源高度集成和综合挖掘利用，推动交通运输管理服务智能化。加快建设支持高级别自动驾驶运行的高可靠、低延时专用网络，打造全国领先的智能网联云平台。推进“发输变配用”全链条5G融合应用，推动充电基础设施布局，新建住宅小区充电车位占比不低于10%，加快公共停车场充电设施改造。加快水文、水资源、河湖管理等各类水利监测站点智慧化改造，利用大数据、云计算、物联网、遥感等技术，构建覆盖全省“立体、联动、可见”的水利安全态势感知网络平台。</w:t>
            </w:r>
          </w:p>
        </w:tc>
      </w:tr>
    </w:tbl>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88" w:name="_Toc62051595"/>
      <w:r>
        <w:rPr>
          <w:rFonts w:ascii="Times New Roman" w:hAnsi="Times New Roman" w:eastAsia="方正小标宋_GBK" w:cs="Times New Roman"/>
          <w:color w:val="000000" w:themeColor="text1"/>
          <w:sz w:val="32"/>
          <w:szCs w:val="32"/>
          <w14:textFill>
            <w14:solidFill>
              <w14:schemeClr w14:val="tx1"/>
            </w14:solidFill>
          </w14:textFill>
        </w:rPr>
        <w:t>第五篇  着力建设乡村振兴的现代化新湖南</w:t>
      </w:r>
      <w:bookmarkEnd w:id="88"/>
    </w:p>
    <w:p>
      <w:pPr>
        <w:spacing w:line="596" w:lineRule="exact"/>
        <w:ind w:firstLine="640"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坚持农业农村优先发展，强化以工补农</w:t>
      </w:r>
      <w:r>
        <w:rPr>
          <w:rFonts w:ascii="Times New Roman" w:hAnsi="Times New Roman" w:eastAsia="仿宋" w:cs="Times New Roman"/>
          <w:color w:val="000000" w:themeColor="text1"/>
          <w:sz w:val="32"/>
          <w:szCs w:val="32"/>
          <w14:textFill>
            <w14:solidFill>
              <w14:schemeClr w14:val="tx1"/>
            </w14:solidFill>
          </w14:textFill>
        </w:rPr>
        <w:t>、以城带乡</w:t>
      </w:r>
      <w:r>
        <w:rPr>
          <w:rFonts w:ascii="Times New Roman" w:hAnsi="Times New Roman" w:eastAsia="仿宋_GB2312" w:cs="Times New Roman"/>
          <w:color w:val="000000" w:themeColor="text1"/>
          <w:kern w:val="0"/>
          <w:sz w:val="32"/>
          <w:szCs w:val="32"/>
          <w14:textFill>
            <w14:solidFill>
              <w14:schemeClr w14:val="tx1"/>
            </w14:solidFill>
          </w14:textFill>
        </w:rPr>
        <w:t>，构建工农互促、城乡互补、协调发展、共同繁荣的新型工农城乡关系，加快乡村产业振兴、人才振兴、文化振兴、生态振兴、组织振兴，促进农业高质高效、乡村宜居宜业、农民富裕富足，推进农业农村现代化。</w:t>
      </w:r>
    </w:p>
    <w:p>
      <w:pPr>
        <w:keepNext/>
        <w:keepLines/>
        <w:autoSpaceDE w:val="0"/>
        <w:autoSpaceDN w:val="0"/>
        <w:spacing w:before="447" w:beforeLines="100" w:after="447" w:afterLines="100" w:line="596" w:lineRule="exact"/>
        <w:jc w:val="center"/>
        <w:outlineLvl w:val="1"/>
        <w:rPr>
          <w:rFonts w:ascii="Times New Roman" w:hAnsi="Times New Roman" w:eastAsia="黑体" w:cs="Times New Roman"/>
          <w:color w:val="000000" w:themeColor="text1"/>
          <w:kern w:val="44"/>
          <w:sz w:val="32"/>
          <w:szCs w:val="24"/>
          <w:lang w:val="zh-CN" w:bidi="zh-CN"/>
          <w14:textFill>
            <w14:solidFill>
              <w14:schemeClr w14:val="tx1"/>
            </w14:solidFill>
          </w14:textFill>
        </w:rPr>
      </w:pPr>
      <w:bookmarkStart w:id="89" w:name="_Toc62051596"/>
      <w:r>
        <w:rPr>
          <w:rFonts w:ascii="Times New Roman" w:hAnsi="Times New Roman" w:eastAsia="黑体" w:cs="Times New Roman"/>
          <w:color w:val="000000" w:themeColor="text1"/>
          <w:kern w:val="44"/>
          <w:sz w:val="32"/>
          <w:szCs w:val="24"/>
          <w:lang w:val="zh-CN" w:bidi="zh-CN"/>
          <w14:textFill>
            <w14:solidFill>
              <w14:schemeClr w14:val="tx1"/>
            </w14:solidFill>
          </w14:textFill>
        </w:rPr>
        <w:t>第</w:t>
      </w:r>
      <w:r>
        <w:rPr>
          <w:rFonts w:ascii="Times New Roman" w:hAnsi="Times New Roman" w:eastAsia="黑体" w:cs="Times New Roman"/>
          <w:color w:val="000000" w:themeColor="text1"/>
          <w:kern w:val="44"/>
          <w:sz w:val="32"/>
          <w:szCs w:val="24"/>
          <w:lang w:bidi="zh-CN"/>
          <w14:textFill>
            <w14:solidFill>
              <w14:schemeClr w14:val="tx1"/>
            </w14:solidFill>
          </w14:textFill>
        </w:rPr>
        <w:t>十七</w:t>
      </w:r>
      <w:r>
        <w:rPr>
          <w:rFonts w:ascii="Times New Roman" w:hAnsi="Times New Roman" w:eastAsia="黑体" w:cs="Times New Roman"/>
          <w:color w:val="000000" w:themeColor="text1"/>
          <w:kern w:val="44"/>
          <w:sz w:val="32"/>
          <w:szCs w:val="24"/>
          <w:lang w:val="zh-CN" w:bidi="zh-CN"/>
          <w14:textFill>
            <w14:solidFill>
              <w14:schemeClr w14:val="tx1"/>
            </w14:solidFill>
          </w14:textFill>
        </w:rPr>
        <w:t>章  推进农业现代化</w:t>
      </w:r>
      <w:bookmarkEnd w:id="89"/>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将提高农业质量效益和竞争力摆在更加突出位置，加快构建现代农业产业体系、生产体系、经营体系，全面提升农业规模化、科技化、市场化、国际化、信息化、标准化水平，大力发展精细农业，加快推进农业大省向农业强省的跨越。</w:t>
      </w:r>
    </w:p>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0" w:name="_Toc62051597"/>
      <w:r>
        <w:rPr>
          <w:rFonts w:ascii="Times New Roman" w:hAnsi="Times New Roman" w:eastAsia="楷体_GB2312" w:cs="Times New Roman"/>
          <w:b/>
          <w:bCs/>
          <w:color w:val="000000" w:themeColor="text1"/>
          <w:sz w:val="32"/>
          <w:szCs w:val="32"/>
          <w14:textFill>
            <w14:solidFill>
              <w14:schemeClr w14:val="tx1"/>
            </w14:solidFill>
          </w14:textFill>
        </w:rPr>
        <w:t>第一节  构建融合发展的现代农业产业体系</w:t>
      </w:r>
      <w:bookmarkEnd w:id="90"/>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确保重要农产品稳定供应。</w:t>
      </w:r>
      <w:r>
        <w:rPr>
          <w:rFonts w:ascii="Times New Roman" w:hAnsi="Times New Roman" w:eastAsia="仿宋_GB2312" w:cs="Times New Roman"/>
          <w:color w:val="000000" w:themeColor="text1"/>
          <w:sz w:val="32"/>
          <w:szCs w:val="32"/>
          <w14:textFill>
            <w14:solidFill>
              <w14:schemeClr w14:val="tx1"/>
            </w14:solidFill>
          </w14:textFill>
        </w:rPr>
        <w:t>稳定粮食生产能力。大力实施重要农产品保障战略，打造环洞庭湖现代农业作业区，自觉担当粮食主产区责任</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藏粮于地、藏粮于技”，严守耕地红线，坚决遏制耕地“非农化”、防止“非粮化”，确保粮食生产功能区3850万亩底线不突破。实施高标准农田建设工程和优质粮油工程，推进粮食、生猪、油菜等重要农产品供应基地建设，稳定双季稻面积，大力发展高档优质稻，因地制宜发展优质专用旱粮。强化粮食调控，实施粮食绿色仓储提升行动，开展粮食节约行动。完善重要民生商品价格调控机制，保障市场供应和价格总体平稳。到2025年，全省粮食面积稳定在7100万亩左右、粮食产量稳定在3000万吨左右。</w:t>
      </w:r>
    </w:p>
    <w:p>
      <w:pPr>
        <w:spacing w:line="596" w:lineRule="exact"/>
        <w:ind w:firstLine="63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发展优势特色农业。</w:t>
      </w:r>
      <w:r>
        <w:rPr>
          <w:rFonts w:ascii="Times New Roman" w:hAnsi="Times New Roman" w:eastAsia="仿宋_GB2312" w:cs="Times New Roman"/>
          <w:color w:val="000000" w:themeColor="text1"/>
          <w:sz w:val="32"/>
          <w:szCs w:val="32"/>
          <w14:textFill>
            <w14:solidFill>
              <w14:schemeClr w14:val="tx1"/>
            </w14:solidFill>
          </w14:textFill>
        </w:rPr>
        <w:t>重点发展食用油、茶叶、水产、水果、中药材、竹木等优势特色千亿产业，加快推进“一县一特”向“一特一片”集聚。积极发展特色优质健康水产养殖，扩大牛羊等节粮型草食牧业和生态畜禽养殖业发展。建立永久烟田保护制度。因地制宜发展林业特色产业，优化林业生产布局和林产品品种结构，打造优质林产品供应基地，统筹推动林下经济及林业特色产业发展。</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vAlign w:val="center"/>
          </w:tcPr>
          <w:p>
            <w:pPr>
              <w:spacing w:line="220" w:lineRule="atLeast"/>
              <w:ind w:firstLine="320"/>
              <w:jc w:val="center"/>
              <w:rPr>
                <w:rFonts w:ascii="Times New Roman" w:hAnsi="Times New Roman" w:eastAsia="仿宋"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br w:type="page"/>
            </w:r>
            <w:r>
              <w:rPr>
                <w:rFonts w:ascii="Times New Roman" w:hAnsi="Times New Roman" w:eastAsia="黑体" w:cs="Times New Roman"/>
                <w:color w:val="000000" w:themeColor="text1"/>
                <w:kern w:val="0"/>
                <w:sz w:val="28"/>
                <w:szCs w:val="28"/>
                <w14:textFill>
                  <w14:solidFill>
                    <w14:schemeClr w14:val="tx1"/>
                  </w14:solidFill>
                </w14:textFill>
              </w:rPr>
              <w:t>专栏24  粮食和种业安全工程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856" w:type="dxa"/>
            <w:vAlign w:val="center"/>
          </w:tcPr>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粮食安全保障工程。</w:t>
            </w:r>
            <w:r>
              <w:rPr>
                <w:rFonts w:ascii="Times New Roman" w:hAnsi="Times New Roman" w:cs="Times New Roman"/>
                <w:bCs/>
                <w:color w:val="000000" w:themeColor="text1"/>
                <w:kern w:val="0"/>
                <w:sz w:val="24"/>
                <w:szCs w:val="24"/>
                <w14:textFill>
                  <w14:solidFill>
                    <w14:schemeClr w14:val="tx1"/>
                  </w14:solidFill>
                </w14:textFill>
              </w:rPr>
              <w:t>以</w:t>
            </w:r>
            <w:r>
              <w:rPr>
                <w:rFonts w:ascii="Times New Roman" w:hAnsi="Times New Roman" w:cs="Times New Roman"/>
                <w:color w:val="000000" w:themeColor="text1"/>
                <w:kern w:val="0"/>
                <w:sz w:val="24"/>
                <w:szCs w:val="24"/>
                <w14:textFill>
                  <w14:solidFill>
                    <w14:schemeClr w14:val="tx1"/>
                  </w14:solidFill>
                </w14:textFill>
              </w:rPr>
              <w:t>永久基本农田、粮食生产功能区、重要农产品生产保护区为重点，加快田、土、水、路、电、林、技、管等建设，完善农田基础设施和配套设施。到2025年，全省建成旱涝保收高标准农田面积4300万亩左右。</w:t>
            </w:r>
          </w:p>
          <w:p>
            <w:pPr>
              <w:spacing w:line="320" w:lineRule="exact"/>
              <w:ind w:firstLine="481"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“湖南好粮油”提升行动。</w:t>
            </w:r>
            <w:r>
              <w:rPr>
                <w:rFonts w:ascii="Times New Roman" w:hAnsi="Times New Roman" w:cs="Times New Roman"/>
                <w:bCs/>
                <w:color w:val="000000" w:themeColor="text1"/>
                <w:kern w:val="0"/>
                <w:sz w:val="24"/>
                <w:szCs w:val="24"/>
                <w14:textFill>
                  <w14:solidFill>
                    <w14:schemeClr w14:val="tx1"/>
                  </w14:solidFill>
                </w14:textFill>
              </w:rPr>
              <w:t>加快构建粮油标准化体系，倡导推行粮油适度加工，增加绿色优质粮油产品供给，完善提升粮油产品销售网络。到2025年，全省粮油加工业总产值突破2000亿元，粮食优质品率提高10个百分点。</w:t>
            </w:r>
          </w:p>
          <w:p>
            <w:pPr>
              <w:spacing w:line="320" w:lineRule="exact"/>
              <w:ind w:firstLine="465"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spacing w:val="-4"/>
                <w:kern w:val="0"/>
                <w:sz w:val="24"/>
                <w:szCs w:val="24"/>
                <w14:textFill>
                  <w14:solidFill>
                    <w14:schemeClr w14:val="tx1"/>
                  </w14:solidFill>
                </w14:textFill>
              </w:rPr>
              <w:t>粮食绿色仓储提升行动。</w:t>
            </w:r>
            <w:r>
              <w:rPr>
                <w:rFonts w:ascii="Times New Roman" w:hAnsi="Times New Roman" w:cs="Times New Roman"/>
                <w:bCs/>
                <w:color w:val="000000" w:themeColor="text1"/>
                <w:spacing w:val="-4"/>
                <w:kern w:val="0"/>
                <w:sz w:val="24"/>
                <w:szCs w:val="24"/>
                <w14:textFill>
                  <w14:solidFill>
                    <w14:schemeClr w14:val="tx1"/>
                  </w14:solidFill>
                </w14:textFill>
              </w:rPr>
              <w:t>推进现有粮食仓储设施实施绿色化、智能化提升改造，提高绿色储粮技术应用比例，推动粮食仓储管理向保质保鲜、“常储常新”迈进。到2025年，全省省级储备粮承储企业完成350万吨仓储设施绿色储粮技术设施改造任务</w:t>
            </w:r>
            <w:r>
              <w:rPr>
                <w:rFonts w:ascii="Times New Roman" w:hAnsi="Times New Roman" w:cs="Times New Roman"/>
                <w:bCs/>
                <w:color w:val="000000" w:themeColor="text1"/>
                <w:kern w:val="0"/>
                <w:sz w:val="24"/>
                <w:szCs w:val="24"/>
                <w14:textFill>
                  <w14:solidFill>
                    <w14:schemeClr w14:val="tx1"/>
                  </w14:solidFill>
                </w14:textFill>
              </w:rPr>
              <w:t>。</w:t>
            </w:r>
          </w:p>
          <w:p>
            <w:pPr>
              <w:spacing w:line="320" w:lineRule="exact"/>
              <w:ind w:firstLine="481"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耕地保护专项行动。</w:t>
            </w:r>
            <w:r>
              <w:rPr>
                <w:rFonts w:ascii="Times New Roman" w:hAnsi="Times New Roman" w:cs="Times New Roman"/>
                <w:bCs/>
                <w:color w:val="000000" w:themeColor="text1"/>
                <w:kern w:val="0"/>
                <w:sz w:val="24"/>
                <w:szCs w:val="24"/>
                <w14:textFill>
                  <w14:solidFill>
                    <w14:schemeClr w14:val="tx1"/>
                  </w14:solidFill>
                </w14:textFill>
              </w:rPr>
              <w:t>强化用地审批、供应、登记一体化管理，严格控制建设占用耕地；加快实施耕地后备资源调查工程，统筹优化耕地布局与结构；全流程强化新增耕地监管；构建完善卫星监测体系，推动落实动态监测和用地报批“两个耕地占补平衡”；加快构建自然资源执法保障体系，严厉打击违法占用和破坏耕地行为，坚决遏制耕地“非农化”“非粮化”现象。</w:t>
            </w:r>
          </w:p>
          <w:p>
            <w:pPr>
              <w:spacing w:line="320" w:lineRule="exact"/>
              <w:ind w:firstLine="481" w:firstLineChars="200"/>
              <w:rPr>
                <w:rFonts w:ascii="Times New Roman" w:hAnsi="Times New Roman" w:cs="Times New Roman"/>
                <w:b/>
                <w:color w:val="000000" w:themeColor="text1"/>
                <w:kern w:val="0"/>
                <w:sz w:val="32"/>
                <w:szCs w:val="3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种业安全工程。</w:t>
            </w:r>
            <w:r>
              <w:rPr>
                <w:rFonts w:ascii="Times New Roman" w:hAnsi="Times New Roman" w:cs="Times New Roman"/>
                <w:bCs/>
                <w:color w:val="000000" w:themeColor="text1"/>
                <w:kern w:val="0"/>
                <w:sz w:val="24"/>
                <w:szCs w:val="24"/>
                <w14:textFill>
                  <w14:solidFill>
                    <w14:schemeClr w14:val="tx1"/>
                  </w14:solidFill>
                </w14:textFill>
              </w:rPr>
              <w:t>推进农业、林业种质资源长期有效保护利用，进一步完善农作物、畜禽、水产、农业微生物、林业种质资源保护利用体系布局。依托岳麓山种业创新中心、现代农业控股集团等，加强种业自主创新，组织开展核心种源“卡脖子”技术攻关，加强科研育制种基地、南繁基地等建设。构建以企业为主体的商业化育种体系，培育和发展一批大型育繁推一体化企业。到2025年，完成全省农作物、畜禽、水产、农业微生物种质资源的全面普查，分类新建综合库资源繁殖与更新复壮中心5个，建立50个以上实行选育生产经营相结合的种业企业农业种质资源开发利用中心。</w:t>
            </w:r>
          </w:p>
        </w:tc>
      </w:tr>
    </w:tbl>
    <w:p>
      <w:pPr>
        <w:pStyle w:val="23"/>
        <w:spacing w:before="0" w:beforeAutospacing="0" w:after="0" w:afterAutospacing="0" w:line="568" w:lineRule="exact"/>
        <w:ind w:firstLine="629" w:firstLineChars="196"/>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2"/>
          <w:sz w:val="32"/>
          <w:szCs w:val="32"/>
          <w14:textFill>
            <w14:solidFill>
              <w14:schemeClr w14:val="tx1"/>
            </w14:solidFill>
          </w14:textFill>
        </w:rPr>
        <w:t>提升农业品质安全。</w:t>
      </w:r>
      <w:r>
        <w:rPr>
          <w:rFonts w:ascii="Times New Roman" w:hAnsi="Times New Roman" w:eastAsia="仿宋_GB2312" w:cs="Times New Roman"/>
          <w:color w:val="000000" w:themeColor="text1"/>
          <w:sz w:val="32"/>
          <w:szCs w:val="32"/>
          <w14:textFill>
            <w14:solidFill>
              <w14:schemeClr w14:val="tx1"/>
            </w14:solidFill>
          </w14:textFill>
        </w:rPr>
        <w:t>强化绿色导向、标准引领和质量安全监管，以县为单元创建一批农业现代化示范区。制定农业区域公用品牌、特色农产品品牌升级农业技术规程与地方标准，创建一批知名度高、竞争力强的农业品牌和农业全程、全产业链绿色标准化综合体、示范县、示范基地。大力开展“两品一标”农产品认证和登记保护。探索建立农产品质量安全智慧监管体系。全面推进食用农产品合格证、农产品“身份证”管理制度。以重要农产品生产基地、地理标志产品产地及屠宰场为重点，加大农产品检验检测体系建设，提升农产品质量安全检验检测能力。落实质量安全主体责任，建立农产品质量安全信用体系，构建农产品质量安全追溯和农业投入品追溯体系。建设一批国家和省级农产品质量安全市县以及农产品质量安全智慧监管县。开展农产品质量安全专项整治，把好农产品质量安全关。</w:t>
      </w:r>
    </w:p>
    <w:p>
      <w:pPr>
        <w:pStyle w:val="23"/>
        <w:spacing w:before="0" w:beforeAutospacing="0" w:after="0" w:afterAutospacing="0" w:line="596"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推动一二三产业融合发展。</w:t>
      </w:r>
      <w:r>
        <w:rPr>
          <w:rFonts w:ascii="Times New Roman" w:hAnsi="Times New Roman" w:eastAsia="仿宋_GB2312" w:cs="Times New Roman"/>
          <w:color w:val="000000" w:themeColor="text1"/>
          <w:sz w:val="32"/>
          <w:szCs w:val="32"/>
          <w14:textFill>
            <w14:solidFill>
              <w14:schemeClr w14:val="tx1"/>
            </w14:solidFill>
          </w14:textFill>
        </w:rPr>
        <w:t>提升农产品加工业。统筹产地、销区和园区布局，引导农产品加工业向优势区域和关键物流节点集中，推进农业优势特色产业集群、农业产业强镇、农业特色小镇、“一村一品”示范村镇建设，建设一批产加销贯通、贸工农一体、一二三产业融合发展的现代农业产业园。支持农民合作社、家庭农场和中小微企业等发展农产品产地初加工。引导大型农业企业加快技术集成应用，促进农产品多次加工、精深加工，推进加工副产物循环利用、全值利用、梯次利用。发展农业新业态。大力发展农村电子商务，推动电商资源、快递服务下沉到村，鼓励发展线上服务、线下体验，拓展农产品出村进城渠道。挖掘农业多种功能，推进农业与文化、科技、生态、旅游等产业深度融合，发展休闲农业、创意农业、康养农业，构建长株潭都市圈近郊乡村旅游圈、大湘西大湘南农业旅游带，打造一批休闲农业集聚发展示范村和示范农庄，创建一批国家和省级农村产业融合发展示范园。</w:t>
      </w:r>
    </w:p>
    <w:tbl>
      <w:tblPr>
        <w:tblStyle w:val="25"/>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vAlign w:val="center"/>
          </w:tcPr>
          <w:p>
            <w:pPr>
              <w:spacing w:line="220" w:lineRule="atLeast"/>
              <w:ind w:firstLine="280"/>
              <w:jc w:val="center"/>
              <w:rPr>
                <w:rFonts w:ascii="Times New Roman" w:hAnsi="Times New Roman" w:eastAsia="仿宋" w:cs="Times New Roman"/>
                <w:color w:val="000000" w:themeColor="text1"/>
                <w:kern w:val="0"/>
                <w:sz w:val="32"/>
                <w:szCs w:val="32"/>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专栏25  “六大强农”行动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tcPr>
          <w:p>
            <w:pPr>
              <w:spacing w:line="36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品牌强农</w:t>
            </w:r>
            <w:r>
              <w:rPr>
                <w:rFonts w:ascii="Times New Roman" w:hAnsi="Times New Roman" w:cs="Times New Roman"/>
                <w:color w:val="000000" w:themeColor="text1"/>
                <w:kern w:val="0"/>
                <w:sz w:val="24"/>
                <w:szCs w:val="24"/>
                <w14:textFill>
                  <w14:solidFill>
                    <w14:schemeClr w14:val="tx1"/>
                  </w14:solidFill>
                </w14:textFill>
              </w:rPr>
              <w:t>。继续支持安化黑茶、湖南红茶、湖南茶油、湖南菜籽油、宁乡花猪、湘江源蔬菜、湖南辣椒、湘赣红、洞庭香米等区域公用品牌，每年评选奖励一批“一县一特”公用品牌、认定一批湖南知名企业品牌，构建有影响力的“湘”字号知名品牌体系，建立品牌目录。支持创建农产品全产业链标准综合体、示范县、示范乡镇、示范基地，推进县市区、乡镇农产品质量安全监管标准化建设。</w:t>
            </w:r>
          </w:p>
          <w:p>
            <w:pPr>
              <w:spacing w:line="36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特色强农</w:t>
            </w:r>
            <w:r>
              <w:rPr>
                <w:rFonts w:ascii="Times New Roman" w:hAnsi="Times New Roman" w:cs="Times New Roman"/>
                <w:color w:val="000000" w:themeColor="text1"/>
                <w:kern w:val="0"/>
                <w:sz w:val="24"/>
                <w:szCs w:val="24"/>
                <w14:textFill>
                  <w14:solidFill>
                    <w14:schemeClr w14:val="tx1"/>
                  </w14:solidFill>
                </w14:textFill>
              </w:rPr>
              <w:t>。推进“一县一特” 农业主导产业向“一特一片”聚集，创建一批农业优势特色产业集群、一批国家级和省级现代农业产业园，继续支持省级现代农业特色产业园发展。创建一批国家级农业产业强镇、省级农业产业强镇和特色农业小镇。</w:t>
            </w:r>
          </w:p>
          <w:p>
            <w:pPr>
              <w:spacing w:line="36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融合强农</w:t>
            </w:r>
            <w:r>
              <w:rPr>
                <w:rFonts w:ascii="Times New Roman" w:hAnsi="Times New Roman" w:cs="Times New Roman"/>
                <w:color w:val="000000" w:themeColor="text1"/>
                <w:kern w:val="0"/>
                <w:sz w:val="24"/>
                <w:szCs w:val="24"/>
                <w14:textFill>
                  <w14:solidFill>
                    <w14:schemeClr w14:val="tx1"/>
                  </w14:solidFill>
                </w14:textFill>
              </w:rPr>
              <w:t>。重点扶持2000家省级示范家庭农场、2000个农民合作社省级示范社，认定1000家农业产业化联合体。培育一批国家重点龙头企业，打造100家省级标杆龙头企业。创建15个国家级和15个省级农村产业融合发展示范园</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区</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w:t>
            </w:r>
          </w:p>
          <w:p>
            <w:pPr>
              <w:spacing w:line="36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科技强农</w:t>
            </w:r>
            <w:r>
              <w:rPr>
                <w:rFonts w:ascii="Times New Roman" w:hAnsi="Times New Roman" w:cs="Times New Roman"/>
                <w:color w:val="000000" w:themeColor="text1"/>
                <w:kern w:val="0"/>
                <w:sz w:val="24"/>
                <w:szCs w:val="24"/>
                <w14:textFill>
                  <w14:solidFill>
                    <w14:schemeClr w14:val="tx1"/>
                  </w14:solidFill>
                </w14:textFill>
              </w:rPr>
              <w:t>。建设20个省级现代农业产业技术体系，开展100项关键技术联合攻关，推广100项先进适用技术。打造智慧智能农机产业链发展新高地。</w:t>
            </w:r>
          </w:p>
          <w:p>
            <w:pPr>
              <w:spacing w:line="36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人才强农。</w:t>
            </w:r>
            <w:r>
              <w:rPr>
                <w:rFonts w:ascii="Times New Roman" w:hAnsi="Times New Roman" w:cs="Times New Roman"/>
                <w:color w:val="000000" w:themeColor="text1"/>
                <w:kern w:val="0"/>
                <w:sz w:val="24"/>
                <w:szCs w:val="24"/>
                <w14:textFill>
                  <w14:solidFill>
                    <w14:schemeClr w14:val="tx1"/>
                  </w14:solidFill>
                </w14:textFill>
              </w:rPr>
              <w:t>实施高端农业人才引进和高素质农民培育计划。选聘万名农业科技工作者服务“三农”，推动科技下乡。加强新型职业农民培育，发展一批带动能力强、有一技之长的“土专家”“田秀才”和能工巧匠、致富带头人。加强现代青年家庭农（林）场主、新型农业经营主体带动人培养，培育万名新型农业经营主体和服务主体带头人、万名集体经济带头人。促进万名乡贤返乡兴业。</w:t>
            </w:r>
          </w:p>
          <w:p>
            <w:pPr>
              <w:spacing w:line="360" w:lineRule="exact"/>
              <w:ind w:firstLine="481" w:firstLineChars="200"/>
              <w:rPr>
                <w:rFonts w:ascii="Times New Roman" w:hAnsi="Times New Roman" w:eastAsia="仿宋" w:cs="Times New Roman"/>
                <w:color w:val="000000" w:themeColor="text1"/>
                <w:kern w:val="0"/>
                <w:sz w:val="32"/>
                <w:szCs w:val="3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开放强农</w:t>
            </w:r>
            <w:r>
              <w:rPr>
                <w:rFonts w:ascii="Times New Roman" w:hAnsi="Times New Roman" w:cs="Times New Roman"/>
                <w:color w:val="000000" w:themeColor="text1"/>
                <w:kern w:val="0"/>
                <w:sz w:val="24"/>
                <w:szCs w:val="24"/>
                <w14:textFill>
                  <w14:solidFill>
                    <w14:schemeClr w14:val="tx1"/>
                  </w14:solidFill>
                </w14:textFill>
              </w:rPr>
              <w:t>。打造国家</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湖南</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优质农产品交易中心，培育一批具有国际竞争力的跨国农业企业集团、创建一批境外农业产业园、认定一批农产品出口示范基地。 </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1" w:name="_Toc62051598"/>
      <w:r>
        <w:rPr>
          <w:rFonts w:ascii="Times New Roman" w:hAnsi="Times New Roman" w:eastAsia="楷体_GB2312" w:cs="Times New Roman"/>
          <w:b/>
          <w:bCs/>
          <w:color w:val="000000" w:themeColor="text1"/>
          <w:sz w:val="32"/>
          <w:szCs w:val="32"/>
          <w14:textFill>
            <w14:solidFill>
              <w14:schemeClr w14:val="tx1"/>
            </w14:solidFill>
          </w14:textFill>
        </w:rPr>
        <w:t>第二节  强化科技支撑的现代农业生产体系</w:t>
      </w:r>
      <w:bookmarkEnd w:id="91"/>
    </w:p>
    <w:p>
      <w:pPr>
        <w:pStyle w:val="23"/>
        <w:spacing w:before="0" w:beforeAutospacing="0" w:after="0" w:afterAutospacing="0" w:line="596" w:lineRule="exact"/>
        <w:ind w:firstLine="642" w:firstLineChars="200"/>
        <w:jc w:val="both"/>
        <w:rPr>
          <w:rStyle w:val="28"/>
          <w:rFonts w:ascii="Times New Roman" w:hAnsi="Times New Roman" w:eastAsia="微软雅黑" w:cs="Times New Roman"/>
          <w:color w:val="000000" w:themeColor="text1"/>
          <w:szCs w:val="24"/>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推行绿色高效生产方式。</w:t>
      </w:r>
      <w:r>
        <w:rPr>
          <w:rFonts w:ascii="Times New Roman" w:hAnsi="Times New Roman" w:eastAsia="仿宋_GB2312" w:cs="Times New Roman"/>
          <w:color w:val="000000" w:themeColor="text1"/>
          <w:kern w:val="2"/>
          <w:sz w:val="32"/>
          <w:szCs w:val="32"/>
          <w14:textFill>
            <w14:solidFill>
              <w14:schemeClr w14:val="tx1"/>
            </w14:solidFill>
          </w14:textFill>
        </w:rPr>
        <w:t>完善农业资源环境管控制度，建立农业产业准入负面清单，明确各地种养业发展方向和开发强度，实行合理承载。实施化肥农药使用量零增长行动，全面推广测土配方施肥、农药精准高效施用。健全动物防疫和农作物病虫害防治体系。实施种养结合循环农业示范工程，推动种养业废弃物资源化利用、无害化处理。开展农业面源污染综合防治。开展耕地质量保护与提升行动，持续推进</w:t>
      </w:r>
      <w:r>
        <w:rPr>
          <w:rFonts w:ascii="Times New Roman" w:hAnsi="Times New Roman" w:eastAsia="仿宋_GB2312" w:cs="Times New Roman"/>
          <w:color w:val="000000" w:themeColor="text1"/>
          <w:sz w:val="32"/>
          <w:szCs w:val="32"/>
          <w14:textFill>
            <w14:solidFill>
              <w14:schemeClr w14:val="tx1"/>
            </w14:solidFill>
          </w14:textFill>
        </w:rPr>
        <w:t>受污染耕地安全利用，</w:t>
      </w:r>
      <w:r>
        <w:rPr>
          <w:rFonts w:ascii="Times New Roman" w:hAnsi="Times New Roman" w:eastAsia="仿宋_GB2312" w:cs="Times New Roman"/>
          <w:color w:val="000000" w:themeColor="text1"/>
          <w:kern w:val="2"/>
          <w:sz w:val="32"/>
          <w:szCs w:val="32"/>
          <w14:textFill>
            <w14:solidFill>
              <w14:schemeClr w14:val="tx1"/>
            </w14:solidFill>
          </w14:textFill>
        </w:rPr>
        <w:t>对土壤污染严重、区域生态功能退化、可利用水资源匮乏等不宜连续耕作农田实行轮作休耕。提高农业设施用地管理和利用水平。在重点灌区全面开展规模化高效节水灌溉行动。</w:t>
      </w:r>
    </w:p>
    <w:p>
      <w:pPr>
        <w:pStyle w:val="23"/>
        <w:spacing w:before="0" w:beforeAutospacing="0" w:after="0" w:afterAutospacing="0" w:line="596"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大力推进农业机械化</w:t>
      </w:r>
      <w:r>
        <w:rPr>
          <w:rFonts w:ascii="Times New Roman" w:hAnsi="Times New Roman" w:eastAsia="仿宋_GB2312" w:cs="Times New Roman"/>
          <w:color w:val="000000" w:themeColor="text1"/>
          <w:sz w:val="32"/>
          <w:szCs w:val="32"/>
          <w14:textFill>
            <w14:solidFill>
              <w14:schemeClr w14:val="tx1"/>
            </w14:solidFill>
          </w14:textFill>
        </w:rPr>
        <w:t>。完善农机装备创新体系，加快智能化、复合型农业机械研发和应用。补齐水稻、油菜全程机械化生产短板，加强农机农艺融合。推进农田建设与机械化作业相适应，以粮食生产功能区和重要农产品生产保护区为重点，结合大中型灌区布局，实施丘陵山区机耕道等农田宜机化改造。加快农业机械化技术推广应用，建设一批“全程机械化+综合农事服务”的“一站式”服务中心，大力开展农机作业社会化服务。扶持农产品加工装备制造业发展，持续提升农业全链条装备设施水平。积极开展农机技术服务和人才技能培训，推动农业装备进村入户。</w:t>
      </w:r>
    </w:p>
    <w:p>
      <w:pPr>
        <w:pStyle w:val="23"/>
        <w:spacing w:before="0" w:beforeAutospacing="0" w:after="0" w:afterAutospacing="0" w:line="596"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增强农业科技创新能力。</w:t>
      </w:r>
      <w:r>
        <w:rPr>
          <w:rFonts w:ascii="Times New Roman" w:hAnsi="Times New Roman" w:eastAsia="仿宋_GB2312" w:cs="Times New Roman"/>
          <w:color w:val="000000" w:themeColor="text1"/>
          <w:kern w:val="2"/>
          <w:sz w:val="32"/>
          <w:szCs w:val="32"/>
          <w14:textFill>
            <w14:solidFill>
              <w14:schemeClr w14:val="tx1"/>
            </w14:solidFill>
          </w14:textFill>
        </w:rPr>
        <w:t>加快生物育种、农机装备、绿色增产等技术攻关，</w:t>
      </w:r>
      <w:r>
        <w:rPr>
          <w:rFonts w:ascii="Times New Roman" w:hAnsi="Times New Roman" w:eastAsia="仿宋_GB2312" w:cs="Times New Roman"/>
          <w:color w:val="000000" w:themeColor="text1"/>
          <w:sz w:val="32"/>
          <w:szCs w:val="32"/>
          <w14:textFill>
            <w14:solidFill>
              <w14:schemeClr w14:val="tx1"/>
            </w14:solidFill>
          </w14:textFill>
        </w:rPr>
        <w:t>大力实施种业自主创新工程，加强科研育制种基地建设，</w:t>
      </w:r>
      <w:r>
        <w:rPr>
          <w:rFonts w:ascii="Times New Roman" w:hAnsi="Times New Roman" w:eastAsia="仿宋_GB2312" w:cs="Times New Roman"/>
          <w:color w:val="000000" w:themeColor="text1"/>
          <w:kern w:val="2"/>
          <w:sz w:val="32"/>
          <w:szCs w:val="32"/>
          <w14:textFill>
            <w14:solidFill>
              <w14:schemeClr w14:val="tx1"/>
            </w14:solidFill>
          </w14:textFill>
        </w:rPr>
        <w:t>推广高产优质适宜机械化品种和区域性标准化高产高效栽培模式。</w:t>
      </w:r>
      <w:r>
        <w:rPr>
          <w:rFonts w:ascii="Times New Roman" w:hAnsi="Times New Roman" w:eastAsia="仿宋_GB2312" w:cs="Times New Roman"/>
          <w:color w:val="000000" w:themeColor="text1"/>
          <w:sz w:val="32"/>
          <w:szCs w:val="32"/>
          <w14:textFill>
            <w14:solidFill>
              <w14:schemeClr w14:val="tx1"/>
            </w14:solidFill>
          </w14:textFill>
        </w:rPr>
        <w:t>推进农业科技协同创新联盟建设，建设农业科技服务云平台，</w:t>
      </w:r>
      <w:r>
        <w:rPr>
          <w:rFonts w:ascii="Times New Roman" w:hAnsi="Times New Roman" w:eastAsia="仿宋_GB2312" w:cs="Times New Roman"/>
          <w:color w:val="000000" w:themeColor="text1"/>
          <w:kern w:val="2"/>
          <w:sz w:val="32"/>
          <w:szCs w:val="32"/>
          <w14:textFill>
            <w14:solidFill>
              <w14:schemeClr w14:val="tx1"/>
            </w14:solidFill>
          </w14:textFill>
        </w:rPr>
        <w:t>健全和激活基层农业技术推广网络，</w:t>
      </w:r>
      <w:r>
        <w:rPr>
          <w:rFonts w:ascii="Times New Roman" w:hAnsi="Times New Roman" w:eastAsia="仿宋_GB2312" w:cs="Times New Roman"/>
          <w:color w:val="000000" w:themeColor="text1"/>
          <w:sz w:val="32"/>
          <w:szCs w:val="32"/>
          <w14:textFill>
            <w14:solidFill>
              <w14:schemeClr w14:val="tx1"/>
            </w14:solidFill>
          </w14:textFill>
        </w:rPr>
        <w:t>提升农技推广服务效能。深入推进科技特派员农村科技创业行动，加快科技进村入户，让农民掌握更多的农业科技知识。</w:t>
      </w:r>
    </w:p>
    <w:p>
      <w:pPr>
        <w:pStyle w:val="23"/>
        <w:spacing w:before="0" w:beforeAutospacing="0" w:after="0" w:afterAutospacing="0" w:line="568" w:lineRule="exact"/>
        <w:ind w:firstLine="64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加快发展智慧农业</w:t>
      </w:r>
      <w:r>
        <w:rPr>
          <w:rFonts w:ascii="Times New Roman" w:hAnsi="Times New Roman" w:eastAsia="仿宋_GB2312" w:cs="Times New Roman"/>
          <w:color w:val="000000" w:themeColor="text1"/>
          <w:sz w:val="32"/>
          <w:szCs w:val="32"/>
          <w14:textFill>
            <w14:solidFill>
              <w14:schemeClr w14:val="tx1"/>
            </w14:solidFill>
          </w14:textFill>
        </w:rPr>
        <w:t>。以“互联网+农业”推动信息技术与农业生产管理、经营管理、市场流通、资源环境等全链条全过程深度融合，加速农业全产业链升级。利用农业感知系统等现代信息技术，加强农业种植、气候、土壤墒情、资源环境、疫病防控等信息的采集、分析，引导农业经营主体科学决策、服务共享、智慧生产。推进农业物联网应用，提高农业智能化和精准化水平。加快建设省级农业大数据平台，提升现代气象为农服务水平。建设一批大田种植、设施园艺、畜禽养殖、水产养殖智能化农业示范基地。</w:t>
      </w:r>
    </w:p>
    <w:p>
      <w:pPr>
        <w:autoSpaceDE w:val="0"/>
        <w:autoSpaceDN w:val="0"/>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2" w:name="_Toc62051599"/>
      <w:r>
        <w:rPr>
          <w:rFonts w:ascii="Times New Roman" w:hAnsi="Times New Roman" w:eastAsia="楷体_GB2312" w:cs="Times New Roman"/>
          <w:b/>
          <w:bCs/>
          <w:color w:val="000000" w:themeColor="text1"/>
          <w:sz w:val="32"/>
          <w:szCs w:val="32"/>
          <w14:textFill>
            <w14:solidFill>
              <w14:schemeClr w14:val="tx1"/>
            </w14:solidFill>
          </w14:textFill>
        </w:rPr>
        <w:t>第三节  健全集约高效的现代农业经营体系</w:t>
      </w:r>
      <w:bookmarkEnd w:id="92"/>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壮大新型农业经营主体。</w:t>
      </w:r>
      <w:r>
        <w:rPr>
          <w:rFonts w:ascii="Times New Roman" w:hAnsi="Times New Roman" w:eastAsia="仿宋_GB2312" w:cs="Times New Roman"/>
          <w:color w:val="000000" w:themeColor="text1"/>
          <w:sz w:val="32"/>
          <w:szCs w:val="32"/>
          <w14:textFill>
            <w14:solidFill>
              <w14:schemeClr w14:val="tx1"/>
            </w14:solidFill>
          </w14:textFill>
        </w:rPr>
        <w:t>优化土地资源配置，依法推进土地经营权有序流转，通过代耕代种、联耕联种、土地托管、股份合作等方式，推进农业经营集约化、组织化、规模化。实施“百企千社万户”农业升级工程。加大龙头企业培育力度，支持龙头企业通过并购重组、交叉持股等方式对区域内同类农产品加工企业进行整合，强化品牌实力。鼓励农村能人、专业大户、龙头企业等牵头发展合作社，加快示范合作社、示范性家庭农场建设，打造多形式联动模式，引导农民参与规模化、标准化生产以及农产品品牌创建，推进小农户与现代农业发展有机</w:t>
      </w:r>
      <w:r>
        <w:rPr>
          <w:rFonts w:hint="eastAsia" w:ascii="Times New Roman" w:hAnsi="Times New Roman" w:eastAsia="仿宋_GB2312" w:cs="Times New Roman"/>
          <w:color w:val="000000" w:themeColor="text1"/>
          <w:sz w:val="32"/>
          <w:szCs w:val="32"/>
          <w14:textFill>
            <w14:solidFill>
              <w14:schemeClr w14:val="tx1"/>
            </w14:solidFill>
          </w14:textFill>
        </w:rPr>
        <w:t>衔接</w:t>
      </w:r>
      <w:r>
        <w:rPr>
          <w:rFonts w:ascii="Times New Roman" w:hAnsi="Times New Roman" w:eastAsia="仿宋_GB2312" w:cs="Times New Roman"/>
          <w:color w:val="000000" w:themeColor="text1"/>
          <w:sz w:val="32"/>
          <w:szCs w:val="32"/>
          <w14:textFill>
            <w14:solidFill>
              <w14:schemeClr w14:val="tx1"/>
            </w14:solidFill>
          </w14:textFill>
        </w:rPr>
        <w:t>。积极探索发展集体经济，有选择地培养一批集体经济试点村。鼓励和支持工商资本投资现代农业，促进农商联盟等新型经营模式发展。</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完善社会化服务体系。</w:t>
      </w:r>
      <w:r>
        <w:rPr>
          <w:rFonts w:ascii="Times New Roman" w:hAnsi="Times New Roman" w:eastAsia="仿宋_GB2312" w:cs="Times New Roman"/>
          <w:color w:val="000000" w:themeColor="text1"/>
          <w:sz w:val="32"/>
          <w:szCs w:val="32"/>
          <w14:textFill>
            <w14:solidFill>
              <w14:schemeClr w14:val="tx1"/>
            </w14:solidFill>
          </w14:textFill>
        </w:rPr>
        <w:t>大力培育新型农业服务主体，重点建设发展服务联合体、服务联盟等新型组织，培育跨区域农业社会化服务龙头企业。支持供销合作社、科研机构、行业协会和具有资质的经营性服务组织</w:t>
      </w:r>
      <w:r>
        <w:rPr>
          <w:rFonts w:hint="eastAsia" w:ascii="Times New Roman" w:hAnsi="Times New Roman" w:eastAsia="仿宋_GB2312" w:cs="Times New Roman"/>
          <w:color w:val="000000" w:themeColor="text1"/>
          <w:sz w:val="32"/>
          <w:szCs w:val="32"/>
          <w14:textFill>
            <w14:solidFill>
              <w14:schemeClr w14:val="tx1"/>
            </w14:solidFill>
          </w14:textFill>
        </w:rPr>
        <w:t>开展</w:t>
      </w:r>
      <w:r>
        <w:rPr>
          <w:rFonts w:ascii="Times New Roman" w:hAnsi="Times New Roman" w:eastAsia="仿宋_GB2312" w:cs="Times New Roman"/>
          <w:color w:val="000000" w:themeColor="text1"/>
          <w:sz w:val="32"/>
          <w:szCs w:val="32"/>
          <w14:textFill>
            <w14:solidFill>
              <w14:schemeClr w14:val="tx1"/>
            </w14:solidFill>
          </w14:textFill>
        </w:rPr>
        <w:t>各类专业化服务。积极推广合作式、托管式、订单式等服务形式，开展覆盖农业生产全过程的社会化综合服务。支持新型农业服务主体服务能力建设，建立区域性农业社会化综合服务平台，强化农业关键领域和薄弱环节的服务供给，探索和推广一批有效服务模式。</w:t>
      </w:r>
    </w:p>
    <w:p>
      <w:pPr>
        <w:spacing w:line="568" w:lineRule="exact"/>
        <w:ind w:firstLine="64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提升新型农业经营主体素质。</w:t>
      </w:r>
      <w:r>
        <w:rPr>
          <w:rFonts w:ascii="Times New Roman" w:hAnsi="Times New Roman" w:eastAsia="仿宋_GB2312" w:cs="Times New Roman"/>
          <w:color w:val="000000" w:themeColor="text1"/>
          <w:sz w:val="32"/>
          <w:szCs w:val="32"/>
          <w14:textFill>
            <w14:solidFill>
              <w14:schemeClr w14:val="tx1"/>
            </w14:solidFill>
          </w14:textFill>
        </w:rPr>
        <w:t>加大新型农业经营主体和服务主体培训力度，实施新型农业经营主体带头人、返乡入乡创新创业者等分类培育计划，大力开展家庭农场经营者、农民合作社骨干、农业社会化服务组织负责人培训。支持涉农职业院校等教育培训机构和相关社会组织依托新型农业经营主体和服务主体建设实训基地。大力发展农业职业教育，服务产业发展，加快构建满足农民群众接受教育、“三农”发展对技术技能人才需求的现代农业职业教育体系。</w:t>
      </w:r>
    </w:p>
    <w:p>
      <w:pPr>
        <w:keepNext/>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93" w:name="_Toc62051600"/>
      <w:r>
        <w:rPr>
          <w:rFonts w:ascii="Times New Roman" w:hAnsi="Times New Roman" w:eastAsia="黑体" w:cs="Times New Roman"/>
          <w:color w:val="000000" w:themeColor="text1"/>
          <w:sz w:val="32"/>
          <w14:textFill>
            <w14:solidFill>
              <w14:schemeClr w14:val="tx1"/>
            </w14:solidFill>
          </w14:textFill>
        </w:rPr>
        <w:t>第十八章  加快乡村建设</w:t>
      </w:r>
      <w:bookmarkEnd w:id="93"/>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产业兴旺、生态宜居、乡风文明、治理有效、生活富裕的总要求，统筹推进农村经济建设、政治建设、文化建设、社会建设、生态文明建设和基层党的建设，让农村成为安居乐业的美丽家园，书写好新时代湖南“三农”发展新篇章。</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4" w:name="_Toc62051601"/>
      <w:r>
        <w:rPr>
          <w:rFonts w:ascii="Times New Roman" w:hAnsi="Times New Roman" w:eastAsia="楷体_GB2312" w:cs="Times New Roman"/>
          <w:b/>
          <w:bCs/>
          <w:color w:val="000000" w:themeColor="text1"/>
          <w:sz w:val="32"/>
          <w:szCs w:val="32"/>
          <w14:textFill>
            <w14:solidFill>
              <w14:schemeClr w14:val="tx1"/>
            </w14:solidFill>
          </w14:textFill>
        </w:rPr>
        <w:t>第一节  实现巩固拓展脱贫攻坚成果同乡村振兴有效衔接</w:t>
      </w:r>
      <w:bookmarkEnd w:id="94"/>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落实脱贫地区5年过渡期“四个不摘”，保持现有帮扶政策、资金支持、帮扶力量整体稳定，接续推进脱贫地区发展。推动减贫战略和工作体系平稳转型，统筹纳入乡村振兴战略。以湘西地区和湘赣边区域为重点，支持建设武陵山和罗霄山巩固脱贫攻坚成果同乡村振兴有效衔接先行示范区，进一步改善发展基础，增强脱贫群众发展能力。建立健全省市县互通、多部门参与的防止返贫动态监测机制和帮扶责任机制，对脱贫不稳定户、边缘易致贫户开展常态化监测预警，建立健全快速发现和响应机制。坚持就业优先，提供技能培训和用工信息，建立农业新型经营主体带动帮扶机制，帮助脱贫家庭主要劳动力就近获得稳定的就业机会。加强易地扶贫搬迁的就业产业扶持和后续配套设施建设，确保搬迁群众住得下、能融入、可致富。探索建立扶贫项目资金资产管理的长效机制，加强扶贫项目资金资产管理和监督，推动特色产业可持续发展。继续选派驻村第一书记，坚持和完善对口支援、社会力量参与帮扶等机制。</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5" w:name="_Toc62051602"/>
      <w:r>
        <w:rPr>
          <w:rFonts w:ascii="Times New Roman" w:hAnsi="Times New Roman" w:eastAsia="楷体_GB2312" w:cs="Times New Roman"/>
          <w:b/>
          <w:bCs/>
          <w:color w:val="000000" w:themeColor="text1"/>
          <w:sz w:val="32"/>
          <w:szCs w:val="32"/>
          <w14:textFill>
            <w14:solidFill>
              <w14:schemeClr w14:val="tx1"/>
            </w14:solidFill>
          </w14:textFill>
        </w:rPr>
        <w:t>第二节  建设美丽乡村</w:t>
      </w:r>
      <w:bookmarkEnd w:id="95"/>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提质农村基础设施</w:t>
      </w:r>
      <w:r>
        <w:rPr>
          <w:rFonts w:ascii="Times New Roman" w:hAnsi="Times New Roman" w:eastAsia="仿宋_GB2312" w:cs="Times New Roman"/>
          <w:color w:val="000000" w:themeColor="text1"/>
          <w:spacing w:val="-2"/>
          <w:sz w:val="32"/>
          <w:szCs w:val="32"/>
          <w14:textFill>
            <w14:solidFill>
              <w14:schemeClr w14:val="tx1"/>
            </w14:solidFill>
          </w14:textFill>
        </w:rPr>
        <w:t>。改善农村交通物流设施条件，推动“四好农村路”提质扩面。加大农村水利设施更新改造建设力度，推进城乡供水一体化，全面提升农村安全供水能力。优化农村现代能源体系，加快新一轮农村电网改造升级。建设数字乡村，加快农村宽带网络和第四代移动通信网络覆盖，促进现代信息技术与农村生产生活全面融合。提质农村公共服务设施，切实提高农村教育质量，推进标准化乡镇卫生院建设和村卫生室改造，建立健全县乡村三级养老服务网络，扩大乡村文化惠民工程覆盖面。强化农村基础设施维护和管理，提高使用效率和期限</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2" w:firstLineChars="200"/>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改善农村人居环境。</w:t>
      </w:r>
      <w:r>
        <w:rPr>
          <w:rFonts w:ascii="Times New Roman" w:hAnsi="Times New Roman" w:eastAsia="仿宋_GB2312" w:cs="Times New Roman"/>
          <w:color w:val="000000" w:themeColor="text1"/>
          <w:sz w:val="32"/>
          <w:szCs w:val="32"/>
          <w14:textFill>
            <w14:solidFill>
              <w14:schemeClr w14:val="tx1"/>
            </w14:solidFill>
          </w14:textFill>
        </w:rPr>
        <w:t>坚持集约节约用地，强化乡村规划设计引领和村庄特色风貌引导，推进村民适度集中居住，保护传统村落和乡村风貌，探索“湘派建筑”特色风貌。因地制宜推进农村厕所革命、生活垃圾及污水处理，实施河湖水系综合整治。持续推进“百城千镇万村”城乡融合提升工程。培育一批全域美丽乡村县，创建一批全域美丽乡村乡镇，打造一批示范村、特色精品村，建设一批美丽乡村秀美屋场、五美庭院。修复与保护乡村生态，统筹乡村生产与土地综合整治、水土流失治理等工程，保护性开发利用农村生态资源，促进农村生态优势向绿色发展优势转化。</w:t>
      </w:r>
    </w:p>
    <w:tbl>
      <w:tblPr>
        <w:tblStyle w:val="25"/>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714" w:type="dxa"/>
            <w:vAlign w:val="center"/>
          </w:tcPr>
          <w:p>
            <w:pPr>
              <w:spacing w:line="320" w:lineRule="exact"/>
              <w:ind w:firstLine="278"/>
              <w:jc w:val="center"/>
              <w:rPr>
                <w:rFonts w:ascii="Times New Roman" w:hAnsi="Times New Roman" w:eastAsia="仿宋" w:cs="Times New Roman"/>
                <w:color w:val="000000" w:themeColor="text1"/>
                <w:kern w:val="0"/>
                <w:sz w:val="30"/>
                <w:szCs w:val="30"/>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专栏26  乡村建设行动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14" w:type="dxa"/>
          </w:tcPr>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“百城千镇万村”城乡融合提升工程</w:t>
            </w:r>
            <w:r>
              <w:rPr>
                <w:rFonts w:ascii="Times New Roman" w:hAnsi="Times New Roman" w:cs="Times New Roman"/>
                <w:color w:val="000000" w:themeColor="text1"/>
                <w:kern w:val="0"/>
                <w:sz w:val="24"/>
                <w:szCs w:val="24"/>
                <w14:textFill>
                  <w14:solidFill>
                    <w14:schemeClr w14:val="tx1"/>
                  </w14:solidFill>
                </w14:textFill>
              </w:rPr>
              <w:t>。推进城乡基础设施与基本公共服务“百城”一体化工程，塑造1000个湖湘风貌特色小城镇，10000个左右村庄达到美丽宜居标准。到2025年，50%左右的建制村达到美丽乡村建设标准。</w:t>
            </w:r>
          </w:p>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农村厕所革命。</w:t>
            </w:r>
            <w:r>
              <w:rPr>
                <w:rFonts w:ascii="Times New Roman" w:hAnsi="Times New Roman" w:cs="Times New Roman"/>
                <w:color w:val="000000" w:themeColor="text1"/>
                <w:kern w:val="0"/>
                <w:sz w:val="24"/>
                <w:szCs w:val="24"/>
                <w14:textFill>
                  <w14:solidFill>
                    <w14:schemeClr w14:val="tx1"/>
                  </w14:solidFill>
                </w14:textFill>
              </w:rPr>
              <w:t>加快推进户用无害化厕所建设和改造。到2025年，一类县无害化卫生厕所全面普及，厕所粪污得到处理或资源化利用；二类县、三类县基本完成农村户用厕所无害化改造</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厕所粪污基本得到处理或资源化利用。</w:t>
            </w:r>
          </w:p>
          <w:p>
            <w:pPr>
              <w:spacing w:line="320" w:lineRule="exact"/>
              <w:ind w:firstLine="481"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农房品质提升行动。</w:t>
            </w:r>
            <w:r>
              <w:rPr>
                <w:rFonts w:ascii="Times New Roman" w:hAnsi="Times New Roman" w:cs="Times New Roman"/>
                <w:color w:val="000000" w:themeColor="text1"/>
                <w:kern w:val="0"/>
                <w:sz w:val="24"/>
                <w:szCs w:val="24"/>
                <w14:textFill>
                  <w14:solidFill>
                    <w14:schemeClr w14:val="tx1"/>
                  </w14:solidFill>
                </w14:textFill>
              </w:rPr>
              <w:t>因地制宜推进空心房整治，支持新建一批宜居型示范农房，</w:t>
            </w:r>
            <w:r>
              <w:rPr>
                <w:rFonts w:hint="eastAsia" w:ascii="Times New Roman" w:hAnsi="Times New Roman" w:cs="Times New Roman"/>
                <w:color w:val="000000" w:themeColor="text1"/>
                <w:kern w:val="0"/>
                <w:sz w:val="24"/>
                <w:szCs w:val="24"/>
                <w14:textFill>
                  <w14:solidFill>
                    <w14:schemeClr w14:val="tx1"/>
                  </w14:solidFill>
                </w14:textFill>
              </w:rPr>
              <w:t>推进</w:t>
            </w:r>
            <w:r>
              <w:rPr>
                <w:rFonts w:ascii="Times New Roman" w:hAnsi="Times New Roman" w:cs="Times New Roman"/>
                <w:color w:val="000000" w:themeColor="text1"/>
                <w:kern w:val="0"/>
                <w:sz w:val="24"/>
                <w:szCs w:val="24"/>
                <w14:textFill>
                  <w14:solidFill>
                    <w14:schemeClr w14:val="tx1"/>
                  </w14:solidFill>
                </w14:textFill>
              </w:rPr>
              <w:t>农村住房建设规范提质示范，打造乡村特色民居风貌示范点。</w:t>
            </w:r>
          </w:p>
          <w:p>
            <w:pPr>
              <w:spacing w:line="320" w:lineRule="exact"/>
              <w:ind w:firstLine="481" w:firstLineChars="200"/>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农村道路通行能力提升行动。</w:t>
            </w:r>
            <w:r>
              <w:rPr>
                <w:rFonts w:ascii="Times New Roman" w:hAnsi="Times New Roman" w:cs="Times New Roman"/>
                <w:color w:val="000000" w:themeColor="text1"/>
                <w:kern w:val="0"/>
                <w:sz w:val="24"/>
                <w:szCs w:val="24"/>
                <w14:textFill>
                  <w14:solidFill>
                    <w14:schemeClr w14:val="tx1"/>
                  </w14:solidFill>
                </w14:textFill>
              </w:rPr>
              <w:t xml:space="preserve">进一步把农村公路建好、管好、护好、运营好，加快农村旅游路、资源路、产业路建设，推动乡镇通达三级以上公路，因地制宜推进村内道路改造。到2025年，新改建农村公路2万公里，基本实现乡镇通三级以上公路，显著提升乡村旅游景区景点、特色产业园区的交通保障能力和服务水平。 </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6" w:name="_Toc62051603"/>
      <w:r>
        <w:rPr>
          <w:rFonts w:ascii="Times New Roman" w:hAnsi="Times New Roman" w:eastAsia="楷体_GB2312" w:cs="Times New Roman"/>
          <w:b/>
          <w:bCs/>
          <w:color w:val="000000" w:themeColor="text1"/>
          <w:sz w:val="32"/>
          <w:szCs w:val="32"/>
          <w14:textFill>
            <w14:solidFill>
              <w14:schemeClr w14:val="tx1"/>
            </w14:solidFill>
          </w14:textFill>
        </w:rPr>
        <w:t>第三节  深化农村改革</w:t>
      </w:r>
      <w:bookmarkEnd w:id="96"/>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深化农村土地制度改革。</w:t>
      </w:r>
      <w:r>
        <w:rPr>
          <w:rFonts w:ascii="Times New Roman" w:hAnsi="Times New Roman" w:eastAsia="仿宋_GB2312" w:cs="Times New Roman"/>
          <w:color w:val="000000" w:themeColor="text1"/>
          <w:sz w:val="32"/>
          <w:szCs w:val="32"/>
          <w14:textFill>
            <w14:solidFill>
              <w14:schemeClr w14:val="tx1"/>
            </w14:solidFill>
          </w14:textFill>
        </w:rPr>
        <w:t>稳定农村土地承包关系并长久不变，实施第二轮土地承包到期后再延长30年政策，加快农村土地承包权确权登记颁证成果运用，完善农村土地所有权、承包权、经营权分置办法，依法推进农村土地经营权有序流转，鼓励农户以土地经营权入股。全面推开农村土地征收制度改革和农村集体经营性建设用地入市改革，探索支持利用集体建设用地按照规划建设租赁住房，加快建设全省统一的农村土地产权交易平台。完成房地一体的宅基地使用权确权登记颁证，探索宅基地所有权、资格权、使用权分置实现形式。保障进城落户农民土地承包权、宅基地使用权、集体收益分配权。赋予农民宅基地财产权，鼓励依法自愿有偿退出、有偿转让。探索城镇居民下乡租用农村闲置房用于返乡养老或开展经营性活动。</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深入推进农村集体产权制度改革。</w:t>
      </w:r>
      <w:r>
        <w:rPr>
          <w:rFonts w:ascii="Times New Roman" w:hAnsi="Times New Roman" w:eastAsia="仿宋_GB2312" w:cs="Times New Roman"/>
          <w:color w:val="000000" w:themeColor="text1"/>
          <w:sz w:val="32"/>
          <w:szCs w:val="32"/>
          <w14:textFill>
            <w14:solidFill>
              <w14:schemeClr w14:val="tx1"/>
            </w14:solidFill>
          </w14:textFill>
        </w:rPr>
        <w:t>加快农村集体资产监督管理平台建设，建立健全集体资产登记、保管、使用、处置等制度。加快推进农村集体经营性资产股份合作制改革，完善农村集体产权权能，积极探索集体资产股权质押贷款办法。鼓励农村集体经济组织依法以集体经营性建设用地使用权入股、联营等形式经营农业产业，鼓励农村集体经济组织充分利用各类集体资产、生态环境和人文历史等资源发展相关产业。推进农村资源变资产、资产变资金、农民变股民，实施新型村级集体经济提升五年行动计划，探索发展壮大集体经济的有效途径。开展农民集体资产股份权益试点，积极探索赋予农民对集体资产股份占有、受益、有偿退出及抵押、担保、继承权的办法。</w:t>
      </w:r>
    </w:p>
    <w:p>
      <w:pPr>
        <w:spacing w:line="568" w:lineRule="exact"/>
        <w:ind w:firstLine="642"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完善农业支持保护制度。</w:t>
      </w:r>
      <w:r>
        <w:rPr>
          <w:rFonts w:ascii="Times New Roman" w:hAnsi="Times New Roman" w:eastAsia="仿宋_GB2312" w:cs="Times New Roman"/>
          <w:color w:val="000000" w:themeColor="text1"/>
          <w:sz w:val="32"/>
          <w:szCs w:val="32"/>
          <w14:textFill>
            <w14:solidFill>
              <w14:schemeClr w14:val="tx1"/>
            </w14:solidFill>
          </w14:textFill>
        </w:rPr>
        <w:t>加大“三农”投入力度，健全“三农”投入优先保障和稳定增长机制。进一步提高土地出让收入投入农业农村比例，确保“十四五”末达到50%以上。加快建立多层次保险体系和融资担保体系，稳步扩大水稻、生猪等主要农产品保险覆盖面，争取扩大农业大灾保险试点范围，推进稻谷完全成本保险和收入保险试点，支持发展优势特色农产品保险。全面推广农村承包地的经营权抵押贷款，探索土地收益保证贷款，加快推进林权抵押贷款、生态公益林补偿收益权质押贷款，开展订单、应收账款质押和大型农机具、农业设施抵押贷款。继续推进益阳现代农业</w:t>
      </w:r>
      <w:r>
        <w:rPr>
          <w:rFonts w:hint="eastAsia" w:ascii="Times New Roman" w:hAnsi="Times New Roman" w:eastAsia="仿宋_GB2312" w:cs="Times New Roman"/>
          <w:color w:val="000000" w:themeColor="text1"/>
          <w:sz w:val="32"/>
          <w:szCs w:val="32"/>
          <w14:textFill>
            <w14:solidFill>
              <w14:schemeClr w14:val="tx1"/>
            </w14:solidFill>
          </w14:textFill>
        </w:rPr>
        <w:t>发展与</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Times New Roman" w:hAnsi="Times New Roman" w:eastAsia="仿宋_GB2312" w:cs="Times New Roman"/>
          <w:color w:val="000000" w:themeColor="text1"/>
          <w:sz w:val="32"/>
          <w:szCs w:val="32"/>
          <w14:textFill>
            <w14:solidFill>
              <w14:schemeClr w14:val="tx1"/>
            </w14:solidFill>
          </w14:textFill>
        </w:rPr>
        <w:t>试验</w:t>
      </w:r>
      <w:r>
        <w:rPr>
          <w:rFonts w:ascii="Times New Roman" w:hAnsi="Times New Roman" w:eastAsia="仿宋_GB2312" w:cs="Times New Roman"/>
          <w:color w:val="000000" w:themeColor="text1"/>
          <w:sz w:val="32"/>
          <w:szCs w:val="32"/>
          <w14:textFill>
            <w14:solidFill>
              <w14:schemeClr w14:val="tx1"/>
            </w14:solidFill>
          </w14:textFill>
        </w:rPr>
        <w:t>。</w:t>
      </w:r>
      <w:bookmarkEnd w:id="40"/>
      <w:bookmarkEnd w:id="41"/>
      <w:bookmarkEnd w:id="42"/>
      <w:bookmarkEnd w:id="43"/>
      <w:bookmarkEnd w:id="44"/>
      <w:bookmarkEnd w:id="65"/>
      <w:bookmarkEnd w:id="66"/>
      <w:bookmarkEnd w:id="67"/>
      <w:bookmarkStart w:id="97" w:name="_Toc54615040"/>
      <w:bookmarkStart w:id="98" w:name="_Toc56783087"/>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61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99" w:name="_Toc62051604"/>
      <w:r>
        <w:rPr>
          <w:rFonts w:ascii="Times New Roman" w:hAnsi="Times New Roman" w:eastAsia="方正小标宋_GBK" w:cs="Times New Roman"/>
          <w:color w:val="000000" w:themeColor="text1"/>
          <w:sz w:val="32"/>
          <w:szCs w:val="32"/>
          <w14:textFill>
            <w14:solidFill>
              <w14:schemeClr w14:val="tx1"/>
            </w14:solidFill>
          </w14:textFill>
        </w:rPr>
        <w:t>第六篇  着力建设人与自然和谐共生的现代化新湖南</w:t>
      </w:r>
      <w:bookmarkEnd w:id="99"/>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牢固树立绿水青山就是金山银山理念，落实可持续发展战略，促进经济社会发展全面绿色转型，建设美丽湖南，成为长江经济带生态优先绿色发展主战场</w:t>
      </w:r>
      <w:r>
        <w:rPr>
          <w:rFonts w:hint="eastAsia"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切实把生态优势转化为老百姓的幸福指数。</w:t>
      </w:r>
    </w:p>
    <w:p>
      <w:pPr>
        <w:keepNext/>
        <w:keepLines/>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00" w:name="_Toc62051605"/>
      <w:r>
        <w:rPr>
          <w:rFonts w:ascii="Times New Roman" w:hAnsi="Times New Roman" w:eastAsia="黑体" w:cs="Times New Roman"/>
          <w:color w:val="000000" w:themeColor="text1"/>
          <w:sz w:val="32"/>
          <w14:textFill>
            <w14:solidFill>
              <w14:schemeClr w14:val="tx1"/>
            </w14:solidFill>
          </w14:textFill>
        </w:rPr>
        <w:t>第十九章  持续改善环境质量</w:t>
      </w:r>
      <w:bookmarkEnd w:id="100"/>
    </w:p>
    <w:p>
      <w:pPr>
        <w:spacing w:line="616" w:lineRule="exact"/>
        <w:ind w:right="210" w:rightChars="100" w:firstLine="648"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深入打好污染防治攻坚战，守护好“一江一湖四水”，统筹推进山水林田湖草系统治理，推动生态系统功能整体性提升。</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1" w:name="_Toc62051606"/>
      <w:r>
        <w:rPr>
          <w:rFonts w:ascii="Times New Roman" w:hAnsi="Times New Roman" w:eastAsia="楷体_GB2312" w:cs="Times New Roman"/>
          <w:b/>
          <w:color w:val="000000" w:themeColor="text1"/>
          <w:sz w:val="32"/>
          <w14:textFill>
            <w14:solidFill>
              <w14:schemeClr w14:val="tx1"/>
            </w14:solidFill>
          </w14:textFill>
        </w:rPr>
        <w:t>第一节  推进长江经济带突出环境问题整治</w:t>
      </w:r>
      <w:bookmarkEnd w:id="101"/>
    </w:p>
    <w:p>
      <w:pPr>
        <w:spacing w:line="616" w:lineRule="exact"/>
        <w:ind w:right="210" w:rightChars="100" w:firstLine="648"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把修复长江生态环境摆在压倒性位置，推进各类关联性、衍生性生态环境问题系统整治。坚决抓好中央生态环保督察及长江经济带生态环境警示问题整改，系统推进长江经济带化工产业污染、农业面源污染和水产养殖抗生素滥用、船舶污染、尾矿库污染、城镇污水垃圾偷排直排、耕地占补平衡政策执行偏差等突出问题整改落实。统筹推进长江干支流沿线治污治岸治渔，打好长江禁捕退捕攻坚战，接续实施长江岸线绿化工程。实施长江经济带生态环境保护专项整治行动，严守生态保护红线。</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2" w:name="_Toc62051607"/>
      <w:r>
        <w:rPr>
          <w:rFonts w:ascii="Times New Roman" w:hAnsi="Times New Roman" w:eastAsia="楷体_GB2312" w:cs="Times New Roman"/>
          <w:b/>
          <w:color w:val="000000" w:themeColor="text1"/>
          <w:sz w:val="32"/>
          <w14:textFill>
            <w14:solidFill>
              <w14:schemeClr w14:val="tx1"/>
            </w14:solidFill>
          </w14:textFill>
        </w:rPr>
        <w:t>第二节  推进水污染治理</w:t>
      </w:r>
      <w:bookmarkEnd w:id="102"/>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推进“一江一湖四水”联防联治，深化重点区域污染防治，强化河湖长制。实施洞庭湖水环境综合治理工程，控制总磷污染。深入推进湘江保护和治理，着力解决重金属超标问题，持续改善流域水环境质量。突出解决资江流域锑污染、沅水流域锰污染、澧水流域大鲵自然保护区水环境风险等问题。</w:t>
      </w:r>
      <w:r>
        <w:rPr>
          <w:rFonts w:ascii="Times New Roman" w:hAnsi="Times New Roman" w:eastAsia="仿宋_GB2312" w:cs="Times New Roman"/>
          <w:color w:val="000000" w:themeColor="text1"/>
          <w:sz w:val="32"/>
          <w14:textFill>
            <w14:solidFill>
              <w14:schemeClr w14:val="tx1"/>
            </w14:solidFill>
          </w14:textFill>
        </w:rPr>
        <w:t>推进饮用水源保护区环境专项整治，加快城乡饮用水水源规范化和达标建设，</w:t>
      </w:r>
      <w:r>
        <w:rPr>
          <w:rFonts w:ascii="Times New Roman" w:hAnsi="Times New Roman" w:eastAsia="仿宋_GB2312" w:cs="Times New Roman"/>
          <w:color w:val="000000" w:themeColor="text1"/>
          <w:sz w:val="32"/>
          <w:szCs w:val="32"/>
          <w14:textFill>
            <w14:solidFill>
              <w14:schemeClr w14:val="tx1"/>
            </w14:solidFill>
          </w14:textFill>
        </w:rPr>
        <w:t>开展地下水超采治理和污染防控，加快推进城乡黑臭水体整治。推进城镇污水管网全覆盖、提高污水收集率、推进污水资源化利用。加强城市第二水源地建设，加强水质优良湖库、河流保护，保障饮用水水源安全。到2025年，洞庭湖入湖河流控制断面水质均达到或优于</w:t>
      </w:r>
      <w:r>
        <w:rPr>
          <w:rFonts w:hint="eastAsia" w:ascii="宋体" w:hAnsi="宋体" w:eastAsia="宋体" w:cs="宋体"/>
          <w:color w:val="000000" w:themeColor="text1"/>
          <w:sz w:val="32"/>
          <w:szCs w:val="32"/>
          <w14:textFill>
            <w14:solidFill>
              <w14:schemeClr w14:val="tx1"/>
            </w14:solidFill>
          </w14:textFill>
        </w:rPr>
        <w:t>Ⅲ</w:t>
      </w:r>
      <w:r>
        <w:rPr>
          <w:rFonts w:ascii="Times New Roman" w:hAnsi="Times New Roman" w:eastAsia="仿宋_GB2312" w:cs="Times New Roman"/>
          <w:color w:val="000000" w:themeColor="text1"/>
          <w:sz w:val="32"/>
          <w:szCs w:val="32"/>
          <w14:textFill>
            <w14:solidFill>
              <w14:schemeClr w14:val="tx1"/>
            </w14:solidFill>
          </w14:textFill>
        </w:rPr>
        <w:t>类。</w:t>
      </w:r>
    </w:p>
    <w:tbl>
      <w:tblPr>
        <w:tblStyle w:val="25"/>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53" w:type="dxa"/>
            <w:shd w:val="clear" w:color="auto" w:fill="auto"/>
            <w:vAlign w:val="center"/>
          </w:tcPr>
          <w:p>
            <w:pPr>
              <w:spacing w:line="3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专栏27  洞庭湖水环境治理和保护工程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jc w:val="center"/>
        </w:trPr>
        <w:tc>
          <w:tcPr>
            <w:tcW w:w="8753" w:type="dxa"/>
            <w:shd w:val="clear" w:color="auto" w:fill="auto"/>
          </w:tcPr>
          <w:p>
            <w:pPr>
              <w:spacing w:line="360" w:lineRule="exact"/>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洞庭湖供水安全保障工程。</w:t>
            </w:r>
            <w:r>
              <w:rPr>
                <w:rFonts w:ascii="Times New Roman" w:hAnsi="Times New Roman" w:cs="Times New Roman"/>
                <w:color w:val="000000" w:themeColor="text1"/>
                <w:sz w:val="24"/>
                <w:szCs w:val="24"/>
                <w14:textFill>
                  <w14:solidFill>
                    <w14:schemeClr w14:val="tx1"/>
                  </w14:solidFill>
                </w14:textFill>
              </w:rPr>
              <w:t>实施洞庭湖四口水系综合整治工程，推进洞庭湖北部地区分片补水工程，有效解决洞庭湖北部重点区域水资源问题。实施内湖、撇洪河、塘坝清淤等综合整治工程，全面完成洞庭湖区沟渠塘坝清淤疏浚专项行动。推进城乡一体化供水工程，完善城市供水设施体系，巩固提升农村饮水安全。</w:t>
            </w:r>
          </w:p>
          <w:p>
            <w:pPr>
              <w:spacing w:line="360" w:lineRule="exact"/>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洞庭湖水污染防治工程。</w:t>
            </w:r>
            <w:r>
              <w:rPr>
                <w:rFonts w:ascii="Times New Roman" w:hAnsi="Times New Roman" w:cs="Times New Roman"/>
                <w:color w:val="000000" w:themeColor="text1"/>
                <w:sz w:val="24"/>
                <w:szCs w:val="24"/>
                <w14:textFill>
                  <w14:solidFill>
                    <w14:schemeClr w14:val="tx1"/>
                  </w14:solidFill>
                </w14:textFill>
              </w:rPr>
              <w:t>实施洞庭湖生活污染治理工程，实现乡镇污水处理设施覆盖率达90%，乡村垃圾收集处理覆盖率达100%。实施工业点源污染治理工程，实现工业污染源全面达标排放。实施农业面源污染防治工程，到2025年，化肥农药使用量在2020年基础上保持零增长。</w:t>
            </w:r>
          </w:p>
          <w:p>
            <w:pPr>
              <w:spacing w:line="360" w:lineRule="exact"/>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洞庭湖水生态保护与修复工程。</w:t>
            </w:r>
            <w:r>
              <w:rPr>
                <w:rFonts w:ascii="Times New Roman" w:hAnsi="Times New Roman" w:cs="Times New Roman"/>
                <w:color w:val="000000" w:themeColor="text1"/>
                <w:sz w:val="24"/>
                <w:szCs w:val="24"/>
                <w14:textFill>
                  <w14:solidFill>
                    <w14:schemeClr w14:val="tx1"/>
                  </w14:solidFill>
                </w14:textFill>
              </w:rPr>
              <w:t>加强生态水网建设，实施洞庭湖四口水系地区、东洞庭湖城区连通片、湘资尾闾片、沅江市城区五湖连通片、沅澧地区和松澧地区等6大片区水网连通工程。强化河湖和湿地生态系统保护，加快实施国家湿地保护和恢复工程、三峡后续项目、退耕还湿、洞庭湖GEF湿地生物多样性保护项目，对区域内面积1平方公里以上的内湖进行生态修复。</w:t>
            </w:r>
          </w:p>
          <w:p>
            <w:pPr>
              <w:spacing w:line="360" w:lineRule="exact"/>
              <w:ind w:firstLine="482"/>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洞庭湖绿色发展工程。</w:t>
            </w:r>
            <w:r>
              <w:rPr>
                <w:rFonts w:ascii="Times New Roman" w:hAnsi="Times New Roman" w:cs="Times New Roman"/>
                <w:color w:val="000000" w:themeColor="text1"/>
                <w:sz w:val="24"/>
                <w:szCs w:val="24"/>
                <w14:textFill>
                  <w14:solidFill>
                    <w14:schemeClr w14:val="tx1"/>
                  </w14:solidFill>
                </w14:textFill>
              </w:rPr>
              <w:t>加快发展现代农业，实施湘米产业工程、优质粮油工程、绿色有机食品示范基地建设等工程，推动洞庭湖区成为“两品一标”农产品主产区。加快传统产业转型升级，吸引先进制造业整链转移，培育发展高端装备制造、电子信息、节能环保等新兴产业和现代服务业。依托城陵矶等口岸平台，加快发展港口经济，加快建成对接长三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珠三角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面向海内外的现代物流集散区。大力发展特色文旅，实施高等级旅游景区建设、全域旅游示范区创建、乡村旅游重点村建设等工程，构建环湖生态文化旅游圈，建设“天下洞庭”旅游品牌，打造环洞庭湖区精品旅游线路和旅游产业带。</w:t>
            </w:r>
          </w:p>
        </w:tc>
      </w:tr>
    </w:tbl>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3" w:name="_Toc62051608"/>
      <w:r>
        <w:rPr>
          <w:rFonts w:ascii="Times New Roman" w:hAnsi="Times New Roman" w:eastAsia="楷体_GB2312" w:cs="Times New Roman"/>
          <w:b/>
          <w:color w:val="000000" w:themeColor="text1"/>
          <w:sz w:val="32"/>
          <w14:textFill>
            <w14:solidFill>
              <w14:schemeClr w14:val="tx1"/>
            </w14:solidFill>
          </w14:textFill>
        </w:rPr>
        <w:t>第三节  推进土壤污染治理</w:t>
      </w:r>
      <w:bookmarkEnd w:id="103"/>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推进重点区域治理修复。</w:t>
      </w:r>
      <w:r>
        <w:rPr>
          <w:rFonts w:ascii="Times New Roman" w:hAnsi="Times New Roman" w:eastAsia="仿宋_GB2312" w:cs="Times New Roman"/>
          <w:bCs/>
          <w:color w:val="000000" w:themeColor="text1"/>
          <w:sz w:val="32"/>
          <w:szCs w:val="32"/>
          <w14:textFill>
            <w14:solidFill>
              <w14:schemeClr w14:val="tx1"/>
            </w14:solidFill>
          </w14:textFill>
        </w:rPr>
        <w:t>保护农用地土壤环境，</w:t>
      </w:r>
      <w:r>
        <w:rPr>
          <w:rFonts w:ascii="Times New Roman" w:hAnsi="Times New Roman" w:eastAsia="仿宋_GB2312" w:cs="Times New Roman"/>
          <w:color w:val="000000" w:themeColor="text1"/>
          <w:sz w:val="32"/>
          <w:szCs w:val="32"/>
          <w14:textFill>
            <w14:solidFill>
              <w14:schemeClr w14:val="tx1"/>
            </w14:solidFill>
          </w14:textFill>
        </w:rPr>
        <w:t>建立涉重金属企业环境风险隐患排查和治理制度，强化农用地分类管理，精准开展污染耕地源头管控和安全利用。</w:t>
      </w:r>
      <w:r>
        <w:rPr>
          <w:rFonts w:ascii="Times New Roman" w:hAnsi="Times New Roman" w:eastAsia="仿宋_GB2312" w:cs="Times New Roman"/>
          <w:bCs/>
          <w:color w:val="000000" w:themeColor="text1"/>
          <w:sz w:val="32"/>
          <w:szCs w:val="32"/>
          <w14:textFill>
            <w14:solidFill>
              <w14:schemeClr w14:val="tx1"/>
            </w14:solidFill>
          </w14:textFill>
        </w:rPr>
        <w:t>严格建设用地风险管控</w:t>
      </w:r>
      <w:r>
        <w:rPr>
          <w:rFonts w:ascii="Times New Roman" w:hAnsi="Times New Roman" w:eastAsia="仿宋_GB2312" w:cs="Times New Roman"/>
          <w:color w:val="000000" w:themeColor="text1"/>
          <w:sz w:val="32"/>
          <w:szCs w:val="32"/>
          <w14:textFill>
            <w14:solidFill>
              <w14:schemeClr w14:val="tx1"/>
            </w14:solidFill>
          </w14:textFill>
        </w:rPr>
        <w:t>和污染地块准入，加强受污染地块监督管理，合理确定地块用途。</w:t>
      </w:r>
      <w:r>
        <w:rPr>
          <w:rFonts w:ascii="Times New Roman" w:hAnsi="Times New Roman" w:eastAsia="仿宋_GB2312" w:cs="Times New Roman"/>
          <w:bCs/>
          <w:color w:val="000000" w:themeColor="text1"/>
          <w:sz w:val="32"/>
          <w:szCs w:val="32"/>
          <w14:textFill>
            <w14:solidFill>
              <w14:schemeClr w14:val="tx1"/>
            </w14:solidFill>
          </w14:textFill>
        </w:rPr>
        <w:t>实施土壤污染修复工程</w:t>
      </w:r>
      <w:r>
        <w:rPr>
          <w:rFonts w:ascii="Times New Roman" w:hAnsi="Times New Roman" w:eastAsia="仿宋_GB2312" w:cs="Times New Roman"/>
          <w:color w:val="000000" w:themeColor="text1"/>
          <w:sz w:val="32"/>
          <w:szCs w:val="32"/>
          <w14:textFill>
            <w14:solidFill>
              <w14:schemeClr w14:val="tx1"/>
            </w14:solidFill>
          </w14:textFill>
        </w:rPr>
        <w:t>，持续推进重点区域土壤治理修复，开展土壤污染防治先行区建设。推进矿业转型发展和绿色矿山建设，加强废弃矿山和尾矿库污染防治，推动郴州市、花垣县国家级绿色矿业发展示范区建设。</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防治一般固体废物污染。</w:t>
      </w:r>
      <w:r>
        <w:rPr>
          <w:rFonts w:ascii="Times New Roman" w:hAnsi="Times New Roman" w:eastAsia="仿宋_GB2312" w:cs="Times New Roman"/>
          <w:color w:val="000000" w:themeColor="text1"/>
          <w:sz w:val="32"/>
          <w:szCs w:val="32"/>
          <w14:textFill>
            <w14:solidFill>
              <w14:schemeClr w14:val="tx1"/>
            </w14:solidFill>
          </w14:textFill>
        </w:rPr>
        <w:t>健全回收利用体系，建设城乡生活垃圾分类配套体系，加快建立保本微利的生活垃圾处理收费机制，推动建立全民参与共治体系。到2025年，全省地级城市基本建成生活垃圾分类处理系统。加强白色污染治理，严格塑料制品禁限管理，推进可降解塑料原料、制品及替代品的研发生产，推动塑料废弃物的回收利用和安全环保处置。重视和推进新污染物治理。</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0"/>
          <w:sz w:val="32"/>
          <w:szCs w:val="32"/>
          <w14:textFill>
            <w14:solidFill>
              <w14:schemeClr w14:val="tx1"/>
            </w14:solidFill>
          </w14:textFill>
        </w:rPr>
        <w:t>防治危险固体废物污染。</w:t>
      </w:r>
      <w:r>
        <w:rPr>
          <w:rFonts w:ascii="Times New Roman" w:hAnsi="Times New Roman" w:eastAsia="仿宋_GB2312" w:cs="Times New Roman"/>
          <w:color w:val="000000" w:themeColor="text1"/>
          <w:sz w:val="32"/>
          <w:szCs w:val="32"/>
          <w14:textFill>
            <w14:solidFill>
              <w14:schemeClr w14:val="tx1"/>
            </w14:solidFill>
          </w14:textFill>
        </w:rPr>
        <w:t>做好重金属、电子垃圾、危险化学品、持久性有机污染物等危险废物污染防治工作，强化放射源安全管理。推动市州医疗废物处置能力建设，促进医疗废物收转运集中处置体系向乡村医疗卫生机构延伸。推行废弃电池、快递包装等新型污染源生产者责任延伸制度，建设一批集中焚烧填埋为主、水泥窑协同为辅的危险废物处理设施，鼓励园区、企业开展无害化处理设施建设。严厉打击超期贮存、非法转移、处置危险废物的违法犯罪行为。到2025年，危险废物无害化处理率达到100%。</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4" w:name="_Toc62051609"/>
      <w:r>
        <w:rPr>
          <w:rFonts w:ascii="Times New Roman" w:hAnsi="Times New Roman" w:eastAsia="楷体_GB2312" w:cs="Times New Roman"/>
          <w:b/>
          <w:color w:val="000000" w:themeColor="text1"/>
          <w:sz w:val="32"/>
          <w14:textFill>
            <w14:solidFill>
              <w14:schemeClr w14:val="tx1"/>
            </w14:solidFill>
          </w14:textFill>
        </w:rPr>
        <w:t>第四节  推进大气污染治理</w:t>
      </w:r>
      <w:bookmarkEnd w:id="104"/>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强化污染物排放控制。</w:t>
      </w:r>
      <w:r>
        <w:rPr>
          <w:rFonts w:ascii="Times New Roman" w:hAnsi="Times New Roman" w:eastAsia="仿宋_GB2312" w:cs="Times New Roman"/>
          <w:color w:val="000000" w:themeColor="text1"/>
          <w:sz w:val="32"/>
          <w:szCs w:val="32"/>
          <w14:textFill>
            <w14:solidFill>
              <w14:schemeClr w14:val="tx1"/>
            </w14:solidFill>
          </w14:textFill>
        </w:rPr>
        <w:t>加强PM</w:t>
      </w:r>
      <w:r>
        <w:rPr>
          <w:rFonts w:ascii="Times New Roman" w:hAnsi="Times New Roman" w:eastAsia="仿宋_GB2312" w:cs="Times New Roman"/>
          <w:color w:val="000000" w:themeColor="text1"/>
          <w:sz w:val="32"/>
          <w:szCs w:val="32"/>
          <w:vertAlign w:val="subscript"/>
          <w14:textFill>
            <w14:solidFill>
              <w14:schemeClr w14:val="tx1"/>
            </w14:solidFill>
          </w14:textFill>
        </w:rPr>
        <w:t>2.5</w:t>
      </w:r>
      <w:r>
        <w:rPr>
          <w:rFonts w:ascii="Times New Roman" w:hAnsi="Times New Roman" w:eastAsia="仿宋_GB2312" w:cs="Times New Roman"/>
          <w:color w:val="000000" w:themeColor="text1"/>
          <w:sz w:val="32"/>
          <w:szCs w:val="32"/>
          <w14:textFill>
            <w14:solidFill>
              <w14:schemeClr w14:val="tx1"/>
            </w14:solidFill>
          </w14:textFill>
        </w:rPr>
        <w:t>和臭氧协同控制、氮氧化物和挥发性有机物协同减排。持续推进钢铁、建材、石化等重点行业清洁生产水平提升，开展锅炉与工业炉窑深度治理，重点推进砖瓦行业治理设施升级改造、水泥行业氮氧化物减排、钢铁行业超低排放改造。打好柴油货车污染防治攻坚战，推进老旧柴油车淘汰，加快推广清洁油品和新能源汽车，加大黑加油站点和劣质柴油打击力度，加强船舶大气污染控制。到2025年，基本完成老旧汽油车辆及80%老旧柴油车辆淘汰。强化扬尘污染治理精细化管控。实施县级以上城市餐饮油烟治理全覆盖。推进秸秆资源化利用，禁止露天焚烧秸秆。</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强化区域联防联控。</w:t>
      </w:r>
      <w:r>
        <w:rPr>
          <w:rFonts w:ascii="Times New Roman" w:hAnsi="Times New Roman" w:eastAsia="仿宋_GB2312" w:cs="Times New Roman"/>
          <w:color w:val="000000" w:themeColor="text1"/>
          <w:sz w:val="32"/>
          <w:szCs w:val="32"/>
          <w14:textFill>
            <w14:solidFill>
              <w14:schemeClr w14:val="tx1"/>
            </w14:solidFill>
          </w14:textFill>
        </w:rPr>
        <w:t>加强长株潭及传输通道城市大气污染防治，健全大气特护期联防联控机制，建立健全重污染天气应急预案，实施应急减排清单化管理，基本消除重污染天气。</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5" w:name="_Toc62051610"/>
      <w:r>
        <w:rPr>
          <w:rFonts w:ascii="Times New Roman" w:hAnsi="Times New Roman" w:eastAsia="楷体_GB2312" w:cs="Times New Roman"/>
          <w:b/>
          <w:color w:val="000000" w:themeColor="text1"/>
          <w:sz w:val="32"/>
          <w14:textFill>
            <w14:solidFill>
              <w14:schemeClr w14:val="tx1"/>
            </w14:solidFill>
          </w14:textFill>
        </w:rPr>
        <w:t>第五节  加强生态系统保护</w:t>
      </w:r>
      <w:bookmarkEnd w:id="105"/>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推进山水林田湖草生态保护修复。</w:t>
      </w:r>
      <w:r>
        <w:rPr>
          <w:rFonts w:ascii="Times New Roman" w:hAnsi="Times New Roman" w:eastAsia="仿宋_GB2312" w:cs="Times New Roman"/>
          <w:color w:val="000000" w:themeColor="text1"/>
          <w:sz w:val="32"/>
          <w:szCs w:val="32"/>
          <w14:textFill>
            <w14:solidFill>
              <w14:schemeClr w14:val="tx1"/>
            </w14:solidFill>
          </w14:textFill>
        </w:rPr>
        <w:t>逐步构建形成以国家公园为主体、自然保护区为基础、各类自然公园为补充的自然保护地分类体系。开展国土绿化行动，推行林长制，完善天然林保护制度，推进森林城市建设。推行草原森林河流湖泊休养生息，保护湿地和河湖生态系统，维持河湖生态流量（水位），加强湿地自然保护区、湿地公园建设。严格河湖水域岸线保护，建立涉水空间管控制度，优化拦河水利工程管控和整治，加强水土流失综合治理，巩固拓展退耕还林还湿成果。持续推进矿业秩序整治，加大矿山地质环境治理，推进矿业转型绿色发展。到2025年，湿地保护率稳定在72%以上，历史遗留矿山土地复垦率达60%以上。</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保护生物多样性。</w:t>
      </w:r>
      <w:r>
        <w:rPr>
          <w:rFonts w:ascii="Times New Roman" w:hAnsi="Times New Roman" w:eastAsia="仿宋_GB2312" w:cs="Times New Roman"/>
          <w:color w:val="000000" w:themeColor="text1"/>
          <w:sz w:val="32"/>
          <w:szCs w:val="32"/>
          <w14:textFill>
            <w14:solidFill>
              <w14:schemeClr w14:val="tx1"/>
            </w14:solidFill>
          </w14:textFill>
        </w:rPr>
        <w:t>实施生物多样性保护工程，加强特有濒危物种、极小种群、重要野生动植物及栖息地保护与修复，加强珍贵物种遗传资源保护和培育，严格外来物种引入管理。严禁非法捕杀、交易、食用野生动物。开展生态系统保护成效监测评估。</w:t>
      </w:r>
    </w:p>
    <w:p>
      <w:pPr>
        <w:pStyle w:val="44"/>
        <w:spacing w:line="568" w:lineRule="exact"/>
        <w:ind w:firstLine="634" w:firstLineChars="200"/>
        <w:jc w:val="both"/>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强化生态功能区建设。</w:t>
      </w:r>
      <w:r>
        <w:rPr>
          <w:rFonts w:ascii="Times New Roman" w:hAnsi="Times New Roman" w:eastAsia="仿宋_GB2312" w:cs="Times New Roman"/>
          <w:color w:val="000000" w:themeColor="text1"/>
          <w:spacing w:val="-2"/>
          <w:sz w:val="32"/>
          <w14:textFill>
            <w14:solidFill>
              <w14:schemeClr w14:val="tx1"/>
            </w14:solidFill>
          </w14:textFill>
        </w:rPr>
        <w:t>推进长株潭都市圈生态绿心保护，</w:t>
      </w:r>
      <w:r>
        <w:rPr>
          <w:rFonts w:ascii="Times New Roman" w:hAnsi="Times New Roman" w:eastAsia="仿宋_GB2312" w:cs="Times New Roman"/>
          <w:color w:val="000000" w:themeColor="text1"/>
          <w:spacing w:val="-2"/>
          <w:sz w:val="32"/>
          <w:szCs w:val="32"/>
          <w14:textFill>
            <w14:solidFill>
              <w14:schemeClr w14:val="tx1"/>
            </w14:solidFill>
          </w14:textFill>
        </w:rPr>
        <w:t>实施生态修复、林相改造、环境整治等工程，健全分区管控、项目准入和监测监管等机制。</w:t>
      </w:r>
      <w:r>
        <w:rPr>
          <w:rFonts w:ascii="Times New Roman" w:hAnsi="Times New Roman" w:eastAsia="仿宋_GB2312" w:cs="Times New Roman"/>
          <w:color w:val="000000" w:themeColor="text1"/>
          <w:spacing w:val="-2"/>
          <w:sz w:val="32"/>
          <w14:textFill>
            <w14:solidFill>
              <w14:schemeClr w14:val="tx1"/>
            </w14:solidFill>
          </w14:textFill>
        </w:rPr>
        <w:t>实施洞庭湖生态经济区生态保护修复工程，</w:t>
      </w:r>
      <w:r>
        <w:rPr>
          <w:rFonts w:ascii="Times New Roman" w:hAnsi="Times New Roman" w:eastAsia="仿宋_GB2312" w:cs="Times New Roman"/>
          <w:color w:val="000000" w:themeColor="text1"/>
          <w:spacing w:val="-2"/>
          <w:sz w:val="32"/>
          <w:szCs w:val="32"/>
          <w14:textFill>
            <w14:solidFill>
              <w14:schemeClr w14:val="tx1"/>
            </w14:solidFill>
          </w14:textFill>
        </w:rPr>
        <w:t>增强湖体保护区、控制开发区、生态涵养带、集约开发区等四大区域功能。</w:t>
      </w:r>
      <w:r>
        <w:rPr>
          <w:rFonts w:ascii="Times New Roman" w:hAnsi="Times New Roman" w:eastAsia="仿宋_GB2312" w:cs="Times New Roman"/>
          <w:color w:val="000000" w:themeColor="text1"/>
          <w:spacing w:val="-2"/>
          <w:sz w:val="32"/>
          <w14:textFill>
            <w14:solidFill>
              <w14:schemeClr w14:val="tx1"/>
            </w14:solidFill>
          </w14:textFill>
        </w:rPr>
        <w:t>推进南岭生态功能区建设，</w:t>
      </w:r>
      <w:r>
        <w:rPr>
          <w:rFonts w:ascii="Times New Roman" w:hAnsi="Times New Roman" w:eastAsia="仿宋_GB2312" w:cs="Times New Roman"/>
          <w:color w:val="000000" w:themeColor="text1"/>
          <w:spacing w:val="-2"/>
          <w:sz w:val="32"/>
          <w:szCs w:val="32"/>
          <w14:textFill>
            <w14:solidFill>
              <w14:schemeClr w14:val="tx1"/>
            </w14:solidFill>
          </w14:textFill>
        </w:rPr>
        <w:t>重点实施退耕还林、湿地保护与恢复、矿山植被恢复、水源涵养等生态工程，</w:t>
      </w:r>
      <w:r>
        <w:rPr>
          <w:rFonts w:ascii="Times New Roman" w:hAnsi="Times New Roman" w:eastAsia="仿宋_GB2312" w:cs="Times New Roman"/>
          <w:color w:val="000000" w:themeColor="text1"/>
          <w:spacing w:val="-2"/>
          <w:sz w:val="32"/>
          <w14:textFill>
            <w14:solidFill>
              <w14:schemeClr w14:val="tx1"/>
            </w14:solidFill>
          </w14:textFill>
        </w:rPr>
        <w:t>维系山地森林及生物多样性</w:t>
      </w:r>
      <w:r>
        <w:rPr>
          <w:rFonts w:ascii="Times New Roman" w:hAnsi="Times New Roman" w:eastAsia="仿宋_GB2312" w:cs="Times New Roman"/>
          <w:color w:val="000000" w:themeColor="text1"/>
          <w:spacing w:val="-2"/>
          <w:sz w:val="32"/>
          <w:szCs w:val="32"/>
          <w14:textFill>
            <w14:solidFill>
              <w14:schemeClr w14:val="tx1"/>
            </w14:solidFill>
          </w14:textFill>
        </w:rPr>
        <w:t>。推</w:t>
      </w:r>
      <w:r>
        <w:rPr>
          <w:rFonts w:ascii="Times New Roman" w:hAnsi="Times New Roman" w:eastAsia="仿宋_GB2312" w:cs="Times New Roman"/>
          <w:color w:val="000000" w:themeColor="text1"/>
          <w:spacing w:val="-2"/>
          <w:sz w:val="32"/>
          <w14:textFill>
            <w14:solidFill>
              <w14:schemeClr w14:val="tx1"/>
            </w14:solidFill>
          </w14:textFill>
        </w:rPr>
        <w:t>进武陵山生态功能区建设，</w:t>
      </w:r>
      <w:r>
        <w:rPr>
          <w:rFonts w:ascii="Times New Roman" w:hAnsi="Times New Roman" w:eastAsia="仿宋_GB2312" w:cs="Times New Roman"/>
          <w:color w:val="000000" w:themeColor="text1"/>
          <w:spacing w:val="-2"/>
          <w:sz w:val="32"/>
          <w:szCs w:val="32"/>
          <w14:textFill>
            <w14:solidFill>
              <w14:schemeClr w14:val="tx1"/>
            </w14:solidFill>
          </w14:textFill>
        </w:rPr>
        <w:t>构建武陵山、雪峰山“两山”生态涵养带，沅江、资江、澧水“三江”生态保护带，强化水土流失和石漠化综合治理，增强区域水土保持能力。</w:t>
      </w:r>
    </w:p>
    <w:tbl>
      <w:tblPr>
        <w:tblStyle w:val="25"/>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989" w:type="dxa"/>
            <w:shd w:val="clear" w:color="auto" w:fill="auto"/>
            <w:vAlign w:val="center"/>
          </w:tcPr>
          <w:p>
            <w:pPr>
              <w:tabs>
                <w:tab w:val="center" w:pos="4153"/>
                <w:tab w:val="right" w:pos="8306"/>
              </w:tabs>
              <w:snapToGrid w:val="0"/>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专栏28  生态环境治理与保护行动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989" w:type="dxa"/>
            <w:shd w:val="clear" w:color="auto" w:fill="auto"/>
          </w:tcPr>
          <w:p>
            <w:pPr>
              <w:spacing w:line="36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湘资沅澧四水总磷污染防控与生态修复工程。</w:t>
            </w:r>
            <w:r>
              <w:rPr>
                <w:rFonts w:ascii="Times New Roman" w:hAnsi="Times New Roman" w:cs="Times New Roman"/>
                <w:color w:val="000000" w:themeColor="text1"/>
                <w:sz w:val="24"/>
                <w:szCs w:val="24"/>
                <w14:textFill>
                  <w14:solidFill>
                    <w14:schemeClr w14:val="tx1"/>
                  </w14:solidFill>
                </w14:textFill>
              </w:rPr>
              <w:t>继续强化城乡生活污水收集处理，补齐治理短板。实施养殖污染整治工程，落实化肥、农药负增长行动，加大畜禽粪污资源化利用，强化水产养殖尾水污染防治。实施湘资沅澧四水干流及重要支流绿环建设工程，提升环境自净能力。强化水质较好湖库和水系源头区域环境保护，积极创建美丽河湖。</w:t>
            </w:r>
            <w:r>
              <w:rPr>
                <w:rFonts w:ascii="Times New Roman" w:hAnsi="Times New Roman" w:cs="Times New Roman"/>
                <w:color w:val="000000" w:themeColor="text1"/>
                <w:sz w:val="24"/>
                <w:szCs w:val="24"/>
                <w:lang w:val="zh-CN"/>
                <w14:textFill>
                  <w14:solidFill>
                    <w14:schemeClr w14:val="tx1"/>
                  </w14:solidFill>
                </w14:textFill>
              </w:rPr>
              <w:t>强化地下水环境质量管控，开展地下水污染防治试点，</w:t>
            </w:r>
            <w:r>
              <w:rPr>
                <w:rFonts w:ascii="Times New Roman" w:hAnsi="Times New Roman" w:cs="Times New Roman"/>
                <w:color w:val="000000" w:themeColor="text1"/>
                <w:sz w:val="24"/>
                <w:szCs w:val="24"/>
                <w14:textFill>
                  <w14:solidFill>
                    <w14:schemeClr w14:val="tx1"/>
                  </w14:solidFill>
                </w14:textFill>
              </w:rPr>
              <w:t>推进再生水循环利用工程，削减四水流域总磷入洞庭湖总量，建设水清、河畅、岸绿的生态水网。</w:t>
            </w:r>
          </w:p>
          <w:p>
            <w:pPr>
              <w:spacing w:line="360" w:lineRule="exact"/>
              <w:ind w:firstLine="481"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土壤污染治理工程。</w:t>
            </w:r>
            <w:r>
              <w:rPr>
                <w:rFonts w:ascii="Times New Roman" w:hAnsi="Times New Roman" w:cs="Times New Roman"/>
                <w:color w:val="000000" w:themeColor="text1"/>
                <w:sz w:val="24"/>
                <w:szCs w:val="24"/>
                <w:lang w:val="zh-CN"/>
                <w14:textFill>
                  <w14:solidFill>
                    <w14:schemeClr w14:val="tx1"/>
                  </w14:solidFill>
                </w14:textFill>
              </w:rPr>
              <w:t>开展土壤环境状况调查、风险评估，完善土壤环境质量监测网络。推进农用地分类管理，实施受污染耕地安全利用和严格管控工程，推进长株潭受污染耕地修复治理示范。实施土壤污染风险管控与修复工程，对历史遗留土壤污染源进行整治和风险管控，对受污染的再开发利用建设用地进行修复治理。推动工矿区历史遗留废渣风险管控和治理修复，开展化工园区周边等重点污染区域风险排查及管控修复。</w:t>
            </w:r>
          </w:p>
          <w:p>
            <w:pPr>
              <w:spacing w:line="360" w:lineRule="exact"/>
              <w:ind w:firstLine="481"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生活垃圾分类行动。</w:t>
            </w:r>
            <w:r>
              <w:rPr>
                <w:rFonts w:ascii="Times New Roman" w:hAnsi="Times New Roman" w:cs="Times New Roman"/>
                <w:color w:val="000000" w:themeColor="text1"/>
                <w:sz w:val="24"/>
                <w:szCs w:val="24"/>
                <w:lang w:val="zh-CN"/>
                <w14:textFill>
                  <w14:solidFill>
                    <w14:schemeClr w14:val="tx1"/>
                  </w14:solidFill>
                </w14:textFill>
              </w:rPr>
              <w:t>根据生活垃圾不同处置方式要求，实施源头减量行动，促进生活垃圾减量和资源化利用。推进分类投放，确保有害垃圾、大件垃圾等单独分类、独立处理。完善配套分类运输体系，加快末端处置设施建设，实现垃圾减量化、资源化、无害化。</w:t>
            </w:r>
          </w:p>
          <w:p>
            <w:pPr>
              <w:spacing w:line="360" w:lineRule="exact"/>
              <w:ind w:firstLine="481"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塑料污染治理工程</w:t>
            </w:r>
            <w:r>
              <w:rPr>
                <w:rFonts w:ascii="Times New Roman" w:hAnsi="Times New Roman" w:cs="Times New Roman"/>
                <w:color w:val="000000" w:themeColor="text1"/>
                <w:sz w:val="24"/>
                <w:szCs w:val="24"/>
                <w:lang w:val="zh-CN"/>
                <w14:textFill>
                  <w14:solidFill>
                    <w14:schemeClr w14:val="tx1"/>
                  </w14:solidFill>
                </w14:textFill>
              </w:rPr>
              <w:t>。围绕塑料制品的产销用收各环节，推进源头管控，禁止生产、销售不合规塑料制品，禁止使用不可降解塑料袋，</w:t>
            </w:r>
            <w:r>
              <w:rPr>
                <w:rFonts w:ascii="Times New Roman" w:hAnsi="Times New Roman" w:cs="Times New Roman"/>
                <w:color w:val="000000" w:themeColor="text1"/>
                <w:sz w:val="24"/>
                <w:szCs w:val="24"/>
                <w14:textFill>
                  <w14:solidFill>
                    <w14:schemeClr w14:val="tx1"/>
                  </w14:solidFill>
                </w14:textFill>
              </w:rPr>
              <w:t>农用地膜基本实现全回收。推广应用替代产品和模式，</w:t>
            </w:r>
            <w:r>
              <w:rPr>
                <w:rFonts w:ascii="Times New Roman" w:hAnsi="Times New Roman" w:cs="Times New Roman"/>
                <w:color w:val="000000" w:themeColor="text1"/>
                <w:sz w:val="24"/>
                <w:szCs w:val="24"/>
                <w:lang w:val="zh-CN"/>
                <w14:textFill>
                  <w14:solidFill>
                    <w14:schemeClr w14:val="tx1"/>
                  </w14:solidFill>
                </w14:textFill>
              </w:rPr>
              <w:t>推动可降解塑料制品及替代产品研发生产，实施传统塑料企业转型升级及绿色化改造，推行绿色供应链。强化塑料废弃物回收利用和处置，构建绿色包装及废弃物物流，建设专业化回收利用处置设施，实施一批示范工程。</w:t>
            </w:r>
          </w:p>
          <w:p>
            <w:pPr>
              <w:spacing w:line="360" w:lineRule="exact"/>
              <w:ind w:firstLine="481" w:firstLineChars="200"/>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山水林田湖草生态保护与修复工程。</w:t>
            </w:r>
            <w:r>
              <w:rPr>
                <w:rFonts w:ascii="Times New Roman" w:hAnsi="Times New Roman" w:cs="Times New Roman"/>
                <w:color w:val="000000" w:themeColor="text1"/>
                <w:sz w:val="24"/>
                <w:szCs w:val="24"/>
                <w:lang w:val="zh-CN"/>
                <w14:textFill>
                  <w14:solidFill>
                    <w14:schemeClr w14:val="tx1"/>
                  </w14:solidFill>
                </w14:textFill>
              </w:rPr>
              <w:t>实施自然保护地、湿地、国家储备林、重点防护林、天然林（公益林）、古树名木等保护修复工程，推进</w:t>
            </w:r>
            <w:r>
              <w:rPr>
                <w:rFonts w:ascii="Times New Roman" w:hAnsi="Times New Roman" w:cs="Times New Roman"/>
                <w:color w:val="000000" w:themeColor="text1"/>
                <w:sz w:val="24"/>
                <w:szCs w:val="24"/>
                <w14:textFill>
                  <w14:solidFill>
                    <w14:schemeClr w14:val="tx1"/>
                  </w14:solidFill>
                </w14:textFill>
              </w:rPr>
              <w:t>水土保持生态建设工程与矿山生态修复工程，</w:t>
            </w:r>
            <w:r>
              <w:rPr>
                <w:rFonts w:ascii="Times New Roman" w:hAnsi="Times New Roman" w:cs="Times New Roman"/>
                <w:color w:val="000000" w:themeColor="text1"/>
                <w:sz w:val="24"/>
                <w:szCs w:val="24"/>
                <w:lang w:val="zh-CN"/>
                <w14:textFill>
                  <w14:solidFill>
                    <w14:schemeClr w14:val="tx1"/>
                  </w14:solidFill>
                </w14:textFill>
              </w:rPr>
              <w:t>实施长江干流（湖南段）及洞庭湖生态经济区、长株潭生态绿心、</w:t>
            </w:r>
            <w:r>
              <w:rPr>
                <w:rFonts w:ascii="Times New Roman" w:hAnsi="Times New Roman" w:cs="Times New Roman"/>
                <w:color w:val="000000" w:themeColor="text1"/>
                <w:sz w:val="24"/>
                <w:szCs w:val="24"/>
                <w14:textFill>
                  <w14:solidFill>
                    <w14:schemeClr w14:val="tx1"/>
                  </w14:solidFill>
                </w14:textFill>
              </w:rPr>
              <w:t>武陵山片区、南岭多金属矿区山水林田湖草生态保护修复工程。</w:t>
            </w:r>
          </w:p>
          <w:p>
            <w:pPr>
              <w:spacing w:line="360" w:lineRule="exact"/>
              <w:ind w:firstLine="481" w:firstLineChars="200"/>
              <w:jc w:val="left"/>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生物多样性保护工程。</w:t>
            </w:r>
            <w:r>
              <w:rPr>
                <w:rFonts w:ascii="Times New Roman" w:hAnsi="Times New Roman" w:cs="Times New Roman"/>
                <w:color w:val="000000" w:themeColor="text1"/>
                <w:sz w:val="24"/>
                <w:szCs w:val="24"/>
                <w14:textFill>
                  <w14:solidFill>
                    <w14:schemeClr w14:val="tx1"/>
                  </w14:solidFill>
                </w14:textFill>
              </w:rPr>
              <w:t>实施生物多样性调查、评估与监测工程。实施生态廊道建设工程，提升生态系统质量和稳定性。实施生物多样性就地、迁地保护工程，全面完成自然保护地整合优化，开展自然保护区规范化建设。加强原生动植物保护，稳定和扩大栖息地。加强国际关注物种、国家重点保护物种、湖南省特有稀有物种和关键物种保护。实施外来物种入侵防范与应对工程，建设外来入侵物种生物防控基地和农业野生植物原生境保护区在线预警监控系统，消除入侵物种威胁。实施生物多样性保护宣传与教育工程。</w:t>
            </w:r>
          </w:p>
        </w:tc>
      </w:tr>
    </w:tbl>
    <w:p>
      <w:pPr>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06" w:name="_Toc62051611"/>
      <w:r>
        <w:rPr>
          <w:rFonts w:ascii="Times New Roman" w:hAnsi="Times New Roman" w:eastAsia="黑体" w:cs="Times New Roman"/>
          <w:color w:val="000000" w:themeColor="text1"/>
          <w:sz w:val="32"/>
          <w14:textFill>
            <w14:solidFill>
              <w14:schemeClr w14:val="tx1"/>
            </w14:solidFill>
          </w14:textFill>
        </w:rPr>
        <w:t>第二十章  大力推动绿色发展</w:t>
      </w:r>
      <w:bookmarkEnd w:id="106"/>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发展循环低碳经济，推行绿色生产，</w:t>
      </w:r>
      <w:r>
        <w:rPr>
          <w:rFonts w:ascii="Times New Roman" w:hAnsi="Times New Roman" w:eastAsia="仿宋_GB2312" w:cs="Times New Roman"/>
          <w:color w:val="000000" w:themeColor="text1"/>
          <w:sz w:val="32"/>
          <w:szCs w:val="32"/>
          <w14:textFill>
            <w14:solidFill>
              <w14:schemeClr w14:val="tx1"/>
            </w14:solidFill>
          </w14:textFill>
        </w:rPr>
        <w:t>倡导绿色生活方式和消费模式。</w:t>
      </w:r>
    </w:p>
    <w:p>
      <w:pPr>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7" w:name="_Toc62051612"/>
      <w:r>
        <w:rPr>
          <w:rFonts w:ascii="Times New Roman" w:hAnsi="Times New Roman" w:eastAsia="楷体_GB2312" w:cs="Times New Roman"/>
          <w:b/>
          <w:color w:val="000000" w:themeColor="text1"/>
          <w:sz w:val="32"/>
          <w14:textFill>
            <w14:solidFill>
              <w14:schemeClr w14:val="tx1"/>
            </w14:solidFill>
          </w14:textFill>
        </w:rPr>
        <w:t>第一节  促进能源资源节约利用</w:t>
      </w:r>
      <w:bookmarkEnd w:id="107"/>
    </w:p>
    <w:p>
      <w:pPr>
        <w:pStyle w:val="44"/>
        <w:spacing w:line="568"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健全能源资源节约集约循环利用政策体系，全面建立能源资源高效利用制度。完善能源消费总量和强度双控制度，强化能耗强度约束性指标管理，合理弹性控制能源消费总量。</w:t>
      </w:r>
      <w:r>
        <w:rPr>
          <w:rFonts w:ascii="Times New Roman" w:hAnsi="Times New Roman" w:eastAsia="仿宋_GB2312" w:cs="Times New Roman"/>
          <w:color w:val="000000" w:themeColor="text1"/>
          <w:sz w:val="32"/>
          <w:szCs w:val="32"/>
          <w:lang w:val="en-GB"/>
          <w14:textFill>
            <w14:solidFill>
              <w14:schemeClr w14:val="tx1"/>
            </w14:solidFill>
          </w14:textFill>
        </w:rPr>
        <w:t>推进能源革命，构建清洁低碳、安全高效的能源体系。加强节能监察，加大节能标准法规等落实情况监察力度，</w:t>
      </w:r>
      <w:r>
        <w:rPr>
          <w:rFonts w:ascii="Times New Roman" w:hAnsi="Times New Roman" w:eastAsia="仿宋_GB2312" w:cs="Times New Roman"/>
          <w:color w:val="000000" w:themeColor="text1"/>
          <w:sz w:val="32"/>
          <w:szCs w:val="32"/>
          <w14:textFill>
            <w14:solidFill>
              <w14:schemeClr w14:val="tx1"/>
            </w14:solidFill>
          </w14:textFill>
        </w:rPr>
        <w:t>优化节能监管考核机制，</w:t>
      </w:r>
      <w:r>
        <w:rPr>
          <w:rFonts w:ascii="Times New Roman" w:hAnsi="Times New Roman" w:eastAsia="仿宋_GB2312" w:cs="Times New Roman"/>
          <w:color w:val="000000" w:themeColor="text1"/>
          <w:sz w:val="32"/>
          <w:szCs w:val="32"/>
          <w:lang w:val="en-GB"/>
          <w14:textFill>
            <w14:solidFill>
              <w14:schemeClr w14:val="tx1"/>
            </w14:solidFill>
          </w14:textFill>
        </w:rPr>
        <w:t>深化节能审查制度改革，完善区域能评制度，</w:t>
      </w:r>
      <w:r>
        <w:rPr>
          <w:rFonts w:ascii="Times New Roman" w:hAnsi="Times New Roman" w:eastAsia="仿宋_GB2312" w:cs="Times New Roman"/>
          <w:color w:val="000000" w:themeColor="text1"/>
          <w:sz w:val="32"/>
          <w:szCs w:val="32"/>
          <w14:textFill>
            <w14:solidFill>
              <w14:schemeClr w14:val="tx1"/>
            </w14:solidFill>
          </w14:textFill>
        </w:rPr>
        <w:t>强化能耗源头管控。加强行业、领域节能管理，推广重点用能单位能耗在线监测，推动重点行业能效对标、赶超，实施能效提升计划。严格执行差别电价、惩罚性电价、阶梯电价政策。积极使用可再生能源，提升可再生能源消纳比例。节约利用水资源，实施水资源消耗总量和强度控制，科学制定用水定额并动态调整，完善水量分配和生态流量管控体系，推进节水型城市和节水型社会建设，严格取用水全过程管理，推进农业节水增效、工业节水减排、城</w:t>
      </w:r>
      <w:r>
        <w:rPr>
          <w:rFonts w:ascii="Times New Roman" w:hAnsi="Times New Roman" w:eastAsia="仿宋_GB2312" w:cs="Times New Roman"/>
          <w:color w:val="000000" w:themeColor="text1"/>
          <w:spacing w:val="-2"/>
          <w:sz w:val="32"/>
          <w:szCs w:val="32"/>
          <w14:textFill>
            <w14:solidFill>
              <w14:schemeClr w14:val="tx1"/>
            </w14:solidFill>
          </w14:textFill>
        </w:rPr>
        <w:t>镇节水降损和重点地区节水开源，探索开展水资源资产化改革，提高水资源利用效率。深入推进农业水价综合改革，配套建设计量设施，健全节水激励机制。节约利用土地资源，实施最严格的节约用地制度，支持地下空间开发利用。开展战略性矿产资源调查评价，节约利用矿产资源，推进矿业生产基地化，建设一批矿业经济综合区、矿业产业园区和绿色产业发展示范区</w:t>
      </w:r>
      <w:r>
        <w:rPr>
          <w:rFonts w:ascii="Times New Roman" w:hAnsi="Times New Roman" w:eastAsia="仿宋_GB2312" w:cs="Times New Roman"/>
          <w:color w:val="000000" w:themeColor="text1"/>
          <w:sz w:val="32"/>
          <w:szCs w:val="32"/>
          <w14:textFill>
            <w14:solidFill>
              <w14:schemeClr w14:val="tx1"/>
            </w14:solidFill>
          </w14:textFill>
        </w:rPr>
        <w:t>。</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8" w:name="_Toc62051613"/>
      <w:r>
        <w:rPr>
          <w:rFonts w:ascii="Times New Roman" w:hAnsi="Times New Roman" w:eastAsia="楷体_GB2312" w:cs="Times New Roman"/>
          <w:b/>
          <w:color w:val="000000" w:themeColor="text1"/>
          <w:sz w:val="32"/>
          <w14:textFill>
            <w14:solidFill>
              <w14:schemeClr w14:val="tx1"/>
            </w14:solidFill>
          </w14:textFill>
        </w:rPr>
        <w:t>第二节  推动循环低碳发展</w:t>
      </w:r>
      <w:bookmarkEnd w:id="108"/>
    </w:p>
    <w:p>
      <w:pPr>
        <w:spacing w:line="568"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构建绿色循环产业体系，打造多元化、多层次循环产业链，推动产业废弃物循环利用，发展再生产业。实施资源循环利用产业基地建设工程，积极创建国家级城市低值废弃物资源化示范基地，促进产业和园区绿色化、节能低碳化改造。支持郴州国家可持续发展议程创新改革示范区、湘西州国家绿色发展典范城市、张家界市“绿水青山就是金山银山”实践创新基地建设。提升资源循环利用服务，推动垃圾分类处理与再生资源利用“两网融合”，鼓励以市场方式建立逆向物流回收体系。完善绿色生产和消费法规政策体系，探索循环经济评价和考核体系。</w:t>
      </w:r>
      <w:r>
        <w:rPr>
          <w:rFonts w:ascii="Times New Roman" w:hAnsi="Times New Roman" w:eastAsia="仿宋_GB2312" w:cs="Times New Roman"/>
          <w:color w:val="000000" w:themeColor="text1"/>
          <w:sz w:val="32"/>
          <w:szCs w:val="32"/>
          <w14:textFill>
            <w14:solidFill>
              <w14:schemeClr w14:val="tx1"/>
            </w14:solidFill>
          </w14:textFill>
        </w:rPr>
        <w:t>发展绿色金融，培育壮大绿色环保产业。</w:t>
      </w:r>
      <w:r>
        <w:rPr>
          <w:rFonts w:ascii="Times New Roman" w:hAnsi="Times New Roman" w:eastAsia="仿宋_GB2312" w:cs="Times New Roman"/>
          <w:bCs/>
          <w:color w:val="000000" w:themeColor="text1"/>
          <w:sz w:val="32"/>
          <w:szCs w:val="32"/>
          <w14:textFill>
            <w14:solidFill>
              <w14:schemeClr w14:val="tx1"/>
            </w14:solidFill>
          </w14:textFill>
        </w:rPr>
        <w:t>推动绿色技术创新，建设绿色技术创新基地平台，积极创建长株潭绿色技术创新综合示范区。</w:t>
      </w:r>
      <w:r>
        <w:rPr>
          <w:rFonts w:ascii="Times New Roman" w:hAnsi="Times New Roman" w:eastAsia="仿宋_GB2312" w:cs="Times New Roman"/>
          <w:color w:val="000000" w:themeColor="text1"/>
          <w:sz w:val="32"/>
          <w:szCs w:val="32"/>
          <w14:textFill>
            <w14:solidFill>
              <w14:schemeClr w14:val="tx1"/>
            </w14:solidFill>
          </w14:textFill>
        </w:rPr>
        <w:t>发展绿色建筑和绿色低碳交通工具。</w:t>
      </w:r>
      <w:r>
        <w:rPr>
          <w:rFonts w:ascii="Times New Roman" w:hAnsi="Times New Roman" w:eastAsia="仿宋_GB2312" w:cs="Times New Roman"/>
          <w:bCs/>
          <w:color w:val="000000" w:themeColor="text1"/>
          <w:sz w:val="32"/>
          <w:szCs w:val="32"/>
          <w14:textFill>
            <w14:solidFill>
              <w14:schemeClr w14:val="tx1"/>
            </w14:solidFill>
          </w14:textFill>
        </w:rPr>
        <w:t>降低碳排放强度，落实国家碳排放达峰行动方案，推进</w:t>
      </w:r>
      <w:r>
        <w:rPr>
          <w:rFonts w:ascii="Times New Roman" w:hAnsi="Times New Roman" w:eastAsia="仿宋_GB2312" w:cs="Times New Roman"/>
          <w:color w:val="000000" w:themeColor="text1"/>
          <w:sz w:val="32"/>
          <w:szCs w:val="32"/>
          <w14:textFill>
            <w14:solidFill>
              <w14:schemeClr w14:val="tx1"/>
            </w14:solidFill>
          </w14:textFill>
        </w:rPr>
        <w:t>马栏山近零碳示范区</w:t>
      </w:r>
      <w:r>
        <w:rPr>
          <w:rFonts w:ascii="Times New Roman" w:hAnsi="Times New Roman" w:eastAsia="仿宋_GB2312" w:cs="Times New Roman"/>
          <w:bCs/>
          <w:color w:val="000000" w:themeColor="text1"/>
          <w:sz w:val="32"/>
          <w:szCs w:val="32"/>
          <w14:textFill>
            <w14:solidFill>
              <w14:schemeClr w14:val="tx1"/>
            </w14:solidFill>
          </w14:textFill>
        </w:rPr>
        <w:t>建设</w:t>
      </w:r>
      <w:r>
        <w:rPr>
          <w:rFonts w:ascii="Times New Roman" w:hAnsi="Times New Roman" w:eastAsia="仿宋_GB2312" w:cs="Times New Roman"/>
          <w:color w:val="000000" w:themeColor="text1"/>
          <w:sz w:val="32"/>
          <w:szCs w:val="32"/>
          <w14:textFill>
            <w14:solidFill>
              <w14:schemeClr w14:val="tx1"/>
            </w14:solidFill>
          </w14:textFill>
        </w:rPr>
        <w:t>，积极创建国家气候投融资试点，</w:t>
      </w:r>
      <w:r>
        <w:rPr>
          <w:rFonts w:ascii="Times New Roman" w:hAnsi="Times New Roman" w:eastAsia="仿宋_GB2312" w:cs="Times New Roman"/>
          <w:bCs/>
          <w:color w:val="000000" w:themeColor="text1"/>
          <w:sz w:val="32"/>
          <w:szCs w:val="32"/>
          <w14:textFill>
            <w14:solidFill>
              <w14:schemeClr w14:val="tx1"/>
            </w14:solidFill>
          </w14:textFill>
        </w:rPr>
        <w:t>积极应对气候变化。</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9" w:name="_Toc62051614"/>
      <w:r>
        <w:rPr>
          <w:rFonts w:ascii="Times New Roman" w:hAnsi="Times New Roman" w:eastAsia="楷体_GB2312" w:cs="Times New Roman"/>
          <w:b/>
          <w:color w:val="000000" w:themeColor="text1"/>
          <w:sz w:val="32"/>
          <w14:textFill>
            <w14:solidFill>
              <w14:schemeClr w14:val="tx1"/>
            </w14:solidFill>
          </w14:textFill>
        </w:rPr>
        <w:t>第三节  全面倡导绿色生活</w:t>
      </w:r>
      <w:bookmarkEnd w:id="109"/>
    </w:p>
    <w:p>
      <w:pPr>
        <w:spacing w:line="596" w:lineRule="exact"/>
        <w:ind w:firstLine="640" w:firstLineChars="200"/>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倡导简约适度、绿色低碳生活方式，反对奢侈浪费和不合理消费。创新推广绿色低碳生活行为准则，广泛开展节约型机关、绿色家庭、绿色学校、绿色社区、绿色出行、绿色商场、绿色建筑创建行动，引导青少年参与生态、环保实践活动，完善全民参与机制。健全绿色消费长效机制，推广绿色产品，分类限制和禁止使用一次性产品，扩大绿色消费市场，引导生产生活方式和消费模式向节约、绿色、文明、健康方向转变。</w:t>
      </w:r>
    </w:p>
    <w:p>
      <w:pPr>
        <w:keepLines/>
        <w:spacing w:before="447" w:beforeLines="100" w:after="447" w:afterLines="100" w:line="596" w:lineRule="exact"/>
        <w:ind w:right="210" w:rightChars="100"/>
        <w:jc w:val="center"/>
        <w:outlineLvl w:val="1"/>
        <w:rPr>
          <w:rFonts w:ascii="Times New Roman" w:hAnsi="Times New Roman" w:eastAsia="黑体" w:cs="Times New Roman"/>
          <w:color w:val="000000" w:themeColor="text1"/>
          <w:sz w:val="32"/>
          <w14:textFill>
            <w14:solidFill>
              <w14:schemeClr w14:val="tx1"/>
            </w14:solidFill>
          </w14:textFill>
        </w:rPr>
      </w:pPr>
      <w:bookmarkStart w:id="110" w:name="_Toc62051615"/>
      <w:r>
        <w:rPr>
          <w:rFonts w:ascii="Times New Roman" w:hAnsi="Times New Roman" w:eastAsia="黑体" w:cs="Times New Roman"/>
          <w:color w:val="000000" w:themeColor="text1"/>
          <w:sz w:val="32"/>
          <w14:textFill>
            <w14:solidFill>
              <w14:schemeClr w14:val="tx1"/>
            </w14:solidFill>
          </w14:textFill>
        </w:rPr>
        <w:t>第二十一章  完善生态文明体制机制</w:t>
      </w:r>
      <w:bookmarkEnd w:id="110"/>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深化生态文明体制改革，加强生态环境治理能力建设，构建产权清晰、多元参与、激励约束并重的生态文明制度体系。</w:t>
      </w:r>
    </w:p>
    <w:p>
      <w:pPr>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1" w:name="_Toc62051616"/>
      <w:r>
        <w:rPr>
          <w:rFonts w:ascii="Times New Roman" w:hAnsi="Times New Roman" w:eastAsia="楷体_GB2312" w:cs="Times New Roman"/>
          <w:b/>
          <w:color w:val="000000" w:themeColor="text1"/>
          <w:sz w:val="32"/>
          <w14:textFill>
            <w14:solidFill>
              <w14:schemeClr w14:val="tx1"/>
            </w14:solidFill>
          </w14:textFill>
        </w:rPr>
        <w:t>第一节  完善现代环境治理体系</w:t>
      </w:r>
      <w:bookmarkEnd w:id="111"/>
    </w:p>
    <w:p>
      <w:pPr>
        <w:adjustRightInd w:val="0"/>
        <w:snapToGrid w:val="0"/>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健全环境治理责任体系。</w:t>
      </w:r>
      <w:r>
        <w:rPr>
          <w:rFonts w:ascii="Times New Roman" w:hAnsi="Times New Roman" w:eastAsia="仿宋_GB2312" w:cs="Times New Roman"/>
          <w:color w:val="000000" w:themeColor="text1"/>
          <w:sz w:val="32"/>
          <w:szCs w:val="32"/>
          <w14:textFill>
            <w14:solidFill>
              <w14:schemeClr w14:val="tx1"/>
            </w14:solidFill>
          </w14:textFill>
        </w:rPr>
        <w:t>完善领导责任体系，严格落实省市县三级生态环境保护与治理党政同责、一岗双责和失职追责，完善生态文明建设目标评价考核体系，深入推进生态环境保护督察。健全企业责任体系，提高企业治污能力和水平，实现所有排污单位许可证全覆盖。</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健全环境治理管理体系。</w:t>
      </w:r>
      <w:r>
        <w:rPr>
          <w:rFonts w:ascii="Times New Roman" w:hAnsi="Times New Roman" w:eastAsia="仿宋_GB2312" w:cs="Times New Roman"/>
          <w:color w:val="000000" w:themeColor="text1"/>
          <w:sz w:val="32"/>
          <w:szCs w:val="32"/>
          <w14:textFill>
            <w14:solidFill>
              <w14:schemeClr w14:val="tx1"/>
            </w14:solidFill>
          </w14:textFill>
        </w:rPr>
        <w:t>加强“三线一单”管控。健全自然资源资产产权制度、资产配置储备制度，完善用途管制，创新自然资源资产产权实现形式及收益管理制度。严格落实自然资源资产离任审计和生态环境损害责任终身追究制度。完善长江经济带等多元化区域协调机构和区域协同发展长效机制，强化跨区域突发事件联合应急机制；完善省内协调、地方协商合作机制，推进非政府间区域合作。推进生态环境信用体系建设，健全环境信用评价、信息强制性披露、生态环境守信激励和失信惩戒等制度。</w:t>
      </w:r>
    </w:p>
    <w:p>
      <w:pPr>
        <w:adjustRightInd w:val="0"/>
        <w:snapToGrid w:val="0"/>
        <w:spacing w:line="616" w:lineRule="exact"/>
        <w:ind w:firstLine="634"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健全生态环境监管体系。</w:t>
      </w:r>
      <w:r>
        <w:rPr>
          <w:rFonts w:ascii="Times New Roman" w:hAnsi="Times New Roman" w:eastAsia="仿宋_GB2312" w:cs="Times New Roman"/>
          <w:color w:val="000000" w:themeColor="text1"/>
          <w:spacing w:val="-2"/>
          <w:sz w:val="32"/>
          <w:szCs w:val="32"/>
          <w14:textFill>
            <w14:solidFill>
              <w14:schemeClr w14:val="tx1"/>
            </w14:solidFill>
          </w14:textFill>
        </w:rPr>
        <w:t>建设天地空一体的生态环境监测评估体系，健全资源环境承载能力监测预警长效机制，补强县级监测基本能力，实现环境质量、污染源和生态状况监测全覆盖。创新监管体制，全面完成省以下生态环境机构监测监察执法垂直管理制度改革，实施“双随机、一公开”环境监管模式。加强统一规范的生态环境综合执法体系建设。加大审计监督力度，加强社会监督，扩大公众参与监督渠道，促进生态环境保护机制落实落地</w:t>
      </w:r>
      <w:r>
        <w:rPr>
          <w:rFonts w:ascii="Times New Roman" w:hAnsi="Times New Roman" w:eastAsia="仿宋_GB2312" w:cs="Times New Roman"/>
          <w:color w:val="000000" w:themeColor="text1"/>
          <w:sz w:val="32"/>
          <w:szCs w:val="32"/>
          <w14:textFill>
            <w14:solidFill>
              <w14:schemeClr w14:val="tx1"/>
            </w14:solidFill>
          </w14:textFill>
        </w:rPr>
        <w:t>。</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2" w:name="_Toc62051617"/>
      <w:r>
        <w:rPr>
          <w:rFonts w:ascii="Times New Roman" w:hAnsi="Times New Roman" w:eastAsia="楷体_GB2312" w:cs="Times New Roman"/>
          <w:b/>
          <w:color w:val="000000" w:themeColor="text1"/>
          <w:sz w:val="32"/>
          <w14:textFill>
            <w14:solidFill>
              <w14:schemeClr w14:val="tx1"/>
            </w14:solidFill>
          </w14:textFill>
        </w:rPr>
        <w:t>第二节  建立生态产品价值实现机制</w:t>
      </w:r>
      <w:bookmarkEnd w:id="112"/>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探索多元生态产品价值实现路径，开展生态产品价值实现试点示范，形成一批可复制推广的经验做法。</w:t>
      </w:r>
      <w:r>
        <w:rPr>
          <w:rFonts w:ascii="Times New Roman" w:hAnsi="Times New Roman" w:eastAsia="仿宋_GB2312" w:cs="Times New Roman"/>
          <w:color w:val="000000" w:themeColor="text1"/>
          <w:sz w:val="32"/>
          <w:szCs w:val="32"/>
          <w14:textFill>
            <w14:solidFill>
              <w14:schemeClr w14:val="tx1"/>
            </w14:solidFill>
          </w14:textFill>
        </w:rPr>
        <w:t>建立生态资产与生态产品交易机制，形成生态资产确权、第三方核算、交易市场、转移登记与监管制度等完整的交易体系</w:t>
      </w:r>
      <w:r>
        <w:rPr>
          <w:rFonts w:ascii="Times New Roman" w:hAnsi="Times New Roman" w:eastAsia="仿宋_GB2312" w:cs="Times New Roman"/>
          <w:color w:val="000000" w:themeColor="text1"/>
          <w:sz w:val="32"/>
          <w14:textFill>
            <w14:solidFill>
              <w14:schemeClr w14:val="tx1"/>
            </w14:solidFill>
          </w14:textFill>
        </w:rPr>
        <w:t>。探索建立生态产品价值核算体系，制定生态资产与生态产品核算标准、核算评估机制和核算结果应用机制，建立生态产品数据库。</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3" w:name="_Toc62051618"/>
      <w:r>
        <w:rPr>
          <w:rFonts w:ascii="Times New Roman" w:hAnsi="Times New Roman" w:eastAsia="楷体_GB2312" w:cs="Times New Roman"/>
          <w:b/>
          <w:color w:val="000000" w:themeColor="text1"/>
          <w:sz w:val="32"/>
          <w14:textFill>
            <w14:solidFill>
              <w14:schemeClr w14:val="tx1"/>
            </w14:solidFill>
          </w14:textFill>
        </w:rPr>
        <w:t>第三节  健全生态文明市场机制</w:t>
      </w:r>
      <w:bookmarkEnd w:id="113"/>
    </w:p>
    <w:p>
      <w:pPr>
        <w:spacing w:line="568"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完善市场化、多元化生态补偿，</w:t>
      </w:r>
      <w:r>
        <w:rPr>
          <w:rFonts w:ascii="Times New Roman" w:hAnsi="Times New Roman" w:eastAsia="仿宋_GB2312" w:cs="Times New Roman"/>
          <w:color w:val="000000" w:themeColor="text1"/>
          <w:sz w:val="32"/>
          <w:szCs w:val="32"/>
          <w14:textFill>
            <w14:solidFill>
              <w14:schemeClr w14:val="tx1"/>
            </w14:solidFill>
          </w14:textFill>
        </w:rPr>
        <w:t>加大重点生态功能区、生态保护红线区域的转移支付力度，引导生态受益区和保护区、流域上下游间创新补偿方式，建立健全地区间横向生态保护补偿机制，积极推进生态环境损害赔偿制度改革，深入开展环境强制责任保险试点。</w:t>
      </w:r>
      <w:r>
        <w:rPr>
          <w:rFonts w:ascii="Times New Roman" w:hAnsi="Times New Roman" w:eastAsia="仿宋_GB2312" w:cs="Times New Roman"/>
          <w:bCs/>
          <w:color w:val="000000" w:themeColor="text1"/>
          <w:sz w:val="32"/>
          <w:szCs w:val="32"/>
          <w14:textFill>
            <w14:solidFill>
              <w14:schemeClr w14:val="tx1"/>
            </w14:solidFill>
          </w14:textFill>
        </w:rPr>
        <w:t>完善生态环保多元投入机制</w:t>
      </w:r>
      <w:r>
        <w:rPr>
          <w:rFonts w:ascii="Times New Roman" w:hAnsi="Times New Roman" w:eastAsia="仿宋_GB2312" w:cs="Times New Roman"/>
          <w:color w:val="000000" w:themeColor="text1"/>
          <w:sz w:val="32"/>
          <w:szCs w:val="32"/>
          <w14:textFill>
            <w14:solidFill>
              <w14:schemeClr w14:val="tx1"/>
            </w14:solidFill>
          </w14:textFill>
        </w:rPr>
        <w:t>，推广实施政府绿色采购制度，推动生态环保领域公共产品服务投资主体多元化，构建绿色信贷、绿色债券、绿色产业基金、绿色保险等绿色金融链。</w:t>
      </w:r>
      <w:r>
        <w:rPr>
          <w:rFonts w:ascii="Times New Roman" w:hAnsi="Times New Roman" w:eastAsia="仿宋_GB2312" w:cs="Times New Roman"/>
          <w:bCs/>
          <w:color w:val="000000" w:themeColor="text1"/>
          <w:sz w:val="32"/>
          <w:szCs w:val="32"/>
          <w14:textFill>
            <w14:solidFill>
              <w14:schemeClr w14:val="tx1"/>
            </w14:solidFill>
          </w14:textFill>
        </w:rPr>
        <w:t>完善资源市场交易机制，</w:t>
      </w:r>
      <w:r>
        <w:rPr>
          <w:rFonts w:ascii="Times New Roman" w:hAnsi="Times New Roman" w:eastAsia="仿宋_GB2312" w:cs="Times New Roman"/>
          <w:color w:val="000000" w:themeColor="text1"/>
          <w:sz w:val="32"/>
          <w:szCs w:val="32"/>
          <w14:textFill>
            <w14:solidFill>
              <w14:schemeClr w14:val="tx1"/>
            </w14:solidFill>
          </w14:textFill>
        </w:rPr>
        <w:t>构建用能权、用水权、排污权、碳排放权交易体系。创新环境治理模式，推进园区污染第三方治理全覆盖，探索以生态环境为导向的开发模式。</w:t>
      </w: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68" w:lineRule="exact"/>
        <w:ind w:right="210" w:rightChars="100"/>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14" w:name="_Toc62051619"/>
      <w:r>
        <w:rPr>
          <w:rFonts w:ascii="Times New Roman" w:hAnsi="Times New Roman" w:eastAsia="方正小标宋_GBK" w:cs="Times New Roman"/>
          <w:color w:val="000000" w:themeColor="text1"/>
          <w:sz w:val="32"/>
          <w:szCs w:val="32"/>
          <w14:textFill>
            <w14:solidFill>
              <w14:schemeClr w14:val="tx1"/>
            </w14:solidFill>
          </w14:textFill>
        </w:rPr>
        <w:t>第七篇  着力建设民生福祉全面增进的现代化新湖南</w:t>
      </w:r>
      <w:bookmarkEnd w:id="114"/>
    </w:p>
    <w:p>
      <w:pPr>
        <w:spacing w:line="568"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坚持尽力而为、量力而行，办好民生事业，着力解决群众各项“急难愁盼”问题，不断满足人民群众日益增长的美好生活需要，促进人的全面发展和社会全面进步。</w:t>
      </w:r>
    </w:p>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15" w:name="_Toc62051620"/>
      <w:r>
        <w:rPr>
          <w:rFonts w:ascii="Times New Roman" w:hAnsi="Times New Roman" w:eastAsia="黑体" w:cs="Times New Roman"/>
          <w:color w:val="000000" w:themeColor="text1"/>
          <w:sz w:val="32"/>
          <w:szCs w:val="32"/>
          <w14:textFill>
            <w14:solidFill>
              <w14:schemeClr w14:val="tx1"/>
            </w14:solidFill>
          </w14:textFill>
        </w:rPr>
        <w:t>第二十二章  加强就业创业</w:t>
      </w:r>
      <w:bookmarkEnd w:id="115"/>
    </w:p>
    <w:p>
      <w:pPr>
        <w:spacing w:line="568" w:lineRule="exact"/>
        <w:ind w:firstLine="640" w:firstLineChars="200"/>
        <w:rPr>
          <w:rFonts w:ascii="Times New Roman" w:hAnsi="Times New Roman" w:eastAsia="仿宋_GB2312" w:cs="Times New Roman"/>
          <w:b/>
          <w:bCs/>
          <w:color w:val="000000" w:themeColor="text1"/>
          <w:sz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坚持经济发展就业导向，实施就业优先政策，</w:t>
      </w:r>
      <w:r>
        <w:rPr>
          <w:rFonts w:ascii="Times New Roman" w:hAnsi="Times New Roman" w:eastAsia="仿宋_GB2312" w:cs="Times New Roman"/>
          <w:color w:val="000000" w:themeColor="text1"/>
          <w:sz w:val="32"/>
          <w14:textFill>
            <w14:solidFill>
              <w14:schemeClr w14:val="tx1"/>
            </w14:solidFill>
          </w14:textFill>
        </w:rPr>
        <w:t>扩大就业容量，提升就业质量，促进充分就业，保障劳动者待遇和权益。</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6" w:name="_Toc62051621"/>
      <w:r>
        <w:rPr>
          <w:rFonts w:ascii="Times New Roman" w:hAnsi="Times New Roman" w:eastAsia="楷体_GB2312" w:cs="Times New Roman"/>
          <w:b/>
          <w:color w:val="000000" w:themeColor="text1"/>
          <w:sz w:val="32"/>
          <w14:textFill>
            <w14:solidFill>
              <w14:schemeClr w14:val="tx1"/>
            </w14:solidFill>
          </w14:textFill>
        </w:rPr>
        <w:t>第一节  促进重点群体创业就业</w:t>
      </w:r>
      <w:bookmarkEnd w:id="116"/>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促进高校毕业生与退役军人就业创业。</w:t>
      </w:r>
      <w:r>
        <w:rPr>
          <w:rFonts w:ascii="Times New Roman" w:hAnsi="Times New Roman" w:eastAsia="仿宋_GB2312" w:cs="Times New Roman"/>
          <w:color w:val="000000" w:themeColor="text1"/>
          <w:sz w:val="32"/>
          <w:szCs w:val="32"/>
          <w14:textFill>
            <w14:solidFill>
              <w14:schemeClr w14:val="tx1"/>
            </w14:solidFill>
          </w14:textFill>
        </w:rPr>
        <w:t>深入实施高校毕业生就业创业促进计划，完善支持创业政策制度和服务体系，鼓励高校毕业生自主创业。扩大与高校毕业生知识技能、就业意愿相适应的岗位供给，鼓励高校毕业生面向基层就业，鼓励大学生应征入伍。支持退役军人创新创业，深化“双带双促”活动。</w:t>
      </w:r>
      <w:r>
        <w:rPr>
          <w:rFonts w:ascii="Times New Roman" w:hAnsi="Times New Roman" w:eastAsia="仿宋_GB2312" w:cs="Times New Roman"/>
          <w:color w:val="000000" w:themeColor="text1"/>
          <w:sz w:val="32"/>
          <w14:textFill>
            <w14:solidFill>
              <w14:schemeClr w14:val="tx1"/>
            </w14:solidFill>
          </w14:textFill>
        </w:rPr>
        <w:t>合理加大政府机关、企业事业单位、社会团体招录（招聘）退役军人力度，鼓励退役军人到党的基层组织、城乡社区、</w:t>
      </w:r>
      <w:r>
        <w:rPr>
          <w:rFonts w:ascii="Times New Roman" w:hAnsi="Times New Roman" w:eastAsia="仿宋_GB2312" w:cs="Times New Roman"/>
          <w:color w:val="000000" w:themeColor="text1"/>
          <w:sz w:val="32"/>
          <w:szCs w:val="32"/>
          <w14:textFill>
            <w14:solidFill>
              <w14:schemeClr w14:val="tx1"/>
            </w14:solidFill>
          </w14:textFill>
        </w:rPr>
        <w:t>退役军人服务中心（站）工作</w:t>
      </w:r>
      <w:r>
        <w:rPr>
          <w:rFonts w:ascii="Times New Roman" w:hAnsi="Times New Roman" w:eastAsia="仿宋_GB2312" w:cs="Times New Roman"/>
          <w:color w:val="000000" w:themeColor="text1"/>
          <w:sz w:val="32"/>
          <w14:textFill>
            <w14:solidFill>
              <w14:schemeClr w14:val="tx1"/>
            </w14:solidFill>
          </w14:textFill>
        </w:rPr>
        <w:t>。</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促进农村劳动力就业。</w:t>
      </w:r>
      <w:r>
        <w:rPr>
          <w:rFonts w:ascii="Times New Roman" w:hAnsi="Times New Roman" w:eastAsia="仿宋_GB2312" w:cs="Times New Roman"/>
          <w:color w:val="000000" w:themeColor="text1"/>
          <w:sz w:val="32"/>
          <w14:textFill>
            <w14:solidFill>
              <w14:schemeClr w14:val="tx1"/>
            </w14:solidFill>
          </w14:textFill>
        </w:rPr>
        <w:t>深入开展劳务协作，健全岗位归集发布和劳务对接机制，完善转移就业服务，提高劳务输出的组织化程度，建立农民工服务保障与监测预警平台。积极开发县域内就业岗位，扩大农民就地就近就业规模。支持外出务工人员返乡入乡创业。</w:t>
      </w:r>
      <w:r>
        <w:rPr>
          <w:rFonts w:ascii="Times New Roman" w:hAnsi="Times New Roman" w:eastAsia="仿宋_GB2312" w:cs="Times New Roman"/>
          <w:color w:val="000000" w:themeColor="text1"/>
          <w:sz w:val="32"/>
          <w:szCs w:val="32"/>
          <w14:textFill>
            <w14:solidFill>
              <w14:schemeClr w14:val="tx1"/>
            </w14:solidFill>
          </w14:textFill>
        </w:rPr>
        <w:t>推进脱贫人口稳岗就业，扎实做好易地搬迁人口就业帮扶</w:t>
      </w:r>
      <w:r>
        <w:rPr>
          <w:rFonts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统筹抓好退捕渔民转产安置。</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促进就业困难人员就业。</w:t>
      </w:r>
      <w:r>
        <w:rPr>
          <w:rFonts w:ascii="Times New Roman" w:hAnsi="Times New Roman" w:eastAsia="仿宋_GB2312" w:cs="Times New Roman"/>
          <w:color w:val="000000" w:themeColor="text1"/>
          <w:sz w:val="32"/>
          <w:szCs w:val="32"/>
          <w14:textFill>
            <w14:solidFill>
              <w14:schemeClr w14:val="tx1"/>
            </w14:solidFill>
          </w14:textFill>
        </w:rPr>
        <w:t>持续实施就业援助制度，帮扶残疾人、零就业家庭等困难群体就业，合理开发公益性岗位托底安置，确保零就业家庭动态清零。畅通失业人员求助渠道，健全失业登记、职业介绍、职业培训、职业指导、生活保障联动机制，促进失业人员尽快实现就业。加大就业补贴援助力度，落实失业保险待遇，保障就业困难人员和失业人员基本生活。</w:t>
      </w:r>
    </w:p>
    <w:p>
      <w:pPr>
        <w:spacing w:line="568" w:lineRule="exact"/>
        <w:ind w:firstLine="634"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促进多渠道灵活就业。</w:t>
      </w:r>
      <w:r>
        <w:rPr>
          <w:rFonts w:ascii="Times New Roman" w:hAnsi="Times New Roman" w:eastAsia="仿宋_GB2312" w:cs="Times New Roman"/>
          <w:color w:val="000000" w:themeColor="text1"/>
          <w:spacing w:val="-2"/>
          <w:sz w:val="32"/>
          <w14:textFill>
            <w14:solidFill>
              <w14:schemeClr w14:val="tx1"/>
            </w14:solidFill>
          </w14:textFill>
        </w:rPr>
        <w:t>鼓励发展个体经营，</w:t>
      </w:r>
      <w:r>
        <w:rPr>
          <w:rFonts w:ascii="Times New Roman" w:hAnsi="Times New Roman" w:eastAsia="仿宋_GB2312" w:cs="Times New Roman"/>
          <w:color w:val="000000" w:themeColor="text1"/>
          <w:sz w:val="32"/>
          <w:szCs w:val="32"/>
          <w14:textFill>
            <w14:solidFill>
              <w14:schemeClr w14:val="tx1"/>
            </w14:solidFill>
          </w14:textFill>
        </w:rPr>
        <w:t>增加非全日制就业机会，</w:t>
      </w:r>
      <w:r>
        <w:rPr>
          <w:rFonts w:ascii="Times New Roman" w:hAnsi="Times New Roman" w:eastAsia="仿宋_GB2312" w:cs="Times New Roman"/>
          <w:color w:val="000000" w:themeColor="text1"/>
          <w:spacing w:val="-2"/>
          <w:sz w:val="32"/>
          <w14:textFill>
            <w14:solidFill>
              <w14:schemeClr w14:val="tx1"/>
            </w14:solidFill>
          </w14:textFill>
        </w:rPr>
        <w:t>清理取消限制灵活就业的不合理规定。</w:t>
      </w:r>
      <w:r>
        <w:rPr>
          <w:rFonts w:ascii="Times New Roman" w:hAnsi="Times New Roman" w:eastAsia="仿宋_GB2312" w:cs="Times New Roman"/>
          <w:color w:val="000000" w:themeColor="text1"/>
          <w:sz w:val="32"/>
          <w:szCs w:val="32"/>
          <w14:textFill>
            <w14:solidFill>
              <w14:schemeClr w14:val="tx1"/>
            </w14:solidFill>
          </w14:textFill>
        </w:rPr>
        <w:t>支持和规范</w:t>
      </w:r>
      <w:r>
        <w:rPr>
          <w:rFonts w:ascii="Times New Roman" w:hAnsi="Times New Roman" w:eastAsia="仿宋_GB2312" w:cs="Times New Roman"/>
          <w:color w:val="000000" w:themeColor="text1"/>
          <w:spacing w:val="-2"/>
          <w:sz w:val="32"/>
          <w14:textFill>
            <w14:solidFill>
              <w14:schemeClr w14:val="tx1"/>
            </w14:solidFill>
          </w14:textFill>
        </w:rPr>
        <w:t>发展新就业形态，推动零工经济、地摊经济、夜间经济健康发展。</w:t>
      </w:r>
      <w:r>
        <w:rPr>
          <w:rFonts w:ascii="Times New Roman" w:hAnsi="Times New Roman" w:eastAsia="仿宋_GB2312" w:cs="Times New Roman"/>
          <w:color w:val="000000" w:themeColor="text1"/>
          <w:spacing w:val="-2"/>
          <w:sz w:val="32"/>
          <w:szCs w:val="32"/>
          <w14:textFill>
            <w14:solidFill>
              <w14:schemeClr w14:val="tx1"/>
            </w14:solidFill>
          </w14:textFill>
        </w:rPr>
        <w:t>加强灵活就业人员劳动权益和基本生活保障</w:t>
      </w:r>
      <w:r>
        <w:rPr>
          <w:rFonts w:ascii="Times New Roman" w:hAnsi="Times New Roman" w:eastAsia="仿宋_GB2312" w:cs="Times New Roman"/>
          <w:color w:val="000000" w:themeColor="text1"/>
          <w:spacing w:val="-2"/>
          <w:sz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7" w:name="_Toc62051622"/>
      <w:r>
        <w:rPr>
          <w:rFonts w:ascii="Times New Roman" w:hAnsi="Times New Roman" w:eastAsia="楷体_GB2312" w:cs="Times New Roman"/>
          <w:b/>
          <w:color w:val="000000" w:themeColor="text1"/>
          <w:sz w:val="32"/>
          <w14:textFill>
            <w14:solidFill>
              <w14:schemeClr w14:val="tx1"/>
            </w14:solidFill>
          </w14:textFill>
        </w:rPr>
        <w:t>第二节  健全就业创业服务体系</w:t>
      </w:r>
      <w:bookmarkEnd w:id="117"/>
    </w:p>
    <w:p>
      <w:pPr>
        <w:spacing w:line="596" w:lineRule="exact"/>
        <w:ind w:firstLine="642" w:firstLineChars="200"/>
        <w:rPr>
          <w:rFonts w:ascii="Times New Roman" w:hAnsi="Times New Roman" w:eastAsia="仿宋_GB2312" w:cs="Times New Roman"/>
          <w:b/>
          <w:bCs/>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强化创业载体建设。</w:t>
      </w:r>
      <w:r>
        <w:rPr>
          <w:rFonts w:ascii="Times New Roman" w:hAnsi="Times New Roman" w:eastAsia="仿宋_GB2312" w:cs="Times New Roman"/>
          <w:color w:val="000000" w:themeColor="text1"/>
          <w:sz w:val="32"/>
          <w:szCs w:val="32"/>
          <w14:textFill>
            <w14:solidFill>
              <w14:schemeClr w14:val="tx1"/>
            </w14:solidFill>
          </w14:textFill>
        </w:rPr>
        <w:t>积极推进创业孵化基地建设，实施“双创”支撑平台项目，引导“双创”示范基地、众创空间等优质平台承担创业服务事项。增强创新型企业引领创新创业作用，鼓励大中型企业和国有企业搭建创新创业平台。发展壮大返乡入乡创业平台。</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强化职业技能培训。</w:t>
      </w:r>
      <w:r>
        <w:rPr>
          <w:rFonts w:ascii="Times New Roman" w:hAnsi="Times New Roman" w:eastAsia="仿宋_GB2312" w:cs="Times New Roman"/>
          <w:color w:val="000000" w:themeColor="text1"/>
          <w:sz w:val="32"/>
          <w:szCs w:val="32"/>
          <w14:textFill>
            <w14:solidFill>
              <w14:schemeClr w14:val="tx1"/>
            </w14:solidFill>
          </w14:textFill>
        </w:rPr>
        <w:t>加强公共实训基地建设，拓展职业院校、园区、企业等公共实训基地建设主体。建立健全终身职业技能培训制度，实施职业培训提质增量行动，开展多种形式的就业技能培训、岗位技能提升培训和创业培训，加快提升劳动者技能素质。全面推行企业新型学徒制，加快建设知识型、技能型、创新型劳动者大军。</w:t>
      </w:r>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提升公共就业服务能力。</w:t>
      </w:r>
      <w:r>
        <w:rPr>
          <w:rFonts w:ascii="Times New Roman" w:hAnsi="Times New Roman" w:eastAsia="仿宋_GB2312" w:cs="Times New Roman"/>
          <w:color w:val="000000" w:themeColor="text1"/>
          <w:sz w:val="32"/>
          <w:szCs w:val="32"/>
          <w14:textFill>
            <w14:solidFill>
              <w14:schemeClr w14:val="tx1"/>
            </w14:solidFill>
          </w14:textFill>
        </w:rPr>
        <w:t>加强公共就业服务平台建设，</w:t>
      </w:r>
      <w:r>
        <w:rPr>
          <w:rFonts w:ascii="Times New Roman" w:hAnsi="Times New Roman" w:eastAsia="仿宋_GB2312" w:cs="Times New Roman"/>
          <w:color w:val="000000" w:themeColor="text1"/>
          <w:sz w:val="32"/>
          <w14:textFill>
            <w14:solidFill>
              <w14:schemeClr w14:val="tx1"/>
            </w14:solidFill>
          </w14:textFill>
        </w:rPr>
        <w:t>全面推进“互联网+公共就业服务”，</w:t>
      </w:r>
      <w:r>
        <w:rPr>
          <w:rFonts w:ascii="Times New Roman" w:hAnsi="Times New Roman" w:eastAsia="仿宋_GB2312" w:cs="Times New Roman"/>
          <w:color w:val="000000" w:themeColor="text1"/>
          <w:sz w:val="32"/>
          <w:szCs w:val="32"/>
          <w14:textFill>
            <w14:solidFill>
              <w14:schemeClr w14:val="tx1"/>
            </w14:solidFill>
          </w14:textFill>
        </w:rPr>
        <w:t>构建覆盖全民、贯穿全程、辐射全域、便捷高效的公共就业服务体系，</w:t>
      </w:r>
      <w:r>
        <w:rPr>
          <w:rFonts w:ascii="Times New Roman" w:hAnsi="Times New Roman" w:eastAsia="仿宋_GB2312" w:cs="Times New Roman"/>
          <w:color w:val="000000" w:themeColor="text1"/>
          <w:sz w:val="32"/>
          <w14:textFill>
            <w14:solidFill>
              <w14:schemeClr w14:val="tx1"/>
            </w14:solidFill>
          </w14:textFill>
        </w:rPr>
        <w:t>打造“湖南数字就业地图”。提升劳动关系公共服务能力，完善协商协调机制，构建和谐劳动关系。</w:t>
      </w:r>
      <w:r>
        <w:rPr>
          <w:rFonts w:ascii="Times New Roman" w:hAnsi="Times New Roman" w:eastAsia="仿宋_GB2312" w:cs="Times New Roman"/>
          <w:color w:val="000000" w:themeColor="text1"/>
          <w:sz w:val="32"/>
          <w:szCs w:val="32"/>
          <w14:textFill>
            <w14:solidFill>
              <w14:schemeClr w14:val="tx1"/>
            </w14:solidFill>
          </w14:textFill>
        </w:rPr>
        <w:t>健全就业需求调查和失业预警机制，加快建立多元就业失业监测统计体系，</w:t>
      </w:r>
      <w:r>
        <w:rPr>
          <w:rFonts w:ascii="Times New Roman" w:hAnsi="Times New Roman" w:eastAsia="仿宋_GB2312" w:cs="Times New Roman"/>
          <w:color w:val="000000" w:themeColor="text1"/>
          <w:sz w:val="32"/>
          <w14:textFill>
            <w14:solidFill>
              <w14:schemeClr w14:val="tx1"/>
            </w14:solidFill>
          </w14:textFill>
        </w:rPr>
        <w:t>持续关注重点行业、重点企业和重点群体就业，及时防范化解突发性、规模性失业风险。加强人力资源市场培育和监督。</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15" w:type="dxa"/>
            <w:shd w:val="clear" w:color="auto" w:fill="auto"/>
            <w:vAlign w:val="center"/>
          </w:tcPr>
          <w:p>
            <w:pPr>
              <w:spacing w:line="320" w:lineRule="exact"/>
              <w:ind w:hanging="2"/>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专栏29  就业创业提升行动计划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15" w:type="dxa"/>
            <w:shd w:val="clear" w:color="auto" w:fill="auto"/>
          </w:tcPr>
          <w:p>
            <w:pPr>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高校毕业生创业就业促进计划。</w:t>
            </w:r>
            <w:r>
              <w:rPr>
                <w:rFonts w:ascii="Times New Roman" w:hAnsi="Times New Roman" w:eastAsia="宋体" w:cs="Times New Roman"/>
                <w:color w:val="000000" w:themeColor="text1"/>
                <w:sz w:val="24"/>
                <w:szCs w:val="24"/>
                <w14:textFill>
                  <w14:solidFill>
                    <w14:schemeClr w14:val="tx1"/>
                  </w14:solidFill>
                </w14:textFill>
              </w:rPr>
              <w:t>实施能力提升、创业引领、校园精准服务、就业帮扶、权益保护五大行动，促进高校毕业生就业创业。</w:t>
            </w:r>
          </w:p>
          <w:p>
            <w:pPr>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职业培训提质增量行动。</w:t>
            </w:r>
            <w:r>
              <w:rPr>
                <w:rFonts w:ascii="Times New Roman" w:hAnsi="Times New Roman" w:eastAsia="宋体" w:cs="Times New Roman"/>
                <w:color w:val="000000" w:themeColor="text1"/>
                <w:sz w:val="24"/>
                <w:szCs w:val="24"/>
                <w14:textFill>
                  <w14:solidFill>
                    <w14:schemeClr w14:val="tx1"/>
                  </w14:solidFill>
                </w14:textFill>
              </w:rPr>
              <w:t>大规模开展就业技能培训、岗位技能提升培训和创业培训，每年力争开展补贴性职业技能培训55万人次，提升劳动者职业技能水平和就业创业能力，不断壮大技能人才、高技能人才队伍。</w:t>
            </w:r>
          </w:p>
          <w:p>
            <w:pPr>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公共实训基地建设工程。</w:t>
            </w:r>
            <w:r>
              <w:rPr>
                <w:rFonts w:ascii="Times New Roman" w:hAnsi="Times New Roman" w:eastAsia="宋体" w:cs="Times New Roman"/>
                <w:color w:val="000000" w:themeColor="text1"/>
                <w:sz w:val="24"/>
                <w:szCs w:val="24"/>
                <w14:textFill>
                  <w14:solidFill>
                    <w14:schemeClr w14:val="tx1"/>
                  </w14:solidFill>
                </w14:textFill>
              </w:rPr>
              <w:t>推进市州和部分县公共实训基地项目建设，力争实现全省公共实训基地市级覆盖100%、县级覆盖50%以上。</w:t>
            </w:r>
          </w:p>
          <w:p>
            <w:pP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就业帮扶行动。</w:t>
            </w:r>
            <w:r>
              <w:rPr>
                <w:rFonts w:ascii="Times New Roman" w:hAnsi="Times New Roman" w:eastAsia="宋体" w:cs="Times New Roman"/>
                <w:color w:val="000000" w:themeColor="text1"/>
                <w:sz w:val="24"/>
                <w:szCs w:val="24"/>
                <w14:textFill>
                  <w14:solidFill>
                    <w14:schemeClr w14:val="tx1"/>
                  </w14:solidFill>
                </w14:textFill>
              </w:rPr>
              <w:t>开展脱贫人口就业意愿、就业技能与就业岗位精准对接行动，推进脱贫人口岗位技能培训、实用技术培训，加大就业帮扶基地建设力度，积极开发公益性岗位，促进脱贫人口就地就近就业。推进实施“一家一”助学就业</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同心温暖工程。</w:t>
            </w:r>
          </w:p>
          <w:p>
            <w:pPr>
              <w:pBdr>
                <w:top w:val="none" w:color="auto" w:sz="0" w:space="1"/>
                <w:left w:val="none" w:color="auto" w:sz="0" w:space="4"/>
                <w:bottom w:val="none" w:color="auto" w:sz="0" w:space="1"/>
                <w:right w:val="none" w:color="auto" w:sz="0" w:space="4"/>
              </w:pBd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劳动关系“和谐同行”能力提升行动。</w:t>
            </w:r>
            <w:r>
              <w:rPr>
                <w:rFonts w:ascii="Times New Roman" w:hAnsi="Times New Roman" w:eastAsia="宋体" w:cs="Times New Roman"/>
                <w:color w:val="000000" w:themeColor="text1"/>
                <w:sz w:val="24"/>
                <w:szCs w:val="24"/>
                <w14:textFill>
                  <w14:solidFill>
                    <w14:schemeClr w14:val="tx1"/>
                  </w14:solidFill>
                </w14:textFill>
              </w:rPr>
              <w:t>打造500名“湖南省金牌劳动关系协调员”、100家“湖南省金牌协调劳动关系社会组织”、500家“湖南省金牌劳动人事争议调解组织”，培育1000户“湖南省劳动关系和谐企业”，服务10000户新企业用工。</w:t>
            </w:r>
          </w:p>
        </w:tc>
      </w:tr>
    </w:tbl>
    <w:p>
      <w:pPr>
        <w:keepNext/>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18" w:name="_Toc62051623"/>
      <w:r>
        <w:rPr>
          <w:rFonts w:ascii="Times New Roman" w:hAnsi="Times New Roman" w:eastAsia="黑体" w:cs="Times New Roman"/>
          <w:color w:val="000000" w:themeColor="text1"/>
          <w:sz w:val="32"/>
          <w:szCs w:val="32"/>
          <w14:textFill>
            <w14:solidFill>
              <w14:schemeClr w14:val="tx1"/>
            </w14:solidFill>
          </w14:textFill>
        </w:rPr>
        <w:t>第二十三章  促进教育现代化</w:t>
      </w:r>
      <w:bookmarkEnd w:id="118"/>
    </w:p>
    <w:p>
      <w:pPr>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坚持教育公益性原则，促进教育公平，深化教育改革，增强教育适应性，</w:t>
      </w:r>
      <w:r>
        <w:rPr>
          <w:rFonts w:ascii="Times New Roman" w:hAnsi="Times New Roman" w:eastAsia="仿宋_GB2312" w:cs="Times New Roman"/>
          <w:color w:val="000000" w:themeColor="text1"/>
          <w:sz w:val="32"/>
          <w:szCs w:val="32"/>
          <w14:textFill>
            <w14:solidFill>
              <w14:schemeClr w14:val="tx1"/>
            </w14:solidFill>
          </w14:textFill>
        </w:rPr>
        <w:t>推进教育高质量发展，建设教育强省。</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40"/>
          <w14:textFill>
            <w14:solidFill>
              <w14:schemeClr w14:val="tx1"/>
            </w14:solidFill>
          </w14:textFill>
        </w:rPr>
      </w:pPr>
      <w:bookmarkStart w:id="119" w:name="_Toc62051624"/>
      <w:r>
        <w:rPr>
          <w:rFonts w:ascii="Times New Roman" w:hAnsi="Times New Roman" w:eastAsia="楷体_GB2312" w:cs="Times New Roman"/>
          <w:b/>
          <w:color w:val="000000" w:themeColor="text1"/>
          <w:sz w:val="32"/>
          <w:szCs w:val="40"/>
          <w14:textFill>
            <w14:solidFill>
              <w14:schemeClr w14:val="tx1"/>
            </w14:solidFill>
          </w14:textFill>
        </w:rPr>
        <w:t>第一节  均衡提升基础教育</w:t>
      </w:r>
      <w:bookmarkEnd w:id="119"/>
    </w:p>
    <w:p>
      <w:pPr>
        <w:spacing w:line="596" w:lineRule="exact"/>
        <w:ind w:firstLine="642"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发展学前教育。</w:t>
      </w:r>
      <w:r>
        <w:rPr>
          <w:rFonts w:ascii="Times New Roman" w:hAnsi="Times New Roman" w:eastAsia="仿宋_GB2312" w:cs="Times New Roman"/>
          <w:color w:val="000000" w:themeColor="text1"/>
          <w:sz w:val="32"/>
          <w:szCs w:val="32"/>
          <w14:textFill>
            <w14:solidFill>
              <w14:schemeClr w14:val="tx1"/>
            </w14:solidFill>
          </w14:textFill>
        </w:rPr>
        <w:t>完善学前教育公共服务体系，更好实现幼有所育。优化学前教育布局，合理规划建设城镇小区配套幼儿园。增加城镇普惠性学前教育资源供给，大力发展普惠性幼儿园，加强农村公办幼儿园建设。完善学前教育管理体系、办园体制和投入体制，推进民办幼儿园分类管理改革。到2025年，学前三年毛入园率达到92%。</w:t>
      </w:r>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巩固提高义务教育。</w:t>
      </w:r>
      <w:r>
        <w:rPr>
          <w:rFonts w:ascii="Times New Roman" w:hAnsi="Times New Roman" w:eastAsia="仿宋_GB2312" w:cs="Times New Roman"/>
          <w:color w:val="000000" w:themeColor="text1"/>
          <w:spacing w:val="-2"/>
          <w:sz w:val="32"/>
          <w:szCs w:val="32"/>
          <w14:textFill>
            <w14:solidFill>
              <w14:schemeClr w14:val="tx1"/>
            </w14:solidFill>
          </w14:textFill>
        </w:rPr>
        <w:t>推动义务教育优质均衡发展和城乡一体化。优化城乡义务教育学校规划布局，增加城镇义务教育资源供给，健全义务教育大班额防控长效机制。推进义务教育学校、特殊教育学校标准化建设。改善农村学校办学条件，全面建成芙蓉学校，加强和改进乡镇寄宿制学校、乡村小规模学校，缩小城乡教育差距。</w:t>
      </w:r>
      <w:r>
        <w:rPr>
          <w:rStyle w:val="43"/>
          <w:rFonts w:ascii="Times New Roman" w:hAnsi="Times New Roman" w:eastAsia="仿宋_GB2312" w:cs="Times New Roman"/>
          <w:color w:val="000000" w:themeColor="text1"/>
          <w:spacing w:val="-2"/>
          <w:sz w:val="32"/>
          <w:szCs w:val="32"/>
          <w14:textFill>
            <w14:solidFill>
              <w14:schemeClr w14:val="tx1"/>
            </w14:solidFill>
          </w14:textFill>
        </w:rPr>
        <w:t>办好特殊教育、专门教育。到2025年，义务教育巩固率稳定在98%以上</w:t>
      </w:r>
      <w:r>
        <w:rPr>
          <w:rStyle w:val="43"/>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普及高中阶段教育。</w:t>
      </w:r>
      <w:r>
        <w:rPr>
          <w:rFonts w:ascii="Times New Roman" w:hAnsi="Times New Roman" w:eastAsia="仿宋_GB2312" w:cs="Times New Roman"/>
          <w:color w:val="000000" w:themeColor="text1"/>
          <w:sz w:val="32"/>
          <w:szCs w:val="32"/>
          <w14:textFill>
            <w14:solidFill>
              <w14:schemeClr w14:val="tx1"/>
            </w14:solidFill>
          </w14:textFill>
        </w:rPr>
        <w:t>鼓励高中阶段学校多样化发展，不断扩大高中优质教育资源总量。优化高中阶段教育学校布局和规模结构，统筹高中阶段教育招生工作，保持高中阶段教育职普比大体相当，每个县市区均办好1所以上公办中等职业学校。提高高中阶段教育在基础薄弱地区的普及程度，基本消除普通高中大班额。改善普通高中办学条件，优化校舍功能，提高装备水平。到2025年，高中阶段教育毛入学率达到93.5%。</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0" w:name="_Toc62051625"/>
      <w:r>
        <w:rPr>
          <w:rFonts w:ascii="Times New Roman" w:hAnsi="Times New Roman" w:eastAsia="楷体_GB2312" w:cs="Times New Roman"/>
          <w:b/>
          <w:color w:val="000000" w:themeColor="text1"/>
          <w:sz w:val="32"/>
          <w:szCs w:val="32"/>
          <w14:textFill>
            <w14:solidFill>
              <w14:schemeClr w14:val="tx1"/>
            </w14:solidFill>
          </w14:textFill>
        </w:rPr>
        <w:t>第二节  扩大优质高等教育</w:t>
      </w:r>
      <w:bookmarkEnd w:id="120"/>
    </w:p>
    <w:p>
      <w:pPr>
        <w:spacing w:line="568" w:lineRule="exac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提高高等教育质量，</w:t>
      </w:r>
      <w:r>
        <w:rPr>
          <w:rFonts w:ascii="Times New Roman" w:hAnsi="Times New Roman" w:eastAsia="仿宋_GB2312" w:cs="Times New Roman"/>
          <w:color w:val="000000" w:themeColor="text1"/>
          <w:kern w:val="0"/>
          <w:sz w:val="32"/>
          <w:szCs w:val="32"/>
          <w14:textFill>
            <w14:solidFill>
              <w14:schemeClr w14:val="tx1"/>
            </w14:solidFill>
          </w14:textFill>
        </w:rPr>
        <w:t>推进高等教育特色办学、内涵式发展。支持</w:t>
      </w:r>
      <w:r>
        <w:rPr>
          <w:rFonts w:ascii="Times New Roman" w:hAnsi="Times New Roman" w:eastAsia="仿宋_GB2312" w:cs="Times New Roman"/>
          <w:color w:val="000000" w:themeColor="text1"/>
          <w:sz w:val="32"/>
          <w:szCs w:val="32"/>
          <w14:textFill>
            <w14:solidFill>
              <w14:schemeClr w14:val="tx1"/>
            </w14:solidFill>
          </w14:textFill>
        </w:rPr>
        <w:t>高校“双一流”建设，提高国际交流合作水平，增强高校服务地方经济社会发展能力。</w:t>
      </w:r>
      <w:r>
        <w:rPr>
          <w:rFonts w:ascii="Times New Roman" w:hAnsi="Times New Roman" w:eastAsia="仿宋_GB2312" w:cs="Times New Roman"/>
          <w:color w:val="000000" w:themeColor="text1"/>
          <w:kern w:val="0"/>
          <w:sz w:val="32"/>
          <w:szCs w:val="32"/>
          <w14:textFill>
            <w14:solidFill>
              <w14:schemeClr w14:val="tx1"/>
            </w14:solidFill>
          </w14:textFill>
        </w:rPr>
        <w:t>加快建设高水平本科教育，优化高校学科结构和专业设置，积极推进“高峰”学科、“高原”学科建设，加快培养理工农医等专业紧缺人才。加强高校教学管理，创新教学模式，规范高校本科教育教学秩序。完善研究生教育体系，优化学科专业布局结构，深化研究生培养模式改革，</w:t>
      </w:r>
      <w:r>
        <w:rPr>
          <w:rStyle w:val="43"/>
          <w:rFonts w:ascii="Times New Roman" w:hAnsi="Times New Roman" w:eastAsia="仿宋_GB2312" w:cs="Times New Roman"/>
          <w:color w:val="000000" w:themeColor="text1"/>
          <w:sz w:val="32"/>
          <w:szCs w:val="32"/>
          <w14:textFill>
            <w14:solidFill>
              <w14:schemeClr w14:val="tx1"/>
            </w14:solidFill>
          </w14:textFill>
        </w:rPr>
        <w:t>提升高层次人才培养质量。</w:t>
      </w:r>
      <w:r>
        <w:rPr>
          <w:rFonts w:ascii="Times New Roman" w:hAnsi="Times New Roman" w:eastAsia="仿宋_GB2312" w:cs="Times New Roman"/>
          <w:color w:val="000000" w:themeColor="text1"/>
          <w:kern w:val="0"/>
          <w:sz w:val="32"/>
          <w:szCs w:val="32"/>
          <w14:textFill>
            <w14:solidFill>
              <w14:schemeClr w14:val="tx1"/>
            </w14:solidFill>
          </w14:textFill>
        </w:rPr>
        <w:t>推动高等教育分类发展，鼓励具备条件的普通本科高校向应用型转变，加快推进独立学院转设。加强新型高校智库建设。到2025年，争取3所高校在若干学科领域达到世界一流水平，6所左右高校在同类型高校中达到国内一流水平，50个左右学科达到国内一流水平。</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40"/>
          <w14:textFill>
            <w14:solidFill>
              <w14:schemeClr w14:val="tx1"/>
            </w14:solidFill>
          </w14:textFill>
        </w:rPr>
      </w:pPr>
      <w:bookmarkStart w:id="121" w:name="_Toc62051626"/>
      <w:r>
        <w:rPr>
          <w:rFonts w:ascii="Times New Roman" w:hAnsi="Times New Roman" w:eastAsia="楷体_GB2312" w:cs="Times New Roman"/>
          <w:b/>
          <w:color w:val="000000" w:themeColor="text1"/>
          <w:sz w:val="32"/>
          <w:szCs w:val="40"/>
          <w14:textFill>
            <w14:solidFill>
              <w14:schemeClr w14:val="tx1"/>
            </w14:solidFill>
          </w14:textFill>
        </w:rPr>
        <w:t>第三节  创新发展职业教育</w:t>
      </w:r>
      <w:bookmarkEnd w:id="121"/>
    </w:p>
    <w:p>
      <w:pPr>
        <w:spacing w:line="568"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Style w:val="43"/>
          <w:rFonts w:ascii="Times New Roman" w:hAnsi="Times New Roman" w:eastAsia="仿宋_GB2312" w:cs="Times New Roman"/>
          <w:b/>
          <w:color w:val="000000" w:themeColor="text1"/>
          <w:sz w:val="32"/>
          <w:szCs w:val="32"/>
          <w14:textFill>
            <w14:solidFill>
              <w14:schemeClr w14:val="tx1"/>
            </w14:solidFill>
          </w14:textFill>
        </w:rPr>
        <w:t>推进职业教育协调发展。</w:t>
      </w:r>
      <w:r>
        <w:rPr>
          <w:rStyle w:val="43"/>
          <w:rFonts w:ascii="Times New Roman" w:hAnsi="Times New Roman" w:eastAsia="仿宋_GB2312" w:cs="Times New Roman"/>
          <w:color w:val="000000" w:themeColor="text1"/>
          <w:sz w:val="32"/>
          <w:szCs w:val="32"/>
          <w14:textFill>
            <w14:solidFill>
              <w14:schemeClr w14:val="tx1"/>
            </w14:solidFill>
          </w14:textFill>
        </w:rPr>
        <w:t>完善现代职业教育体系，实施中等职业教育标准化学校建设工程，遴选优质中等职业学校开展五年制高职试点，确保公办中等职业学校办学规模、办学质量与经济社会发展相适应。实施高等职业教育特色发展工程，扎实推进高水平高职学校和专业建设，强化特色发展、优质发展。稳步推进本科层次职业教育试点，探索开展高职学校与本科院校“3+2”贯通培养。探索优质高职教育资源合并转设举办本科层次职业教育。实施湖湘特色职业教育标准开发工程，建立一批省级优质职业教育标准。</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line="568" w:lineRule="exact"/>
        <w:ind w:firstLine="642" w:firstLineChars="200"/>
        <w:rPr>
          <w:rFonts w:ascii="Times New Roman" w:hAnsi="Times New Roman" w:eastAsia="仿宋_GB2312" w:cs="Times New Roman"/>
          <w:color w:val="000000" w:themeColor="text1"/>
          <w:sz w:val="32"/>
          <w:szCs w:val="32"/>
          <w:shd w:val="clear" w:color="auto" w:fill="FFFFFF"/>
          <w14:textFill>
            <w14:solidFill>
              <w14:schemeClr w14:val="tx1"/>
            </w14:solidFill>
          </w14:textFill>
        </w:rPr>
      </w:pPr>
      <w:r>
        <w:rPr>
          <w:rStyle w:val="43"/>
          <w:rFonts w:ascii="Times New Roman" w:hAnsi="Times New Roman" w:eastAsia="仿宋_GB2312" w:cs="Times New Roman"/>
          <w:b/>
          <w:color w:val="000000" w:themeColor="text1"/>
          <w:sz w:val="32"/>
          <w:szCs w:val="32"/>
          <w14:textFill>
            <w14:solidFill>
              <w14:schemeClr w14:val="tx1"/>
            </w14:solidFill>
          </w14:textFill>
        </w:rPr>
        <w:t>构建产教融合新生态。</w:t>
      </w:r>
      <w:r>
        <w:rPr>
          <w:rStyle w:val="43"/>
          <w:rFonts w:ascii="Times New Roman" w:hAnsi="Times New Roman" w:eastAsia="仿宋_GB2312" w:cs="Times New Roman"/>
          <w:color w:val="000000" w:themeColor="text1"/>
          <w:sz w:val="32"/>
          <w:szCs w:val="32"/>
          <w14:textFill>
            <w14:solidFill>
              <w14:schemeClr w14:val="tx1"/>
            </w14:solidFill>
          </w14:textFill>
        </w:rPr>
        <w:t>增强职业技术教育适应性，深化职普融通、产教融合、校企合作，大力培养技术技能人才。推动专业结构与产业结构精准对接，推进中等职业学校重点专业群和高等职业学校重点专业建设，支持校企共建一批高水平专业群。同步规划产业布局与职业教育布局，培育一批产教融合型城市和企业。全面推进职业教育集团化办学和新型学徒制、现代学徒制，探索推进职业院校股份制、混合所有制改革。加强职业院校创新创业教育。建立行业市场人才需要发布机制，建设一批公共实训中心、工程技术研究中心。</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2" w:name="_Toc62051627"/>
      <w:r>
        <w:rPr>
          <w:rFonts w:ascii="Times New Roman" w:hAnsi="Times New Roman" w:eastAsia="楷体_GB2312" w:cs="Times New Roman"/>
          <w:b/>
          <w:color w:val="000000" w:themeColor="text1"/>
          <w:sz w:val="32"/>
          <w:szCs w:val="32"/>
          <w14:textFill>
            <w14:solidFill>
              <w14:schemeClr w14:val="tx1"/>
            </w14:solidFill>
          </w14:textFill>
        </w:rPr>
        <w:t>第四节  完善终身教育体系</w:t>
      </w:r>
      <w:bookmarkEnd w:id="122"/>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Style w:val="43"/>
          <w:rFonts w:ascii="Times New Roman" w:hAnsi="Times New Roman" w:eastAsia="仿宋_GB2312" w:cs="Times New Roman"/>
          <w:color w:val="000000" w:themeColor="text1"/>
          <w:sz w:val="32"/>
          <w:szCs w:val="32"/>
          <w14:textFill>
            <w14:solidFill>
              <w14:schemeClr w14:val="tx1"/>
            </w14:solidFill>
          </w14:textFill>
        </w:rPr>
        <w:t>建立全民终身学习推进机制，建设学习型社会。畅通终身学习转换渠道，建立健全学分银行制度和学习成果认证制度。强化继续教育和社会培训，积极发展远程在线教育。扩大社区教育资源供给，加快发展社区教育，深入推进各类学习型组织建设。重视老年教育，提高老年教育服务能力。</w:t>
      </w:r>
      <w:r>
        <w:rPr>
          <w:rStyle w:val="43"/>
          <w:rFonts w:ascii="Times New Roman" w:hAnsi="Times New Roman" w:eastAsia="仿宋_GB2312" w:cs="Times New Roman"/>
          <w:color w:val="000000" w:themeColor="text1"/>
          <w:spacing w:val="-2"/>
          <w:sz w:val="32"/>
          <w:szCs w:val="32"/>
          <w14:textFill>
            <w14:solidFill>
              <w14:schemeClr w14:val="tx1"/>
            </w14:solidFill>
          </w14:textFill>
        </w:rPr>
        <w:t>提升终身教育质量，遴选建设一批示范性继续教育基地、社区教育示范基地和老年大学示范校</w:t>
      </w:r>
      <w:r>
        <w:rPr>
          <w:rFonts w:ascii="Times New Roman" w:hAnsi="Times New Roman" w:eastAsia="仿宋_GB2312" w:cs="Times New Roman"/>
          <w:color w:val="000000" w:themeColor="text1"/>
          <w:kern w:val="0"/>
          <w:sz w:val="32"/>
          <w:szCs w:val="32"/>
          <w14:textFill>
            <w14:solidFill>
              <w14:schemeClr w14:val="tx1"/>
            </w14:solidFill>
          </w14:textFill>
        </w:rPr>
        <w:t>。</w:t>
      </w:r>
      <w:r>
        <w:rPr>
          <w:rStyle w:val="43"/>
          <w:rFonts w:ascii="Times New Roman" w:hAnsi="Times New Roman" w:eastAsia="仿宋_GB2312" w:cs="Times New Roman"/>
          <w:color w:val="000000" w:themeColor="text1"/>
          <w:sz w:val="32"/>
          <w:szCs w:val="32"/>
          <w14:textFill>
            <w14:solidFill>
              <w14:schemeClr w14:val="tx1"/>
            </w14:solidFill>
          </w14:textFill>
        </w:rPr>
        <w:t>推进湖南开放大学综合改革。</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3" w:name="_Toc62051628"/>
      <w:r>
        <w:rPr>
          <w:rFonts w:ascii="Times New Roman" w:hAnsi="Times New Roman" w:eastAsia="楷体_GB2312" w:cs="Times New Roman"/>
          <w:b/>
          <w:color w:val="000000" w:themeColor="text1"/>
          <w:sz w:val="32"/>
          <w:szCs w:val="32"/>
          <w14:textFill>
            <w14:solidFill>
              <w14:schemeClr w14:val="tx1"/>
            </w14:solidFill>
          </w14:textFill>
        </w:rPr>
        <w:t>第五节  打造高素质教师队伍</w:t>
      </w:r>
      <w:bookmarkEnd w:id="123"/>
    </w:p>
    <w:p>
      <w:pPr>
        <w:numPr>
          <w:ilvl w:val="255"/>
          <w:numId w:val="0"/>
        </w:num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教师队伍建设，优化师资结构，拓宽教育人才引进、流动渠道，鼓励大学生到偏远地区、少数民族地区从事教育教学工作。夯实教师专业发展体系，健全教师职称、岗位和考评制度。完善教师培养、配备、培训制度，加强师范院校、师范专业建设和师范生培养，探索有基础的高水平综合大学成立教师教育学院，提升教师教书育人能力。实施职业院校教师职业能力提升工程，建设高水平“双师型”师资队伍。健全师德建设长效机制，加强师德养成和监督管理，提升教师职业道德素养。完善教师待遇保障制度，健全义务教育学校教师工资收入随当地公务员工资收入同步调整的长效联动机制，着力提高农村地区、偏远地区、少数民族地区教师待遇。</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4" w:name="_Toc62051629"/>
      <w:r>
        <w:rPr>
          <w:rFonts w:ascii="Times New Roman" w:hAnsi="Times New Roman" w:eastAsia="楷体_GB2312" w:cs="Times New Roman"/>
          <w:b/>
          <w:color w:val="000000" w:themeColor="text1"/>
          <w:sz w:val="32"/>
          <w:szCs w:val="32"/>
          <w14:textFill>
            <w14:solidFill>
              <w14:schemeClr w14:val="tx1"/>
            </w14:solidFill>
          </w14:textFill>
        </w:rPr>
        <w:t>第六节  深化教育综合改革</w:t>
      </w:r>
      <w:bookmarkEnd w:id="124"/>
      <w:r>
        <w:rPr>
          <w:rFonts w:ascii="Times New Roman" w:hAnsi="Times New Roman" w:eastAsia="楷体_GB2312" w:cs="Times New Roman"/>
          <w:b/>
          <w:color w:val="000000" w:themeColor="text1"/>
          <w:sz w:val="32"/>
          <w:szCs w:val="32"/>
          <w14:textFill>
            <w14:solidFill>
              <w14:schemeClr w14:val="tx1"/>
            </w14:solidFill>
          </w14:textFill>
        </w:rPr>
        <w:t xml:space="preserve"> </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深化教育领域改革创新。</w:t>
      </w:r>
      <w:r>
        <w:rPr>
          <w:rFonts w:ascii="Times New Roman" w:hAnsi="Times New Roman" w:eastAsia="仿宋_GB2312" w:cs="Times New Roman"/>
          <w:color w:val="000000" w:themeColor="text1"/>
          <w:sz w:val="32"/>
          <w:szCs w:val="32"/>
          <w14:textFill>
            <w14:solidFill>
              <w14:schemeClr w14:val="tx1"/>
            </w14:solidFill>
          </w14:textFill>
        </w:rPr>
        <w:t>以教育评价改革为龙头，全面引领教育领域综合改革。坚持立德树人，健全学校家庭社会协同育人机制。深化教育</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加快推进教育管办评分离。深化教育督导体制机制改革，充分发挥教育督导作用。完善高考改革配套措施，推进考试招生制度改革。深化新时代教师队伍建设改革，加快构建科学合理的教育评价体系和教育质量标准体系。推进教育资源配置改革，</w:t>
      </w:r>
      <w:r>
        <w:rPr>
          <w:rStyle w:val="43"/>
          <w:rFonts w:ascii="Times New Roman" w:hAnsi="Times New Roman" w:eastAsia="仿宋_GB2312" w:cs="Times New Roman"/>
          <w:color w:val="000000" w:themeColor="text1"/>
          <w:sz w:val="32"/>
          <w:szCs w:val="32"/>
          <w14:textFill>
            <w14:solidFill>
              <w14:schemeClr w14:val="tx1"/>
            </w14:solidFill>
          </w14:textFill>
        </w:rPr>
        <w:t>支持和规范民办教育发展，规范校外培训机构。建立健全中小学生减轻负担长效机制。</w:t>
      </w:r>
      <w:r>
        <w:rPr>
          <w:rFonts w:ascii="Times New Roman" w:hAnsi="Times New Roman" w:eastAsia="仿宋_GB2312" w:cs="Times New Roman"/>
          <w:color w:val="000000" w:themeColor="text1"/>
          <w:sz w:val="32"/>
          <w:szCs w:val="32"/>
          <w14:textFill>
            <w14:solidFill>
              <w14:schemeClr w14:val="tx1"/>
            </w14:solidFill>
          </w14:textFill>
        </w:rPr>
        <w:t>创新教育公共服务提供方式，探索建立政府购买教育公共服务制度。深入推广泸溪教育改革经验。</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完善教育发展保障体系。</w:t>
      </w:r>
      <w:r>
        <w:rPr>
          <w:rFonts w:ascii="Times New Roman" w:hAnsi="Times New Roman" w:eastAsia="仿宋_GB2312" w:cs="Times New Roman"/>
          <w:color w:val="000000" w:themeColor="text1"/>
          <w:sz w:val="32"/>
          <w:szCs w:val="32"/>
          <w14:textFill>
            <w14:solidFill>
              <w14:schemeClr w14:val="tx1"/>
            </w14:solidFill>
          </w14:textFill>
        </w:rPr>
        <w:t>健全完善教育投入的长效机制，落实教育投入法定增长要求，建立以提高教育质量为导向的经费使用机制。完善普惠性学前教育和特殊教育、专门教育保障机制。加快网络联校、数字校园、智能课堂建设，深化教育信息化融合运用，推进网络立德树人。深入开展高水平平安校园创建活动，加强学校学生安全工作，加快学校安防建设。提高民族地区和边远地区教育质量和水平，</w:t>
      </w:r>
      <w:r>
        <w:rPr>
          <w:rStyle w:val="43"/>
          <w:rFonts w:ascii="Times New Roman" w:hAnsi="Times New Roman" w:eastAsia="仿宋_GB2312" w:cs="Times New Roman"/>
          <w:color w:val="000000" w:themeColor="text1"/>
          <w:sz w:val="32"/>
          <w:szCs w:val="32"/>
          <w14:textFill>
            <w14:solidFill>
              <w14:schemeClr w14:val="tx1"/>
            </w14:solidFill>
          </w14:textFill>
        </w:rPr>
        <w:t>推广普及国家通用语言文字</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895" w:type="dxa"/>
            <w:shd w:val="clear" w:color="auto" w:fill="auto"/>
            <w:vAlign w:val="center"/>
          </w:tcPr>
          <w:p>
            <w:pPr>
              <w:spacing w:line="32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专栏30  教育发展行动计划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895" w:type="dxa"/>
            <w:shd w:val="clear" w:color="auto" w:fill="auto"/>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基础教育发展工程。</w:t>
            </w:r>
            <w:r>
              <w:rPr>
                <w:rFonts w:ascii="Times New Roman" w:hAnsi="Times New Roman" w:cs="Times New Roman"/>
                <w:color w:val="000000" w:themeColor="text1"/>
                <w:sz w:val="24"/>
                <w:szCs w:val="24"/>
                <w14:textFill>
                  <w14:solidFill>
                    <w14:schemeClr w14:val="tx1"/>
                  </w14:solidFill>
                </w14:textFill>
              </w:rPr>
              <w:t>实施好学前教育行动计划，扩大普惠学前教育资源供给。推动义务教育和特殊教育标准化学校建设，按照基础设施标准化要求建设乡镇寄宿制学校、教师周转房、学生食堂和功能室等。推进薄弱高中学校提质改造，支持薄弱高中校舍改扩建、配置图书和教学仪器设备以及体育运动场等附属设施建设，完善学科教室、创新实验室和社团活动室等高中功能室的建设。</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高等教育强基工程。</w:t>
            </w:r>
            <w:r>
              <w:rPr>
                <w:rFonts w:ascii="Times New Roman" w:hAnsi="Times New Roman" w:cs="Times New Roman"/>
                <w:color w:val="000000" w:themeColor="text1"/>
                <w:sz w:val="24"/>
                <w:szCs w:val="24"/>
                <w14:textFill>
                  <w14:solidFill>
                    <w14:schemeClr w14:val="tx1"/>
                  </w14:solidFill>
                </w14:textFill>
              </w:rPr>
              <w:t>推进高等学校基本办学条件达标，完善高校内部校舍设施配套，推动湘潭大学兴湘学院、长沙理工大学城南学院、吉首大学张家界学院等14所独立学院完成转设。加强一流本科教育建设，立项资助一批一流本科专业、一流本科课程、教学改革研究项目和大学生创新创业训练项目。严格落实教授为本科生授课的基本制度，加强骨干教师培训，提升教师教书育人能力。遴选省级职业教育专业教学创新团队400个、职业院校和应用型本科高校专业（群）带头人300名，建设一批教学团队，遴选一批示范教研室。</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现代职业教育质量提升工程。</w:t>
            </w:r>
            <w:r>
              <w:rPr>
                <w:rFonts w:ascii="Times New Roman" w:hAnsi="Times New Roman" w:cs="Times New Roman"/>
                <w:color w:val="000000" w:themeColor="text1"/>
                <w:sz w:val="24"/>
                <w:szCs w:val="24"/>
                <w14:textFill>
                  <w14:solidFill>
                    <w14:schemeClr w14:val="tx1"/>
                  </w14:solidFill>
                </w14:textFill>
              </w:rPr>
              <w:t>实施中等职业教育标准化学校建设工程、高等职业教育高质量发展工程和职业教育“楚怡”行动计划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到2025年，全省建成“楚怡”品牌高等职业学校30所、品牌中等职业学校60所，建成“楚怡”品牌高职高水平专业</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群</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150个、中职高水平专业（群）200个，建成一批省级职业教育教学团队、优质标准、优秀教材、精品课程和专业教学资源库等职业教育内涵建设项目，培育发展一批特色明显的职教城。</w:t>
            </w:r>
          </w:p>
          <w:p>
            <w:pPr>
              <w:spacing w:line="320" w:lineRule="exact"/>
              <w:ind w:firstLine="481" w:firstLineChars="200"/>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产教融合发展工程。</w:t>
            </w:r>
            <w:r>
              <w:rPr>
                <w:rFonts w:ascii="Times New Roman" w:hAnsi="Times New Roman" w:cs="Times New Roman"/>
                <w:color w:val="000000" w:themeColor="text1"/>
                <w:sz w:val="24"/>
                <w:szCs w:val="24"/>
                <w14:textFill>
                  <w14:solidFill>
                    <w14:schemeClr w14:val="tx1"/>
                  </w14:solidFill>
                </w14:textFill>
              </w:rPr>
              <w:t>推进国家产教融合城市群试点，在先进制造业和社会民生等领域重点建设培育一批产教融合型企业，依托行业骨干企业建设一批省级产教融合研究生联合培养基地、校企合作公共实训基地，建成一批示范性职业教育集团。依托试点城市建成开放共享的产教融合信息服务平台。</w:t>
            </w:r>
          </w:p>
        </w:tc>
      </w:tr>
    </w:tbl>
    <w:p>
      <w:pPr>
        <w:keepNext/>
        <w:keepLines/>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25" w:name="_Toc62051630"/>
      <w:r>
        <w:rPr>
          <w:rFonts w:ascii="Times New Roman" w:hAnsi="Times New Roman" w:eastAsia="黑体" w:cs="Times New Roman"/>
          <w:color w:val="000000" w:themeColor="text1"/>
          <w:sz w:val="32"/>
          <w14:textFill>
            <w14:solidFill>
              <w14:schemeClr w14:val="tx1"/>
            </w14:solidFill>
          </w14:textFill>
        </w:rPr>
        <w:t>第二十四章  建设健康湖南</w:t>
      </w:r>
      <w:bookmarkEnd w:id="125"/>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把保障人民健康放在优先发展的战略位置，坚持预防为主、病有所医的方针，深入实施健康湖南行动，织牢公共卫生防护网，为人民提供全方位全周期健康服务。</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6" w:name="_Toc62051631"/>
      <w:r>
        <w:rPr>
          <w:rFonts w:ascii="Times New Roman" w:hAnsi="Times New Roman" w:eastAsia="楷体_GB2312" w:cs="Times New Roman"/>
          <w:b/>
          <w:color w:val="000000" w:themeColor="text1"/>
          <w:sz w:val="32"/>
          <w14:textFill>
            <w14:solidFill>
              <w14:schemeClr w14:val="tx1"/>
            </w14:solidFill>
          </w14:textFill>
        </w:rPr>
        <w:t>第一节  提升医疗服务能力</w:t>
      </w:r>
      <w:bookmarkEnd w:id="126"/>
    </w:p>
    <w:p>
      <w:pPr>
        <w:spacing w:line="61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建设区域医疗中心。</w:t>
      </w:r>
      <w:r>
        <w:rPr>
          <w:rFonts w:ascii="Times New Roman" w:hAnsi="Times New Roman" w:eastAsia="仿宋_GB2312" w:cs="Times New Roman"/>
          <w:color w:val="000000" w:themeColor="text1"/>
          <w:sz w:val="32"/>
          <w14:textFill>
            <w14:solidFill>
              <w14:schemeClr w14:val="tx1"/>
            </w14:solidFill>
          </w14:textFill>
        </w:rPr>
        <w:t>依托湘雅系医院和省属医院，整合相关医疗资源，争取布局建设国家医学中心，创建专科国家区域医疗中心，建成国家重大疫情救治基地。建设一批省级区域医疗中心，加快发展省域医联体，促进优质医疗资源区域均衡布局，建成省域内具有较强辐射作用的优质医疗服务、医学科研和人才培养基地。</w:t>
      </w:r>
    </w:p>
    <w:p>
      <w:pPr>
        <w:spacing w:line="61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推进优质医疗资源提质扩容。</w:t>
      </w:r>
      <w:r>
        <w:rPr>
          <w:rFonts w:ascii="Times New Roman" w:hAnsi="Times New Roman" w:eastAsia="仿宋_GB2312" w:cs="Times New Roman"/>
          <w:color w:val="000000" w:themeColor="text1"/>
          <w:sz w:val="32"/>
          <w14:textFill>
            <w14:solidFill>
              <w14:schemeClr w14:val="tx1"/>
            </w14:solidFill>
          </w14:textFill>
        </w:rPr>
        <w:t>推进市州高水平综合医院建设，</w:t>
      </w:r>
      <w:r>
        <w:rPr>
          <w:rFonts w:ascii="Times New Roman" w:hAnsi="Times New Roman" w:eastAsia="仿宋_GB2312" w:cs="Times New Roman"/>
          <w:color w:val="000000" w:themeColor="text1"/>
          <w:sz w:val="32"/>
          <w:szCs w:val="32"/>
          <w14:textFill>
            <w14:solidFill>
              <w14:schemeClr w14:val="tx1"/>
            </w14:solidFill>
          </w14:textFill>
        </w:rPr>
        <w:t>加强精神、妇幼</w:t>
      </w:r>
      <w:r>
        <w:rPr>
          <w:rFonts w:ascii="Times New Roman" w:hAnsi="Times New Roman" w:eastAsia="仿宋_GB2312" w:cs="Times New Roman"/>
          <w:color w:val="000000" w:themeColor="text1"/>
          <w:sz w:val="32"/>
          <w14:textFill>
            <w14:solidFill>
              <w14:schemeClr w14:val="tx1"/>
            </w14:solidFill>
          </w14:textFill>
        </w:rPr>
        <w:t>儿童、老年康复护理、传染等专科医院和高水平肿瘤医院建设，分层分级打造一批省级临床重点专科，提升薄弱专科领域诊疗能力。推进组建专科联盟，深入实施</w:t>
      </w:r>
      <w:r>
        <w:rPr>
          <w:rFonts w:ascii="Times New Roman" w:hAnsi="Times New Roman" w:eastAsia="仿宋_GB2312" w:cs="Times New Roman"/>
          <w:color w:val="000000" w:themeColor="text1"/>
          <w:sz w:val="32"/>
          <w:szCs w:val="32"/>
          <w14:textFill>
            <w14:solidFill>
              <w14:schemeClr w14:val="tx1"/>
            </w14:solidFill>
          </w14:textFill>
        </w:rPr>
        <w:t>城乡医院对口支援制度。加快实施县级医院提标扩能工程和救治能力提升工程，</w:t>
      </w:r>
      <w:r>
        <w:rPr>
          <w:rFonts w:ascii="Times New Roman" w:hAnsi="Times New Roman" w:eastAsia="仿宋_GB2312" w:cs="Times New Roman"/>
          <w:color w:val="000000" w:themeColor="text1"/>
          <w:sz w:val="32"/>
          <w14:textFill>
            <w14:solidFill>
              <w14:schemeClr w14:val="tx1"/>
            </w14:solidFill>
          </w14:textFill>
        </w:rPr>
        <w:t>着力建设一批专病中心，支持县域三级医院创建。加快院前急救体系建设，构建快速响应机制和协同救治网络。</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提升基层医疗服务能力。</w:t>
      </w:r>
      <w:r>
        <w:rPr>
          <w:rFonts w:ascii="Times New Roman" w:hAnsi="Times New Roman" w:eastAsia="仿宋_GB2312" w:cs="Times New Roman"/>
          <w:color w:val="000000" w:themeColor="text1"/>
          <w:sz w:val="32"/>
          <w14:textFill>
            <w14:solidFill>
              <w14:schemeClr w14:val="tx1"/>
            </w14:solidFill>
          </w14:textFill>
        </w:rPr>
        <w:t>选择部分中心卫生院和社区卫生服务中心建设成为达到二级医院水平的县域医疗卫生副中心和社区医院。加强基层医疗卫生机构房屋建设、设施设备配备、人才培养培训、特色专病专科建设。</w:t>
      </w:r>
      <w:r>
        <w:rPr>
          <w:rFonts w:ascii="Times New Roman" w:hAnsi="Times New Roman" w:eastAsia="仿宋_GB2312" w:cs="Times New Roman"/>
          <w:color w:val="000000" w:themeColor="text1"/>
          <w:sz w:val="32"/>
          <w:szCs w:val="32"/>
          <w14:textFill>
            <w14:solidFill>
              <w14:schemeClr w14:val="tx1"/>
            </w14:solidFill>
          </w14:textFill>
        </w:rPr>
        <w:t>完善家庭医生签约服务，健全农村三级医疗服务网，推进分级诊疗制度建设。到2025年，县域内和基层医疗卫生机构就诊率分别达到95%</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70%以上，实现“大病不出县、小病不出乡”目标。</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促进中医药传承创新发展。</w:t>
      </w:r>
      <w:r>
        <w:rPr>
          <w:rFonts w:ascii="Times New Roman" w:hAnsi="Times New Roman" w:eastAsia="仿宋_GB2312" w:cs="Times New Roman"/>
          <w:color w:val="000000" w:themeColor="text1"/>
          <w:sz w:val="32"/>
          <w:szCs w:val="32"/>
          <w14:textFill>
            <w14:solidFill>
              <w14:schemeClr w14:val="tx1"/>
            </w14:solidFill>
          </w14:textFill>
        </w:rPr>
        <w:t>创建国家中医医学中心，健全完善中西医高效协同的重大疫情防控救治机制，建设国家中医疫病防治基地和紧急医学救援基地。建设一批省级区域中医医疗中心。建设一批区域中药制剂中心和道地药材生态种植基地。实施基层中医药服务能力提升工程，实现全部社区卫生服务中心和乡镇卫生院设置中医馆、配备中医医师。加强中医优势专科建设，推进重大疾病中西医协同攻关。</w:t>
      </w:r>
      <w:r>
        <w:rPr>
          <w:rFonts w:ascii="Times New Roman" w:hAnsi="Times New Roman" w:eastAsia="仿宋_GB2312" w:cs="Times New Roman"/>
          <w:color w:val="000000" w:themeColor="text1"/>
          <w:sz w:val="32"/>
          <w14:textFill>
            <w14:solidFill>
              <w14:schemeClr w14:val="tx1"/>
            </w14:solidFill>
          </w14:textFill>
        </w:rPr>
        <w:t>实施</w:t>
      </w:r>
      <w:r>
        <w:rPr>
          <w:rFonts w:ascii="Times New Roman" w:hAnsi="Times New Roman" w:eastAsia="仿宋_GB2312" w:cs="Times New Roman"/>
          <w:color w:val="000000" w:themeColor="text1"/>
          <w:sz w:val="32"/>
          <w:szCs w:val="32"/>
          <w14:textFill>
            <w14:solidFill>
              <w14:schemeClr w14:val="tx1"/>
            </w14:solidFill>
          </w14:textFill>
        </w:rPr>
        <w:t>中医药传承创新工程，加强重大疑难疾病、慢性病等中医药防治技术和新药研发，建设国家中医药传承创新中心和临床研究基地。推进中医药国内一流学科建设，培养高层次中医药人才。</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深化医药卫生体制改革。</w:t>
      </w:r>
      <w:r>
        <w:rPr>
          <w:rFonts w:ascii="Times New Roman" w:hAnsi="Times New Roman" w:eastAsia="仿宋_GB2312" w:cs="Times New Roman"/>
          <w:color w:val="000000" w:themeColor="text1"/>
          <w:sz w:val="32"/>
          <w14:textFill>
            <w14:solidFill>
              <w14:schemeClr w14:val="tx1"/>
            </w14:solidFill>
          </w14:textFill>
        </w:rPr>
        <w:t>坚持基本医疗卫生事业公益属性，深化公立医院综合改革</w:t>
      </w:r>
      <w:r>
        <w:rPr>
          <w:rFonts w:ascii="Times New Roman" w:hAnsi="Times New Roman" w:eastAsia="仿宋_GB2312" w:cs="Times New Roman"/>
          <w:color w:val="000000" w:themeColor="text1"/>
          <w:sz w:val="32"/>
          <w:szCs w:val="32"/>
          <w14:textFill>
            <w14:solidFill>
              <w14:schemeClr w14:val="tx1"/>
            </w14:solidFill>
          </w14:textFill>
        </w:rPr>
        <w:t>，推进现代医院管理制度改革。统筹推进县域综合医改，加强医疗、医保、医药“三医”联动及公共卫生等改革集成创新。完善基本药物制度，优化各级医疗机构基本药物配备使用管理，推进全省药品和耗材集中采购改革。完善疾病控制预防体系，加强疾控机构标准化建设。促进社会办医持续健康规范发展，促进健康产业发展。强化医务人员队伍建设，加强医疗卫生行业综合监管，加快“互联网+医疗健康”发展，努力提高医疗技术水平和服务质量。</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7" w:name="_Toc62051632"/>
      <w:r>
        <w:rPr>
          <w:rFonts w:ascii="Times New Roman" w:hAnsi="Times New Roman" w:eastAsia="楷体_GB2312" w:cs="Times New Roman"/>
          <w:b/>
          <w:color w:val="000000" w:themeColor="text1"/>
          <w:sz w:val="32"/>
          <w14:textFill>
            <w14:solidFill>
              <w14:schemeClr w14:val="tx1"/>
            </w14:solidFill>
          </w14:textFill>
        </w:rPr>
        <w:t>第二节  完善公共卫生服务体系</w:t>
      </w:r>
      <w:bookmarkEnd w:id="127"/>
    </w:p>
    <w:p>
      <w:pPr>
        <w:spacing w:line="616" w:lineRule="exact"/>
        <w:ind w:firstLine="618"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14:textFill>
            <w14:solidFill>
              <w14:schemeClr w14:val="tx1"/>
            </w14:solidFill>
          </w14:textFill>
        </w:rPr>
        <w:t>加强公共卫生服务。</w:t>
      </w:r>
      <w:r>
        <w:rPr>
          <w:rFonts w:ascii="Times New Roman" w:hAnsi="Times New Roman" w:eastAsia="仿宋_GB2312" w:cs="Times New Roman"/>
          <w:color w:val="000000" w:themeColor="text1"/>
          <w:spacing w:val="-6"/>
          <w:sz w:val="32"/>
          <w14:textFill>
            <w14:solidFill>
              <w14:schemeClr w14:val="tx1"/>
            </w14:solidFill>
          </w14:textFill>
        </w:rPr>
        <w:t>适应城乡居民健康需求，加快构建基本卫生健康服务全面覆盖、医疗卫生服务优质高效、疾病预防控制精准完善、突发公共卫生事件应对有力的公共卫生服务体系。完善公共卫生服务机制，加强公共卫生服务机构建设，拓展基本公共卫生服务项目内容，强化基本公共卫生服务的基层指导，推进基本公共卫生服务均等化。</w:t>
      </w:r>
      <w:r>
        <w:rPr>
          <w:rFonts w:ascii="Times New Roman" w:hAnsi="Times New Roman" w:eastAsia="仿宋_GB2312" w:cs="Times New Roman"/>
          <w:color w:val="000000" w:themeColor="text1"/>
          <w:spacing w:val="-6"/>
          <w:sz w:val="32"/>
          <w:szCs w:val="32"/>
          <w14:textFill>
            <w14:solidFill>
              <w14:schemeClr w14:val="tx1"/>
            </w14:solidFill>
          </w14:textFill>
        </w:rPr>
        <w:t>开展基层慢性病医防融合，探索建立</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县治</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乡管</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村访</w:t>
      </w:r>
      <w:r>
        <w:rPr>
          <w:rFonts w:hint="eastAsia" w:ascii="Times New Roman" w:hAnsi="Times New Roman" w:eastAsia="仿宋_GB2312" w:cs="Times New Roman"/>
          <w:color w:val="000000" w:themeColor="text1"/>
          <w:spacing w:val="-6"/>
          <w:sz w:val="32"/>
          <w:szCs w:val="32"/>
          <w14:textFill>
            <w14:solidFill>
              <w14:schemeClr w14:val="tx1"/>
            </w14:solidFill>
          </w14:textFill>
        </w:rPr>
        <w:t>”分级</w:t>
      </w:r>
      <w:r>
        <w:rPr>
          <w:rFonts w:ascii="Times New Roman" w:hAnsi="Times New Roman" w:eastAsia="仿宋_GB2312" w:cs="Times New Roman"/>
          <w:color w:val="000000" w:themeColor="text1"/>
          <w:spacing w:val="-6"/>
          <w:sz w:val="32"/>
          <w:szCs w:val="32"/>
          <w14:textFill>
            <w14:solidFill>
              <w14:schemeClr w14:val="tx1"/>
            </w14:solidFill>
          </w14:textFill>
        </w:rPr>
        <w:t>诊疗模式。积极开展突发事件紧急医学救援和突发公共卫生事件应急处置。</w:t>
      </w:r>
      <w:r>
        <w:rPr>
          <w:rFonts w:ascii="Times New Roman" w:hAnsi="Times New Roman" w:eastAsia="仿宋_GB2312" w:cs="Times New Roman"/>
          <w:color w:val="000000" w:themeColor="text1"/>
          <w:spacing w:val="-6"/>
          <w:sz w:val="32"/>
          <w14:textFill>
            <w14:solidFill>
              <w14:schemeClr w14:val="tx1"/>
            </w14:solidFill>
          </w14:textFill>
        </w:rPr>
        <w:t>健全</w:t>
      </w:r>
      <w:r>
        <w:rPr>
          <w:rFonts w:ascii="Times New Roman" w:hAnsi="Times New Roman" w:eastAsia="仿宋_GB2312" w:cs="Times New Roman"/>
          <w:color w:val="000000" w:themeColor="text1"/>
          <w:spacing w:val="-6"/>
          <w:sz w:val="32"/>
          <w:szCs w:val="32"/>
          <w14:textFill>
            <w14:solidFill>
              <w14:schemeClr w14:val="tx1"/>
            </w14:solidFill>
          </w14:textFill>
        </w:rPr>
        <w:t>慢性非传染性疾病预防控制网络，加强癌症和精神疾病等慢性病防治。完善艾滋病、结核病、血吸虫病等传染病预防控制体系。加大职业病防治保障力度，基本控制重大急性职业病危害事故的发生。</w:t>
      </w:r>
      <w:r>
        <w:rPr>
          <w:rFonts w:ascii="Times New Roman" w:hAnsi="Times New Roman" w:eastAsia="仿宋_GB2312" w:cs="Times New Roman"/>
          <w:color w:val="000000" w:themeColor="text1"/>
          <w:spacing w:val="-6"/>
          <w:kern w:val="0"/>
          <w:sz w:val="32"/>
          <w:szCs w:val="32"/>
          <w14:textFill>
            <w14:solidFill>
              <w14:schemeClr w14:val="tx1"/>
            </w14:solidFill>
          </w14:textFill>
        </w:rPr>
        <w:t>深入开展爱国卫生运动，</w:t>
      </w:r>
      <w:r>
        <w:rPr>
          <w:rFonts w:ascii="Times New Roman" w:hAnsi="Times New Roman" w:eastAsia="仿宋_GB2312" w:cs="Times New Roman"/>
          <w:color w:val="000000" w:themeColor="text1"/>
          <w:spacing w:val="-6"/>
          <w:sz w:val="32"/>
          <w14:textFill>
            <w14:solidFill>
              <w14:schemeClr w14:val="tx1"/>
            </w14:solidFill>
          </w14:textFill>
        </w:rPr>
        <w:t>完善国民健康促进政策，广泛开展健康科普教育，提升全民健康素养</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616" w:lineRule="exact"/>
        <w:ind w:firstLine="642"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加强重点人群健康服务。</w:t>
      </w:r>
      <w:r>
        <w:rPr>
          <w:rFonts w:ascii="Times New Roman" w:hAnsi="Times New Roman" w:eastAsia="仿宋_GB2312" w:cs="Times New Roman"/>
          <w:color w:val="000000" w:themeColor="text1"/>
          <w:sz w:val="32"/>
          <w:szCs w:val="32"/>
          <w14:textFill>
            <w14:solidFill>
              <w14:schemeClr w14:val="tx1"/>
            </w14:solidFill>
          </w14:textFill>
        </w:rPr>
        <w:t>加强妇女儿童常见病筛查与早诊早治，推进实施适龄妇女“两癌”免费检查、预防艾滋病梅毒和乙肝母婴传播、儿童营养改善、儿童眼保健和视力检查等重大公共卫生项目。推进“互联网+”妇幼健康服务工作新模式，提高妇幼健康水平。推进老年健康服务体系建设，强化老年人健康管理，积极发展老年医院、康复医院、护理院等医疗机构，推动二级以上综合医院设置老年医学科，探索开展机构和居家安宁疗护服务。加大对低收入残疾人医疗救助力度，完善残疾儿童康复救助制度。</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8" w:name="_Toc62051633"/>
      <w:r>
        <w:rPr>
          <w:rFonts w:ascii="Times New Roman" w:hAnsi="Times New Roman" w:eastAsia="楷体_GB2312" w:cs="Times New Roman"/>
          <w:b/>
          <w:color w:val="000000" w:themeColor="text1"/>
          <w:sz w:val="32"/>
          <w14:textFill>
            <w14:solidFill>
              <w14:schemeClr w14:val="tx1"/>
            </w14:solidFill>
          </w14:textFill>
        </w:rPr>
        <w:t>第三节  提高全民身体素质</w:t>
      </w:r>
      <w:bookmarkEnd w:id="128"/>
    </w:p>
    <w:p>
      <w:pPr>
        <w:spacing w:line="61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完善全民健身公共服务体系。</w:t>
      </w:r>
      <w:r>
        <w:rPr>
          <w:rFonts w:ascii="Times New Roman" w:hAnsi="Times New Roman" w:eastAsia="仿宋_GB2312" w:cs="Times New Roman"/>
          <w:color w:val="000000" w:themeColor="text1"/>
          <w:kern w:val="0"/>
          <w:sz w:val="32"/>
          <w:szCs w:val="32"/>
          <w14:textFill>
            <w14:solidFill>
              <w14:schemeClr w14:val="tx1"/>
            </w14:solidFill>
          </w14:textFill>
        </w:rPr>
        <w:t>推进体育强省建设，构建县市区、乡镇（街道）、村（社区）三级全民健身设施网络和15分钟健身圈。加大健身场地设施建设，推动居民住宅小区配建健身设施，统筹建设一批社区体育公园、健身步道、全民健身中心、多功能运动场，确保公共体育场馆设施向社会免费或低收费开放。</w:t>
      </w:r>
    </w:p>
    <w:p>
      <w:pPr>
        <w:spacing w:line="61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广泛开展全民健身运动。</w:t>
      </w:r>
      <w:r>
        <w:rPr>
          <w:rFonts w:ascii="Times New Roman" w:hAnsi="Times New Roman" w:eastAsia="仿宋_GB2312" w:cs="Times New Roman"/>
          <w:color w:val="000000" w:themeColor="text1"/>
          <w:kern w:val="0"/>
          <w:sz w:val="32"/>
          <w:szCs w:val="32"/>
          <w14:textFill>
            <w14:solidFill>
              <w14:schemeClr w14:val="tx1"/>
            </w14:solidFill>
          </w14:textFill>
        </w:rPr>
        <w:t>实施全民健身战略，完善全民健身活动体系，深入开展具有消费引领特征的体育赛事活动，打造全民健身特色品牌赛事。促进重点人群开展体育活动，制定实施青少年、妇女、老年人、职业群体及残疾人等特殊群体的体质健康干预计划。</w:t>
      </w:r>
    </w:p>
    <w:p>
      <w:pPr>
        <w:spacing w:line="616" w:lineRule="exact"/>
        <w:ind w:firstLine="642" w:firstLineChars="200"/>
        <w:jc w:val="left"/>
        <w:rPr>
          <w:rFonts w:ascii="Times New Roman" w:hAnsi="Times New Roman" w:eastAsia="仿宋_GB2312" w:cs="Times New Roman"/>
          <w:color w:val="000000" w:themeColor="text1"/>
          <w:spacing w:val="6"/>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推动体育融合发展。</w:t>
      </w:r>
      <w:r>
        <w:rPr>
          <w:rFonts w:ascii="Times New Roman" w:hAnsi="Times New Roman" w:eastAsia="仿宋_GB2312" w:cs="Times New Roman"/>
          <w:color w:val="000000" w:themeColor="text1"/>
          <w:sz w:val="32"/>
          <w14:textFill>
            <w14:solidFill>
              <w14:schemeClr w14:val="tx1"/>
            </w14:solidFill>
          </w14:textFill>
        </w:rPr>
        <w:t>深化体医融合，</w:t>
      </w:r>
      <w:r>
        <w:rPr>
          <w:rFonts w:ascii="Times New Roman" w:hAnsi="Times New Roman" w:eastAsia="仿宋_GB2312" w:cs="Times New Roman"/>
          <w:color w:val="000000" w:themeColor="text1"/>
          <w:kern w:val="0"/>
          <w:sz w:val="32"/>
          <w:szCs w:val="32"/>
          <w14:textFill>
            <w14:solidFill>
              <w14:schemeClr w14:val="tx1"/>
            </w14:solidFill>
          </w14:textFill>
        </w:rPr>
        <w:t>推动形成体医结合的疾病管理与健康服务模式，将运动健身指导纳入社区卫生服务体系。深化体教融合，实施青少年体育促进计划，保障各级各类学校开齐开足体育课，促进学生至少掌握一种体育运动技能。深化文体融合，推广中华传统体育项目。促进体育文化旅游融合，实施体育文化旅游精品示范工程，打造有影响力的体育文化旅游精品线路、精品赛事和示范基地，加快体育产业发展</w:t>
      </w:r>
      <w:r>
        <w:rPr>
          <w:rFonts w:ascii="Times New Roman" w:hAnsi="Times New Roman" w:eastAsia="仿宋_GB2312" w:cs="Times New Roman"/>
          <w:color w:val="000000" w:themeColor="text1"/>
          <w:spacing w:val="6"/>
          <w:kern w:val="0"/>
          <w:sz w:val="32"/>
          <w:szCs w:val="32"/>
          <w14:textFill>
            <w14:solidFill>
              <w14:schemeClr w14:val="tx1"/>
            </w14:solidFill>
          </w14:textFill>
        </w:rPr>
        <w:t>。</w:t>
      </w:r>
    </w:p>
    <w:tbl>
      <w:tblPr>
        <w:tblStyle w:val="25"/>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93" w:type="dxa"/>
            <w:shd w:val="clear" w:color="auto" w:fill="auto"/>
            <w:vAlign w:val="center"/>
          </w:tcPr>
          <w:p>
            <w:pPr>
              <w:spacing w:line="40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专栏31  健康湖南建设工程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093" w:type="dxa"/>
            <w:shd w:val="clear" w:color="auto" w:fill="auto"/>
          </w:tcPr>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区域医疗中心建设。</w:t>
            </w:r>
            <w:r>
              <w:rPr>
                <w:rFonts w:ascii="Times New Roman" w:hAnsi="Times New Roman" w:cs="Times New Roman"/>
                <w:color w:val="000000" w:themeColor="text1"/>
                <w:sz w:val="24"/>
                <w:szCs w:val="24"/>
                <w14:textFill>
                  <w14:solidFill>
                    <w14:schemeClr w14:val="tx1"/>
                  </w14:solidFill>
                </w14:textFill>
              </w:rPr>
              <w:t>以部省级大型医院为主体、市级综合医院为支点、5G智慧医疗为依托，创建综合性国家医学中心。建设一批省级区域医疗中心。推进省级专科医疗中心建设。</w:t>
            </w:r>
          </w:p>
          <w:p>
            <w:pPr>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应急医疗物资储备基地建设。</w:t>
            </w:r>
            <w:r>
              <w:rPr>
                <w:rFonts w:ascii="Times New Roman" w:hAnsi="Times New Roman" w:cs="Times New Roman"/>
                <w:color w:val="000000" w:themeColor="text1"/>
                <w:sz w:val="24"/>
                <w:szCs w:val="24"/>
                <w14:textFill>
                  <w14:solidFill>
                    <w14:schemeClr w14:val="tx1"/>
                  </w14:solidFill>
                </w14:textFill>
              </w:rPr>
              <w:t>依托省疾控中心建设区域性疫情防控物资储备基地。建设若干省级、市级应急物资储备基地。配建智能化的仓储、调配、物流等系统，建立实物储备、合同储备、生产能力储备及应急物资质量快速检验检测等机制。</w:t>
            </w:r>
          </w:p>
          <w:p>
            <w:pPr>
              <w:tabs>
                <w:tab w:val="center" w:pos="4153"/>
                <w:tab w:val="right" w:pos="8306"/>
              </w:tabs>
              <w:snapToGrid w:val="0"/>
              <w:spacing w:line="32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现代化疾病防控网建设。</w:t>
            </w:r>
            <w:r>
              <w:rPr>
                <w:rFonts w:ascii="Times New Roman" w:hAnsi="Times New Roman" w:cs="Times New Roman"/>
                <w:color w:val="000000" w:themeColor="text1"/>
                <w:sz w:val="24"/>
                <w:szCs w:val="24"/>
                <w14:textFill>
                  <w14:solidFill>
                    <w14:schemeClr w14:val="tx1"/>
                  </w14:solidFill>
                </w14:textFill>
              </w:rPr>
              <w:t>建设高水平的省级疾控中心，配建生物安全三级（P3）实验室等基础设施。建设湖南省公共卫生救治中心。实施疾病预防控制体系标准化建设工程，补齐市州、县市区疾病预防控制机构基础设施和检验检测设备短板，市县两级疾控中心检验检测项目达到国家标准。</w:t>
            </w:r>
          </w:p>
          <w:p>
            <w:pPr>
              <w:tabs>
                <w:tab w:val="center" w:pos="4153"/>
                <w:tab w:val="right" w:pos="8306"/>
              </w:tabs>
              <w:snapToGrid w:val="0"/>
              <w:spacing w:line="32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基层医疗卫生机构标准化建设。</w:t>
            </w:r>
            <w:r>
              <w:rPr>
                <w:rFonts w:ascii="Times New Roman" w:hAnsi="Times New Roman" w:cs="Times New Roman"/>
                <w:color w:val="000000" w:themeColor="text1"/>
                <w:sz w:val="24"/>
                <w:szCs w:val="24"/>
                <w14:textFill>
                  <w14:solidFill>
                    <w14:schemeClr w14:val="tx1"/>
                  </w14:solidFill>
                </w14:textFill>
              </w:rPr>
              <w:t>推进县域三级医院创建，到2025年</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力争全省50%的县（市）拥有一家三级综合医院。统筹建设县域医疗卫生副中心、社区医院。推进建制乡镇卫生院、非建制</w:t>
            </w:r>
            <w:r>
              <w:rPr>
                <w:rFonts w:hint="eastAsia" w:ascii="Times New Roman" w:hAnsi="Times New Roman" w:cs="Times New Roman"/>
                <w:color w:val="000000" w:themeColor="text1"/>
                <w:sz w:val="24"/>
                <w:szCs w:val="24"/>
                <w14:textFill>
                  <w14:solidFill>
                    <w14:schemeClr w14:val="tx1"/>
                  </w14:solidFill>
                </w14:textFill>
              </w:rPr>
              <w:t>乡镇</w:t>
            </w:r>
            <w:r>
              <w:rPr>
                <w:rFonts w:ascii="Times New Roman" w:hAnsi="Times New Roman" w:cs="Times New Roman"/>
                <w:color w:val="000000" w:themeColor="text1"/>
                <w:sz w:val="24"/>
                <w:szCs w:val="24"/>
                <w14:textFill>
                  <w14:solidFill>
                    <w14:schemeClr w14:val="tx1"/>
                  </w14:solidFill>
                </w14:textFill>
              </w:rPr>
              <w:t>卫生院、社区卫生服务中心和行政村卫生室标准化建设。到2025年，建制乡镇卫生院、全省行政村卫生室标准化建设达标率达到国家规定要求。</w:t>
            </w:r>
          </w:p>
          <w:p>
            <w:pPr>
              <w:tabs>
                <w:tab w:val="center" w:pos="4153"/>
                <w:tab w:val="right" w:pos="8306"/>
              </w:tabs>
              <w:snapToGrid w:val="0"/>
              <w:spacing w:line="32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妇幼健康服务体系建设。</w:t>
            </w:r>
            <w:r>
              <w:rPr>
                <w:rFonts w:ascii="Times New Roman" w:hAnsi="Times New Roman" w:cs="Times New Roman"/>
                <w:color w:val="000000" w:themeColor="text1"/>
                <w:sz w:val="24"/>
                <w:szCs w:val="24"/>
                <w14:textFill>
                  <w14:solidFill>
                    <w14:schemeClr w14:val="tx1"/>
                  </w14:solidFill>
                </w14:textFill>
              </w:rPr>
              <w:t>省、市、县分别建设1所公益性、标准化妇幼保健机构。到2025年，市级妇幼保健机构均达到三级标准，80%以上的县级妇幼保健机构达到二级标准。</w:t>
            </w:r>
          </w:p>
          <w:p>
            <w:pPr>
              <w:tabs>
                <w:tab w:val="center" w:pos="4153"/>
                <w:tab w:val="right" w:pos="8306"/>
              </w:tabs>
              <w:snapToGrid w:val="0"/>
              <w:spacing w:line="32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中医医疗机构建设。</w:t>
            </w:r>
            <w:r>
              <w:rPr>
                <w:rFonts w:ascii="Times New Roman" w:hAnsi="Times New Roman" w:cs="Times New Roman"/>
                <w:color w:val="000000" w:themeColor="text1"/>
                <w:sz w:val="24"/>
                <w:szCs w:val="24"/>
                <w14:textFill>
                  <w14:solidFill>
                    <w14:schemeClr w14:val="tx1"/>
                  </w14:solidFill>
                </w14:textFill>
              </w:rPr>
              <w:t>依托省内高水平中医医院，建设一批中医药传承创新中心、中西医结合医院和中医特色医院，提升中医医院急救能力，建设中医公共卫生防治基地。</w:t>
            </w:r>
          </w:p>
          <w:p>
            <w:pPr>
              <w:tabs>
                <w:tab w:val="center" w:pos="4153"/>
                <w:tab w:val="right" w:pos="8306"/>
              </w:tabs>
              <w:snapToGrid w:val="0"/>
              <w:spacing w:line="320" w:lineRule="exact"/>
              <w:ind w:firstLine="481"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全民健身场地设施补短板工程。</w:t>
            </w:r>
            <w:r>
              <w:rPr>
                <w:rFonts w:ascii="Times New Roman" w:hAnsi="Times New Roman" w:cs="Times New Roman"/>
                <w:color w:val="000000" w:themeColor="text1"/>
                <w:sz w:val="24"/>
                <w:szCs w:val="24"/>
                <w14:textFill>
                  <w14:solidFill>
                    <w14:schemeClr w14:val="tx1"/>
                  </w14:solidFill>
                </w14:textFill>
              </w:rPr>
              <w:t>建设一批县级公共体育标准田径跑道、足球场、体育公园、中小型全民健身中心、县域全民健身中心、健身步道、社区体育中心、多功能运动场和智慧健身房（馆）等，推进全民体育健身工程。</w:t>
            </w:r>
          </w:p>
        </w:tc>
      </w:tr>
    </w:tbl>
    <w:p>
      <w:pPr>
        <w:keepNext/>
        <w:spacing w:before="447" w:beforeLines="100" w:after="447" w:afterLines="100" w:line="568"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29" w:name="_Toc62051634"/>
      <w:r>
        <w:rPr>
          <w:rFonts w:ascii="Times New Roman" w:hAnsi="Times New Roman" w:eastAsia="黑体" w:cs="Times New Roman"/>
          <w:color w:val="000000" w:themeColor="text1"/>
          <w:sz w:val="32"/>
          <w14:textFill>
            <w14:solidFill>
              <w14:schemeClr w14:val="tx1"/>
            </w14:solidFill>
          </w14:textFill>
        </w:rPr>
        <w:t>第二十五章  完善社会保障</w:t>
      </w:r>
      <w:bookmarkEnd w:id="129"/>
    </w:p>
    <w:p>
      <w:pPr>
        <w:spacing w:line="568" w:lineRule="exact"/>
        <w:ind w:firstLine="63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按照兜底线、织密网、建机制的要求，健全覆盖全民、统筹城乡、公平统一、可持续的多层次社会保障体系</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0" w:name="_Toc62051635"/>
      <w:r>
        <w:rPr>
          <w:rFonts w:ascii="Times New Roman" w:hAnsi="Times New Roman" w:eastAsia="楷体_GB2312" w:cs="Times New Roman"/>
          <w:b/>
          <w:color w:val="000000" w:themeColor="text1"/>
          <w:sz w:val="32"/>
          <w14:textFill>
            <w14:solidFill>
              <w14:schemeClr w14:val="tx1"/>
            </w14:solidFill>
          </w14:textFill>
        </w:rPr>
        <w:t>第一节  完善社会保险体系</w:t>
      </w:r>
      <w:bookmarkEnd w:id="130"/>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推进社会保障全民覆盖。</w:t>
      </w:r>
      <w:r>
        <w:rPr>
          <w:rFonts w:ascii="Times New Roman" w:hAnsi="Times New Roman" w:eastAsia="仿宋_GB2312" w:cs="Times New Roman"/>
          <w:color w:val="000000" w:themeColor="text1"/>
          <w:sz w:val="32"/>
          <w14:textFill>
            <w14:solidFill>
              <w14:schemeClr w14:val="tx1"/>
            </w14:solidFill>
          </w14:textFill>
        </w:rPr>
        <w:t>实施全民参保计划，深入推进社会保险扩面征缴，</w:t>
      </w:r>
      <w:r>
        <w:rPr>
          <w:rFonts w:ascii="Times New Roman" w:hAnsi="Times New Roman" w:eastAsia="仿宋_GB2312" w:cs="Times New Roman"/>
          <w:color w:val="000000" w:themeColor="text1"/>
          <w:sz w:val="32"/>
          <w:szCs w:val="32"/>
          <w14:textFill>
            <w14:solidFill>
              <w14:schemeClr w14:val="tx1"/>
            </w14:solidFill>
          </w14:textFill>
        </w:rPr>
        <w:t>实现应保尽保</w:t>
      </w:r>
      <w:r>
        <w:rPr>
          <w:rFonts w:ascii="Times New Roman" w:hAnsi="Times New Roman" w:eastAsia="仿宋_GB2312" w:cs="Times New Roman"/>
          <w:color w:val="000000" w:themeColor="text1"/>
          <w:sz w:val="32"/>
          <w14:textFill>
            <w14:solidFill>
              <w14:schemeClr w14:val="tx1"/>
            </w14:solidFill>
          </w14:textFill>
        </w:rPr>
        <w:t>。扩大养老保险覆盖面，促进有意愿、有经济能力的灵活就业人员、新就业形态从业人员等参加企业职工养老保险。推进社保转移接续，健全城乡衔接和区域转接机制。建立省级统一的社会保险公共服务平台，完善社会保障经办服务体系，大力推进服务下沉。</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完善基本养老保险制度。</w:t>
      </w:r>
      <w:r>
        <w:rPr>
          <w:rFonts w:ascii="Times New Roman" w:hAnsi="Times New Roman" w:eastAsia="仿宋_GB2312" w:cs="Times New Roman"/>
          <w:color w:val="000000" w:themeColor="text1"/>
          <w:sz w:val="32"/>
          <w14:textFill>
            <w14:solidFill>
              <w14:schemeClr w14:val="tx1"/>
            </w14:solidFill>
          </w14:textFill>
        </w:rPr>
        <w:t>完善城镇职工基本养老保险和城乡居民基本养老保险制度，健全养老保险待遇正常调整机制。完善被征地农民社会保障政策。发展多层次、多支柱养老保险体系</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加快发展企业年金，鼓励发展个人储蓄性养老保险和商业养老保险。</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健全医疗保障体系。</w:t>
      </w:r>
      <w:r>
        <w:rPr>
          <w:rFonts w:ascii="Times New Roman" w:hAnsi="Times New Roman" w:eastAsia="仿宋_GB2312" w:cs="Times New Roman"/>
          <w:color w:val="000000" w:themeColor="text1"/>
          <w:sz w:val="32"/>
          <w14:textFill>
            <w14:solidFill>
              <w14:schemeClr w14:val="tx1"/>
            </w14:solidFill>
          </w14:textFill>
        </w:rPr>
        <w:t>健全基本医疗保险筹资和待遇调整机制，推进医疗保险省级统筹。健全统一的城乡居民基本医疗保险制度、大病保险制度、医疗救助制度和重大疫情医疗救治费用保障机制，提高重特大疾病和多元医疗需求保障水平。鼓励发展补充医疗保险、商业健康保险，按照国家部署探索建立长期护理保险制度。健全支付统筹机制，推行以按病种付费为主的多元复合式医保支付方式。推进医疗保障公共服务标准化规范化，完善异地就医直接结算服务。加强医疗保险基金监管。</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完善失业、工伤保险制度。</w:t>
      </w:r>
      <w:r>
        <w:rPr>
          <w:rFonts w:ascii="Times New Roman" w:hAnsi="Times New Roman" w:eastAsia="仿宋_GB2312" w:cs="Times New Roman"/>
          <w:color w:val="000000" w:themeColor="text1"/>
          <w:sz w:val="32"/>
          <w14:textFill>
            <w14:solidFill>
              <w14:schemeClr w14:val="tx1"/>
            </w14:solidFill>
          </w14:textFill>
        </w:rPr>
        <w:t>推动失业保险、工伤保险省级统筹。完善失业保险金标准调整机制，落实失业保险支持参保企业稳岗、参保职工提升技能政策。完善工伤保险制度，开展新就业形态职业伤害保障试点。到2025年，失业保险参保人数达到745万人，工伤保险参保人数达到820万人。</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1" w:name="_Toc62051636"/>
      <w:r>
        <w:rPr>
          <w:rFonts w:ascii="Times New Roman" w:hAnsi="Times New Roman" w:eastAsia="楷体_GB2312" w:cs="Times New Roman"/>
          <w:b/>
          <w:color w:val="000000" w:themeColor="text1"/>
          <w:sz w:val="32"/>
          <w14:textFill>
            <w14:solidFill>
              <w14:schemeClr w14:val="tx1"/>
            </w14:solidFill>
          </w14:textFill>
        </w:rPr>
        <w:t>第二节  完善社会救助体系</w:t>
      </w:r>
      <w:bookmarkEnd w:id="131"/>
    </w:p>
    <w:p>
      <w:pPr>
        <w:spacing w:line="596" w:lineRule="exact"/>
        <w:ind w:firstLine="634"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健全城乡社会救助体系。</w:t>
      </w:r>
      <w:r>
        <w:rPr>
          <w:rFonts w:ascii="Times New Roman" w:hAnsi="Times New Roman" w:eastAsia="仿宋_GB2312" w:cs="Times New Roman"/>
          <w:color w:val="000000" w:themeColor="text1"/>
          <w:spacing w:val="-2"/>
          <w:sz w:val="32"/>
          <w:szCs w:val="32"/>
          <w14:textFill>
            <w14:solidFill>
              <w14:schemeClr w14:val="tx1"/>
            </w14:solidFill>
          </w14:textFill>
        </w:rPr>
        <w:t>建立健全以基本生活救助、专项社会救助、急难社会救助为主体，社会力量参与为补充，分层分类的救助制度体系。建立</w:t>
      </w:r>
      <w:r>
        <w:rPr>
          <w:rFonts w:ascii="Times New Roman" w:hAnsi="Times New Roman" w:eastAsia="仿宋_GB2312" w:cs="Times New Roman"/>
          <w:color w:val="000000" w:themeColor="text1"/>
          <w:spacing w:val="-2"/>
          <w:sz w:val="32"/>
          <w14:textFill>
            <w14:solidFill>
              <w14:schemeClr w14:val="tx1"/>
            </w14:solidFill>
          </w14:textFill>
        </w:rPr>
        <w:t>低保标准动态调整机制，加强对分散供养特困人员的照料服务，完善临时救助政策，健全社会救助和保障标准与物价上涨挂钩联动机制，开展低收入家庭救助帮扶，加强特殊困难群体救助，提升流浪乞讨救助管理水平。统筹社会救助资源，创新社会救助方式，</w:t>
      </w:r>
      <w:r>
        <w:rPr>
          <w:rFonts w:ascii="Times New Roman" w:hAnsi="Times New Roman" w:eastAsia="仿宋_GB2312" w:cs="Times New Roman"/>
          <w:color w:val="000000" w:themeColor="text1"/>
          <w:spacing w:val="-2"/>
          <w:sz w:val="32"/>
          <w:szCs w:val="32"/>
          <w14:textFill>
            <w14:solidFill>
              <w14:schemeClr w14:val="tx1"/>
            </w14:solidFill>
          </w14:textFill>
        </w:rPr>
        <w:t>建立全省一体的大救助信息平台，</w:t>
      </w:r>
      <w:r>
        <w:rPr>
          <w:rFonts w:ascii="Times New Roman" w:hAnsi="Times New Roman" w:eastAsia="仿宋_GB2312" w:cs="Times New Roman"/>
          <w:color w:val="000000" w:themeColor="text1"/>
          <w:spacing w:val="-2"/>
          <w:sz w:val="32"/>
          <w14:textFill>
            <w14:solidFill>
              <w14:schemeClr w14:val="tx1"/>
            </w14:solidFill>
          </w14:textFill>
        </w:rPr>
        <w:t>引导社会组织、慈善力量、社会工作者和志愿者等参与社会救助</w:t>
      </w:r>
      <w:r>
        <w:rPr>
          <w:rFonts w:ascii="Times New Roman" w:hAnsi="Times New Roman" w:eastAsia="仿宋_GB2312" w:cs="Times New Roman"/>
          <w:color w:val="000000" w:themeColor="text1"/>
          <w:sz w:val="32"/>
          <w14:textFill>
            <w14:solidFill>
              <w14:schemeClr w14:val="tx1"/>
            </w14:solidFill>
          </w14:textFill>
        </w:rPr>
        <w:t>。</w:t>
      </w:r>
    </w:p>
    <w:p>
      <w:pPr>
        <w:spacing w:line="61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大力发展社会福利和慈善事业。</w:t>
      </w:r>
      <w:r>
        <w:rPr>
          <w:rFonts w:ascii="Times New Roman" w:hAnsi="Times New Roman" w:eastAsia="仿宋_GB2312" w:cs="Times New Roman"/>
          <w:color w:val="000000" w:themeColor="text1"/>
          <w:sz w:val="32"/>
          <w14:textFill>
            <w14:solidFill>
              <w14:schemeClr w14:val="tx1"/>
            </w14:solidFill>
          </w14:textFill>
        </w:rPr>
        <w:t>统筹推进扶老、助残、救孤、济困等福利事业发展，健全农村留守儿童和妇女、老年人关爱服务体系，完善帮扶残疾人、孤儿和事实无人抚养儿童等社会福利制度，完善城市困难职工帮扶制度。推进慈善事业发展，创建公益慈善品牌，鼓励发展慈善信托。完善福利彩票发行销售管理体系，健全公益金分配使用管理制度。</w:t>
      </w:r>
      <w:r>
        <w:rPr>
          <w:rFonts w:hint="eastAsia" w:ascii="Times New Roman" w:hAnsi="Times New Roman" w:eastAsia="仿宋_GB2312" w:cs="Times New Roman"/>
          <w:color w:val="000000" w:themeColor="text1"/>
          <w:sz w:val="32"/>
          <w14:textFill>
            <w14:solidFill>
              <w14:schemeClr w14:val="tx1"/>
            </w14:solidFill>
          </w14:textFill>
        </w:rPr>
        <w:t>完善退役军人和其他</w:t>
      </w:r>
      <w:r>
        <w:rPr>
          <w:rFonts w:ascii="Times New Roman" w:hAnsi="Times New Roman" w:eastAsia="仿宋_GB2312" w:cs="Times New Roman"/>
          <w:color w:val="000000" w:themeColor="text1"/>
          <w:sz w:val="32"/>
          <w14:textFill>
            <w14:solidFill>
              <w14:schemeClr w14:val="tx1"/>
            </w14:solidFill>
          </w14:textFill>
        </w:rPr>
        <w:t>优抚</w:t>
      </w:r>
      <w:r>
        <w:rPr>
          <w:rFonts w:hint="eastAsia" w:ascii="Times New Roman" w:hAnsi="Times New Roman" w:eastAsia="仿宋_GB2312" w:cs="Times New Roman"/>
          <w:color w:val="000000" w:themeColor="text1"/>
          <w:sz w:val="32"/>
          <w14:textFill>
            <w14:solidFill>
              <w14:schemeClr w14:val="tx1"/>
            </w14:solidFill>
          </w14:textFill>
        </w:rPr>
        <w:t>对象关爱帮扶机制</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2" w:name="_Toc62051637"/>
      <w:r>
        <w:rPr>
          <w:rFonts w:ascii="Times New Roman" w:hAnsi="Times New Roman" w:eastAsia="楷体_GB2312" w:cs="Times New Roman"/>
          <w:b/>
          <w:color w:val="000000" w:themeColor="text1"/>
          <w:sz w:val="32"/>
          <w14:textFill>
            <w14:solidFill>
              <w14:schemeClr w14:val="tx1"/>
            </w14:solidFill>
          </w14:textFill>
        </w:rPr>
        <w:t>第三节  完善住房保障体系</w:t>
      </w:r>
      <w:bookmarkEnd w:id="132"/>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促进房地产市场有序发展。</w:t>
      </w:r>
      <w:r>
        <w:rPr>
          <w:rFonts w:ascii="Times New Roman" w:hAnsi="Times New Roman" w:eastAsia="仿宋_GB2312" w:cs="Times New Roman"/>
          <w:color w:val="000000" w:themeColor="text1"/>
          <w:sz w:val="32"/>
          <w14:textFill>
            <w14:solidFill>
              <w14:schemeClr w14:val="tx1"/>
            </w14:solidFill>
          </w14:textFill>
        </w:rPr>
        <w:t>坚持“房住不炒”，加快建立多主体供给、多渠道保障、租购并举的住房制度。落实城市主体责任，</w:t>
      </w:r>
      <w:r>
        <w:rPr>
          <w:rFonts w:ascii="Times New Roman" w:hAnsi="Times New Roman" w:eastAsia="仿宋_GB2312" w:cs="Times New Roman"/>
          <w:bCs/>
          <w:color w:val="000000" w:themeColor="text1"/>
          <w:sz w:val="32"/>
          <w:szCs w:val="32"/>
          <w14:textFill>
            <w14:solidFill>
              <w14:schemeClr w14:val="tx1"/>
            </w14:solidFill>
          </w14:textFill>
        </w:rPr>
        <w:t>坚持“一城一策”，构建房地产市场平稳健康发展长效机制，促进住房消费健康发展。</w:t>
      </w:r>
      <w:r>
        <w:rPr>
          <w:rFonts w:ascii="Times New Roman" w:hAnsi="Times New Roman" w:eastAsia="仿宋_GB2312" w:cs="Times New Roman"/>
          <w:color w:val="000000" w:themeColor="text1"/>
          <w:sz w:val="32"/>
          <w:szCs w:val="32"/>
          <w14:textFill>
            <w14:solidFill>
              <w14:schemeClr w14:val="tx1"/>
            </w14:solidFill>
          </w14:textFill>
        </w:rPr>
        <w:t>着力提升住房品质，提高住宅成品装修和绿色建造水平，推进物业管理服务标准化。</w:t>
      </w:r>
    </w:p>
    <w:p>
      <w:pPr>
        <w:spacing w:line="61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统筹保障性住房建设。</w:t>
      </w:r>
      <w:r>
        <w:rPr>
          <w:rFonts w:ascii="Times New Roman" w:hAnsi="Times New Roman" w:eastAsia="仿宋_GB2312" w:cs="Times New Roman"/>
          <w:color w:val="000000" w:themeColor="text1"/>
          <w:sz w:val="32"/>
          <w14:textFill>
            <w14:solidFill>
              <w14:schemeClr w14:val="tx1"/>
            </w14:solidFill>
          </w14:textFill>
        </w:rPr>
        <w:t>加大住房保障力度，扩大对新就业无房职工、城镇稳定就业外来务工人员等新市民住房保障覆盖范围。城镇低保、低收入住房困难家庭实现应保尽保。</w:t>
      </w:r>
      <w:r>
        <w:rPr>
          <w:rFonts w:ascii="Times New Roman" w:hAnsi="Times New Roman" w:eastAsia="仿宋_GB2312" w:cs="Times New Roman"/>
          <w:color w:val="000000" w:themeColor="text1"/>
          <w:sz w:val="32"/>
          <w:szCs w:val="32"/>
          <w14:textFill>
            <w14:solidFill>
              <w14:schemeClr w14:val="tx1"/>
            </w14:solidFill>
          </w14:textFill>
        </w:rPr>
        <w:t>优化保障性安居工程建设，继续实施</w:t>
      </w:r>
      <w:r>
        <w:rPr>
          <w:rFonts w:ascii="Times New Roman" w:hAnsi="Times New Roman" w:eastAsia="仿宋_GB2312" w:cs="Times New Roman"/>
          <w:color w:val="000000" w:themeColor="text1"/>
          <w:sz w:val="32"/>
          <w14:textFill>
            <w14:solidFill>
              <w14:schemeClr w14:val="tx1"/>
            </w14:solidFill>
          </w14:textFill>
        </w:rPr>
        <w:t>城镇棚户区改造、农村危房改造</w:t>
      </w:r>
      <w:r>
        <w:rPr>
          <w:rFonts w:ascii="Times New Roman" w:hAnsi="Times New Roman" w:eastAsia="仿宋_GB2312" w:cs="Times New Roman"/>
          <w:color w:val="000000" w:themeColor="text1"/>
          <w:sz w:val="32"/>
          <w:szCs w:val="32"/>
          <w14:textFill>
            <w14:solidFill>
              <w14:schemeClr w14:val="tx1"/>
            </w14:solidFill>
          </w14:textFill>
        </w:rPr>
        <w:t>，稳妥推进</w:t>
      </w:r>
      <w:r>
        <w:rPr>
          <w:rFonts w:ascii="Times New Roman" w:hAnsi="Times New Roman" w:eastAsia="仿宋_GB2312" w:cs="Times New Roman"/>
          <w:color w:val="000000" w:themeColor="text1"/>
          <w:sz w:val="32"/>
          <w14:textFill>
            <w14:solidFill>
              <w14:schemeClr w14:val="tx1"/>
            </w14:solidFill>
          </w14:textFill>
        </w:rPr>
        <w:t>城镇老旧小区改造，</w:t>
      </w:r>
      <w:r>
        <w:rPr>
          <w:rFonts w:ascii="Times New Roman" w:hAnsi="Times New Roman" w:eastAsia="仿宋_GB2312" w:cs="Times New Roman"/>
          <w:color w:val="000000" w:themeColor="text1"/>
          <w:sz w:val="32"/>
          <w:szCs w:val="32"/>
          <w14:textFill>
            <w14:solidFill>
              <w14:schemeClr w14:val="tx1"/>
            </w14:solidFill>
          </w14:textFill>
        </w:rPr>
        <w:t>缓解供需结构性失衡</w:t>
      </w:r>
      <w:r>
        <w:rPr>
          <w:rFonts w:ascii="Times New Roman" w:hAnsi="Times New Roman" w:eastAsia="仿宋_GB2312" w:cs="Times New Roman"/>
          <w:color w:val="000000" w:themeColor="text1"/>
          <w:sz w:val="32"/>
          <w14:textFill>
            <w14:solidFill>
              <w14:schemeClr w14:val="tx1"/>
            </w14:solidFill>
          </w14:textFill>
        </w:rPr>
        <w:t>。推进公租房保障体系建设和住房租赁试点，扩大保障性租赁住房供给。</w:t>
      </w:r>
    </w:p>
    <w:p>
      <w:pPr>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33" w:name="_Toc62051638"/>
      <w:r>
        <w:rPr>
          <w:rFonts w:ascii="Times New Roman" w:hAnsi="Times New Roman" w:eastAsia="黑体" w:cs="Times New Roman"/>
          <w:color w:val="000000" w:themeColor="text1"/>
          <w:sz w:val="32"/>
          <w14:textFill>
            <w14:solidFill>
              <w14:schemeClr w14:val="tx1"/>
            </w14:solidFill>
          </w14:textFill>
        </w:rPr>
        <w:t>第二十六章  促进人口均衡发展</w:t>
      </w:r>
      <w:bookmarkEnd w:id="133"/>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完善人口政策，强化人口服务管理，切实保障妇女儿童、青少年、残疾人合法权益，</w:t>
      </w:r>
      <w:r>
        <w:rPr>
          <w:rFonts w:ascii="Times New Roman" w:hAnsi="Times New Roman" w:eastAsia="仿宋_GB2312" w:cs="Times New Roman"/>
          <w:bCs/>
          <w:color w:val="000000" w:themeColor="text1"/>
          <w:sz w:val="32"/>
          <w:szCs w:val="32"/>
          <w14:textFill>
            <w14:solidFill>
              <w14:schemeClr w14:val="tx1"/>
            </w14:solidFill>
          </w14:textFill>
        </w:rPr>
        <w:t>积极应对人口老龄化</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4" w:name="_Toc62051639"/>
      <w:r>
        <w:rPr>
          <w:rFonts w:ascii="Times New Roman" w:hAnsi="Times New Roman" w:eastAsia="楷体_GB2312" w:cs="Times New Roman"/>
          <w:b/>
          <w:color w:val="000000" w:themeColor="text1"/>
          <w:sz w:val="32"/>
          <w14:textFill>
            <w14:solidFill>
              <w14:schemeClr w14:val="tx1"/>
            </w14:solidFill>
          </w14:textFill>
        </w:rPr>
        <w:t>第一节  强化人口工作</w:t>
      </w:r>
      <w:bookmarkEnd w:id="134"/>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保持适度生育水平。</w:t>
      </w:r>
      <w:r>
        <w:rPr>
          <w:rFonts w:ascii="Times New Roman" w:hAnsi="Times New Roman" w:eastAsia="仿宋_GB2312" w:cs="Times New Roman"/>
          <w:color w:val="000000" w:themeColor="text1"/>
          <w:sz w:val="32"/>
          <w14:textFill>
            <w14:solidFill>
              <w14:schemeClr w14:val="tx1"/>
            </w14:solidFill>
          </w14:textFill>
        </w:rPr>
        <w:t>落实国家人口长期发展战略，优化生育政策，增强生育政策包容性，推动生育政策与经济社会政策配套衔接。推进婚检普及，降低出生缺陷发生率，加强孕产妇和新生儿危急重症救治能力建设，</w:t>
      </w:r>
      <w:r>
        <w:rPr>
          <w:rFonts w:ascii="Times New Roman" w:hAnsi="Times New Roman" w:eastAsia="仿宋_GB2312" w:cs="Times New Roman"/>
          <w:color w:val="000000" w:themeColor="text1"/>
          <w:sz w:val="32"/>
          <w:szCs w:val="32"/>
          <w14:textFill>
            <w14:solidFill>
              <w14:schemeClr w14:val="tx1"/>
            </w14:solidFill>
          </w14:textFill>
        </w:rPr>
        <w:t>提高出生人口素质和儿童健康水平。</w:t>
      </w:r>
      <w:r>
        <w:rPr>
          <w:rFonts w:ascii="Times New Roman" w:hAnsi="Times New Roman" w:eastAsia="仿宋_GB2312" w:cs="Times New Roman"/>
          <w:color w:val="000000" w:themeColor="text1"/>
          <w:sz w:val="32"/>
          <w14:textFill>
            <w14:solidFill>
              <w14:schemeClr w14:val="tx1"/>
            </w14:solidFill>
          </w14:textFill>
        </w:rPr>
        <w:t>发展普惠托育服务体系，促进3岁以下婴幼儿照护服务发展，降低生育、养育、教育成本。加强家庭建设，完善家庭发展支持体系，健全生育支持、幼儿养育、老人赡养等家庭发展政策，减轻生养子女家庭负担，促进家庭教育，培育文明家风，支持家庭发展。</w:t>
      </w:r>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加强人口服务管理。</w:t>
      </w:r>
      <w:r>
        <w:rPr>
          <w:rFonts w:ascii="Times New Roman" w:hAnsi="Times New Roman" w:eastAsia="仿宋_GB2312" w:cs="Times New Roman"/>
          <w:color w:val="000000" w:themeColor="text1"/>
          <w:sz w:val="32"/>
          <w14:textFill>
            <w14:solidFill>
              <w14:schemeClr w14:val="tx1"/>
            </w14:solidFill>
          </w14:textFill>
        </w:rPr>
        <w:t>建立人口基础信息共享机制，逐步实现跨部门、跨地区信息整合和共享。完善流动人口服务管理体制，依法保障流动人口合法权益。健全退役军人服务体系，提升退役军人服务保障能力和水平。规范婚姻登记管理，提高婚姻登记管理服务水平。深化殡葬事业改革，积极推进火化，加强殡仪馆、县级公益性骨灰楼、农村公益性公墓</w:t>
      </w:r>
      <w:r>
        <w:rPr>
          <w:rFonts w:hint="eastAsia"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乡镇集中治丧场所等基础设施建设。</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5" w:name="_Toc62051640"/>
      <w:r>
        <w:rPr>
          <w:rFonts w:ascii="Times New Roman" w:hAnsi="Times New Roman" w:eastAsia="楷体_GB2312" w:cs="Times New Roman"/>
          <w:b/>
          <w:color w:val="000000" w:themeColor="text1"/>
          <w:sz w:val="32"/>
          <w14:textFill>
            <w14:solidFill>
              <w14:schemeClr w14:val="tx1"/>
            </w14:solidFill>
          </w14:textFill>
        </w:rPr>
        <w:t>第二节  关爱重点人群</w:t>
      </w:r>
      <w:bookmarkEnd w:id="135"/>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保障妇女儿童合法权益。</w:t>
      </w:r>
      <w:r>
        <w:rPr>
          <w:rFonts w:ascii="Times New Roman" w:hAnsi="Times New Roman" w:eastAsia="仿宋_GB2312" w:cs="Times New Roman"/>
          <w:color w:val="000000" w:themeColor="text1"/>
          <w:sz w:val="32"/>
          <w14:textFill>
            <w14:solidFill>
              <w14:schemeClr w14:val="tx1"/>
            </w14:solidFill>
          </w14:textFill>
        </w:rPr>
        <w:t>坚持男女平等基本国策，保障女性平等接受教育、平等参与经济社会发展的权利。消除就业性别歧视，全方位优化妇女发展环境。坚持儿童优先原则，完善促进儿童优先发展、全面发展制度体系，构建覆盖全省的儿童健康服务体系，健全学校家庭社会协同育人机制，完善儿童监护和收养制度，统筹推进农村留守儿童关爱和困境儿童保障工作，保障儿童安全，创建儿童友好型城市。严厉打击拐卖妇女儿童、暴力侵害妇女、虐待儿童等违法行为。</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关爱青少年健康成长</w:t>
      </w:r>
      <w:r>
        <w:rPr>
          <w:rFonts w:ascii="Times New Roman" w:hAnsi="Times New Roman" w:eastAsia="仿宋_GB2312" w:cs="Times New Roman"/>
          <w:color w:val="000000" w:themeColor="text1"/>
          <w:sz w:val="32"/>
          <w14:textFill>
            <w14:solidFill>
              <w14:schemeClr w14:val="tx1"/>
            </w14:solidFill>
          </w14:textFill>
        </w:rPr>
        <w:t>。营造良好成长环境，维护青少年发展权益，激发青少年活力和创造力。提高青少年身体素质，改善青少年体育场地设施，大力普及青少年体育活动，培育青少年体育爱好和运动技能。加强青少年健康引导，推进中小学心理健康教育，有效化解儿童和青少年心理健康问题。动员青少年广泛参与志愿服务和社会公益活动。统筹推进未成年人保护工作，建立未成年人保护响应机制，加强对流浪未成年人的救助保护，有效预防未成年人违法犯罪，严厉打击各种危害青少年身心健康的行为。</w:t>
      </w:r>
    </w:p>
    <w:p>
      <w:pPr>
        <w:spacing w:line="568"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支持残疾人事业发展。</w:t>
      </w:r>
      <w:r>
        <w:rPr>
          <w:rFonts w:ascii="Times New Roman" w:hAnsi="Times New Roman" w:eastAsia="仿宋_GB2312" w:cs="Times New Roman"/>
          <w:color w:val="000000" w:themeColor="text1"/>
          <w:sz w:val="32"/>
          <w14:textFill>
            <w14:solidFill>
              <w14:schemeClr w14:val="tx1"/>
            </w14:solidFill>
          </w14:textFill>
        </w:rPr>
        <w:t>增强残疾人制度化保障服务能力，</w:t>
      </w:r>
      <w:r>
        <w:rPr>
          <w:rFonts w:ascii="Times New Roman" w:hAnsi="Times New Roman" w:eastAsia="仿宋_GB2312" w:cs="Times New Roman"/>
          <w:color w:val="000000" w:themeColor="text1"/>
          <w:sz w:val="32"/>
          <w:szCs w:val="32"/>
          <w14:textFill>
            <w14:solidFill>
              <w14:schemeClr w14:val="tx1"/>
            </w14:solidFill>
          </w14:textFill>
        </w:rPr>
        <w:t>落实困难残疾人生活补贴和重度残疾人护理补贴动态调整机制</w:t>
      </w:r>
      <w:r>
        <w:rPr>
          <w:rFonts w:ascii="Times New Roman" w:hAnsi="Times New Roman" w:eastAsia="仿宋_GB2312" w:cs="Times New Roman"/>
          <w:color w:val="000000" w:themeColor="text1"/>
          <w:sz w:val="32"/>
          <w14:textFill>
            <w14:solidFill>
              <w14:schemeClr w14:val="tx1"/>
            </w14:solidFill>
          </w14:textFill>
        </w:rPr>
        <w:t>，健全残疾人托养照护和康复服务体系，托底帮扶残疾人就业增收，完善残疾人教育体系。加强残疾人友好环境建设，制定实施无障碍环境建设行动计划，完善城乡无障碍设施，加快困难残疾人家庭无障碍改造，推进信息无障碍发布。广泛开展精神障碍社区康复服务，发展康复辅助器具产业、残疾人慈善事业和服务产业，培育发展残疾人社会服务组织，</w:t>
      </w:r>
      <w:r>
        <w:rPr>
          <w:rFonts w:ascii="Times New Roman" w:hAnsi="Times New Roman" w:eastAsia="仿宋_GB2312" w:cs="Times New Roman"/>
          <w:color w:val="000000" w:themeColor="text1"/>
          <w:sz w:val="32"/>
          <w:szCs w:val="32"/>
          <w14:textFill>
            <w14:solidFill>
              <w14:schemeClr w14:val="tx1"/>
            </w14:solidFill>
          </w14:textFill>
        </w:rPr>
        <w:t>健全志愿助残工作机制</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6" w:name="_Toc62051641"/>
      <w:r>
        <w:rPr>
          <w:rFonts w:ascii="Times New Roman" w:hAnsi="Times New Roman" w:eastAsia="楷体_GB2312" w:cs="Times New Roman"/>
          <w:b/>
          <w:color w:val="000000" w:themeColor="text1"/>
          <w:sz w:val="32"/>
          <w14:textFill>
            <w14:solidFill>
              <w14:schemeClr w14:val="tx1"/>
            </w14:solidFill>
          </w14:textFill>
        </w:rPr>
        <w:t>第三节  发展养老服务</w:t>
      </w:r>
      <w:bookmarkEnd w:id="136"/>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建立健全</w:t>
      </w:r>
      <w:r>
        <w:rPr>
          <w:rFonts w:ascii="Times New Roman" w:hAnsi="Times New Roman" w:eastAsia="仿宋_GB2312" w:cs="Times New Roman"/>
          <w:color w:val="000000" w:themeColor="text1"/>
          <w:sz w:val="32"/>
          <w:szCs w:val="32"/>
          <w14:textFill>
            <w14:solidFill>
              <w14:schemeClr w14:val="tx1"/>
            </w14:solidFill>
          </w14:textFill>
        </w:rPr>
        <w:t>居家社区机构相协调、医养康养相结合的养老服务体系</w:t>
      </w:r>
      <w:r>
        <w:rPr>
          <w:rFonts w:ascii="Times New Roman" w:hAnsi="Times New Roman" w:eastAsia="仿宋_GB2312" w:cs="Times New Roman"/>
          <w:bCs/>
          <w:color w:val="000000" w:themeColor="text1"/>
          <w:kern w:val="0"/>
          <w:sz w:val="32"/>
          <w:szCs w:val="32"/>
          <w14:textFill>
            <w14:solidFill>
              <w14:schemeClr w14:val="tx1"/>
            </w14:solidFill>
          </w14:textFill>
        </w:rPr>
        <w:t>。建立家庭养老支持政策，</w:t>
      </w:r>
      <w:r>
        <w:rPr>
          <w:rFonts w:ascii="Times New Roman" w:hAnsi="Times New Roman" w:eastAsia="仿宋_GB2312" w:cs="Times New Roman"/>
          <w:color w:val="000000" w:themeColor="text1"/>
          <w:kern w:val="0"/>
          <w:sz w:val="32"/>
          <w:szCs w:val="32"/>
          <w14:textFill>
            <w14:solidFill>
              <w14:schemeClr w14:val="tx1"/>
            </w14:solidFill>
          </w14:textFill>
        </w:rPr>
        <w:t>大力发展“家庭养老床位”，推进城区、居住（小）区按标准建设配套养老服务设施，构建城市养老服务“十五分钟”服务圈，提升居家社区养老品质。深化</w:t>
      </w:r>
      <w:r>
        <w:rPr>
          <w:rFonts w:ascii="Times New Roman" w:hAnsi="Times New Roman" w:eastAsia="仿宋_GB2312" w:cs="Times New Roman"/>
          <w:bCs/>
          <w:color w:val="000000" w:themeColor="text1"/>
          <w:kern w:val="0"/>
          <w:sz w:val="32"/>
          <w:szCs w:val="32"/>
          <w14:textFill>
            <w14:solidFill>
              <w14:schemeClr w14:val="tx1"/>
            </w14:solidFill>
          </w14:textFill>
        </w:rPr>
        <w:t>公办养老机构改革，</w:t>
      </w:r>
      <w:r>
        <w:rPr>
          <w:rFonts w:ascii="Times New Roman" w:hAnsi="Times New Roman" w:eastAsia="仿宋_GB2312" w:cs="Times New Roman"/>
          <w:color w:val="000000" w:themeColor="text1"/>
          <w:kern w:val="0"/>
          <w:sz w:val="32"/>
          <w:szCs w:val="32"/>
          <w14:textFill>
            <w14:solidFill>
              <w14:schemeClr w14:val="tx1"/>
            </w14:solidFill>
          </w14:textFill>
        </w:rPr>
        <w:t>加快区域养老服务中心建设，支持公立医疗机构开展养老服务，鼓励具有教育培训或疗养休养功能的各类机构转型发展养老服务设施，探索“物业服务+养老服务”模式。</w:t>
      </w:r>
      <w:r>
        <w:rPr>
          <w:rFonts w:ascii="Times New Roman" w:hAnsi="Times New Roman" w:eastAsia="仿宋_GB2312" w:cs="Times New Roman"/>
          <w:color w:val="000000" w:themeColor="text1"/>
          <w:sz w:val="32"/>
          <w14:textFill>
            <w14:solidFill>
              <w14:schemeClr w14:val="tx1"/>
            </w14:solidFill>
          </w14:textFill>
        </w:rPr>
        <w:t>加快</w:t>
      </w:r>
      <w:r>
        <w:rPr>
          <w:rFonts w:ascii="Times New Roman" w:hAnsi="Times New Roman" w:eastAsia="仿宋_GB2312" w:cs="Times New Roman"/>
          <w:bCs/>
          <w:color w:val="000000" w:themeColor="text1"/>
          <w:kern w:val="0"/>
          <w:sz w:val="32"/>
          <w:szCs w:val="32"/>
          <w14:textFill>
            <w14:solidFill>
              <w14:schemeClr w14:val="tx1"/>
            </w14:solidFill>
          </w14:textFill>
        </w:rPr>
        <w:t>补齐农村养老服务短板，</w:t>
      </w:r>
      <w:r>
        <w:rPr>
          <w:rFonts w:ascii="Times New Roman" w:hAnsi="Times New Roman" w:eastAsia="仿宋_GB2312" w:cs="Times New Roman"/>
          <w:color w:val="000000" w:themeColor="text1"/>
          <w:kern w:val="0"/>
          <w:sz w:val="32"/>
          <w:szCs w:val="32"/>
          <w14:textFill>
            <w14:solidFill>
              <w14:schemeClr w14:val="tx1"/>
            </w14:solidFill>
          </w14:textFill>
        </w:rPr>
        <w:t>全面推进以乡镇综合性养老机构为中心，以农村互助养老服务设施为网点的农村养老服务网络建设。优化城乡养老机构床位结构，确保到2025年，全省养老机构护理型床位占比不低于55%。开展困难家庭的高龄、失能、残疾老年人居家和老旧小区适老化改造。全面放开养老服务市场，支持社会力量举办规模化、连锁化养老机构。提高养老服务质量，健全养老服务综合</w:t>
      </w:r>
      <w:r>
        <w:rPr>
          <w:rFonts w:ascii="Times New Roman" w:hAnsi="Times New Roman" w:eastAsia="仿宋_GB2312" w:cs="Times New Roman"/>
          <w:color w:val="000000" w:themeColor="text1"/>
          <w:spacing w:val="-2"/>
          <w:kern w:val="0"/>
          <w:sz w:val="32"/>
          <w:szCs w:val="32"/>
          <w14:textFill>
            <w14:solidFill>
              <w14:schemeClr w14:val="tx1"/>
            </w14:solidFill>
          </w14:textFill>
        </w:rPr>
        <w:t>监管制度，推进养老服务标准化建设，加大老年护理专业人员培养力度，加强养老机构与医疗卫生机构合作，促进医养融合，选择一批条件适合的区域发展医养产业。发展老年用品产业，繁荣老年用品市场，发展银发经济。开展智慧助老行动，构建养老、孝老、敬老的社会环境，建设老年友好型社会</w:t>
      </w:r>
      <w:r>
        <w:rPr>
          <w:rFonts w:ascii="Times New Roman" w:hAnsi="Times New Roman" w:eastAsia="仿宋_GB2312" w:cs="Times New Roman"/>
          <w:color w:val="000000" w:themeColor="text1"/>
          <w:kern w:val="0"/>
          <w:sz w:val="32"/>
          <w:szCs w:val="32"/>
          <w14:textFill>
            <w14:solidFill>
              <w14:schemeClr w14:val="tx1"/>
            </w14:solidFill>
          </w14:textFill>
        </w:rPr>
        <w:t>。</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45" w:type="dxa"/>
            <w:shd w:val="clear" w:color="auto" w:fill="auto"/>
            <w:vAlign w:val="center"/>
          </w:tcPr>
          <w:p>
            <w:pPr>
              <w:spacing w:line="32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专栏32  社会服务提质行动计划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845" w:type="dxa"/>
            <w:shd w:val="clear" w:color="auto" w:fill="auto"/>
          </w:tcPr>
          <w:p>
            <w:pPr>
              <w:tabs>
                <w:tab w:val="center" w:pos="4153"/>
                <w:tab w:val="right" w:pos="8306"/>
              </w:tabs>
              <w:snapToGrid w:val="0"/>
              <w:spacing w:line="31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养老服务体系建设工程。</w:t>
            </w:r>
            <w:r>
              <w:rPr>
                <w:rFonts w:ascii="Times New Roman" w:hAnsi="Times New Roman" w:cs="Times New Roman"/>
                <w:color w:val="000000" w:themeColor="text1"/>
                <w:sz w:val="24"/>
                <w:szCs w:val="24"/>
                <w14:textFill>
                  <w14:solidFill>
                    <w14:schemeClr w14:val="tx1"/>
                  </w14:solidFill>
                </w14:textFill>
              </w:rPr>
              <w:t>深化居家和社区养老服务改革试点，推进社区养老服务机构建设。到2025年，实现街道综合性养老服务机构、城市社区日间照料机构全覆盖。实施特困人员供养服务设施建设工程，到2025年，每个县市区至少建有一所失能照护服务机构，全面完成特困人员供养服务设施提质改造任务，实现生活不能自理特困老年人集中供养率超过60%。</w:t>
            </w:r>
          </w:p>
          <w:p>
            <w:pPr>
              <w:tabs>
                <w:tab w:val="center" w:pos="4153"/>
                <w:tab w:val="right" w:pos="8306"/>
              </w:tabs>
              <w:snapToGrid w:val="0"/>
              <w:spacing w:line="31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社区医养结合能力提升工程。</w:t>
            </w:r>
            <w:r>
              <w:rPr>
                <w:rFonts w:ascii="Times New Roman" w:hAnsi="Times New Roman" w:cs="Times New Roman"/>
                <w:color w:val="000000" w:themeColor="text1"/>
                <w:sz w:val="24"/>
                <w:szCs w:val="24"/>
                <w14:textFill>
                  <w14:solidFill>
                    <w14:schemeClr w14:val="tx1"/>
                  </w14:solidFill>
                </w14:textFill>
              </w:rPr>
              <w:t>支持社区卫生服务机构、乡镇卫生院等利用现有资源，新建或改扩建一批社区（乡镇）医养结合服务设施，重点为社区（乡镇）失能失智老年人提供集中或居家医养服务。</w:t>
            </w:r>
          </w:p>
          <w:p>
            <w:pPr>
              <w:spacing w:line="310" w:lineRule="exact"/>
              <w:ind w:firstLine="465"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4"/>
                <w:sz w:val="24"/>
                <w:szCs w:val="24"/>
                <w14:textFill>
                  <w14:solidFill>
                    <w14:schemeClr w14:val="tx1"/>
                  </w14:solidFill>
                </w14:textFill>
              </w:rPr>
              <w:t>出生人口素质提升计划。</w:t>
            </w:r>
            <w:r>
              <w:rPr>
                <w:rFonts w:ascii="Times New Roman" w:hAnsi="Times New Roman" w:cs="Times New Roman"/>
                <w:color w:val="000000" w:themeColor="text1"/>
                <w:spacing w:val="-4"/>
                <w:sz w:val="24"/>
                <w:szCs w:val="24"/>
                <w14:textFill>
                  <w14:solidFill>
                    <w14:schemeClr w14:val="tx1"/>
                  </w14:solidFill>
                </w14:textFill>
              </w:rPr>
              <w:t>强化全生命周期服务理念，推进优生优育全程服务。推进婚前医学检查、孕前优生健康检查、产前筛查、高危孕产妇干预诊断、新生儿疾病筛查。控制先心病、唐氏综合征、耳聋、神经管缺陷、重型地中海贫血等出生缺陷</w:t>
            </w:r>
            <w:r>
              <w:rPr>
                <w:rFonts w:ascii="Times New Roman" w:hAnsi="Times New Roman" w:cs="Times New Roman"/>
                <w:color w:val="000000" w:themeColor="text1"/>
                <w:sz w:val="24"/>
                <w:szCs w:val="24"/>
                <w14:textFill>
                  <w14:solidFill>
                    <w14:schemeClr w14:val="tx1"/>
                  </w14:solidFill>
                </w14:textFill>
              </w:rPr>
              <w:t>。</w:t>
            </w:r>
          </w:p>
          <w:p>
            <w:pPr>
              <w:tabs>
                <w:tab w:val="center" w:pos="4153"/>
                <w:tab w:val="right" w:pos="8306"/>
              </w:tabs>
              <w:snapToGrid w:val="0"/>
              <w:spacing w:line="310" w:lineRule="exact"/>
              <w:ind w:firstLine="481"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3岁以下婴幼儿照护服务能力提升工程。</w:t>
            </w:r>
            <w:r>
              <w:rPr>
                <w:rFonts w:ascii="Times New Roman" w:hAnsi="Times New Roman" w:cs="Times New Roman"/>
                <w:color w:val="000000" w:themeColor="text1"/>
                <w:sz w:val="24"/>
                <w:szCs w:val="24"/>
                <w14:textFill>
                  <w14:solidFill>
                    <w14:schemeClr w14:val="tx1"/>
                  </w14:solidFill>
                </w14:textFill>
              </w:rPr>
              <w:t>引导社会力量增加普惠性婴幼儿照护服务，鼓励通过自建自营、合作或委托经营、公办民营、民办公助等方式，举办普惠性婴幼儿照护服务机构，完善社区婴幼儿照护服务设施，每千人口拥有托位数在全国平均水平以上。</w:t>
            </w:r>
          </w:p>
          <w:p>
            <w:pPr>
              <w:tabs>
                <w:tab w:val="center" w:pos="4153"/>
                <w:tab w:val="right" w:pos="8306"/>
              </w:tabs>
              <w:snapToGrid w:val="0"/>
              <w:spacing w:line="310" w:lineRule="exact"/>
              <w:ind w:firstLine="481" w:firstLineChars="200"/>
              <w:jc w:val="left"/>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殡葬事业提升工程。</w:t>
            </w:r>
            <w:r>
              <w:rPr>
                <w:rFonts w:ascii="Times New Roman" w:hAnsi="Times New Roman" w:cs="Times New Roman"/>
                <w:color w:val="000000" w:themeColor="text1"/>
                <w:sz w:val="24"/>
                <w:szCs w:val="24"/>
                <w14:textFill>
                  <w14:solidFill>
                    <w14:schemeClr w14:val="tx1"/>
                  </w14:solidFill>
                </w14:textFill>
              </w:rPr>
              <w:t>新建、改扩建殡仪馆，建设县级公益性骨灰楼，开展火化炉环保改造，推进殡仪馆县级全覆盖，实现农村公益性墓地乡镇全覆盖，火化率和节地生态安葬率达到全国平均水平。</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37" w:name="_Toc62051642"/>
      <w:r>
        <w:rPr>
          <w:rFonts w:ascii="Times New Roman" w:hAnsi="Times New Roman" w:eastAsia="黑体" w:cs="Times New Roman"/>
          <w:color w:val="000000" w:themeColor="text1"/>
          <w:sz w:val="32"/>
          <w14:textFill>
            <w14:solidFill>
              <w14:schemeClr w14:val="tx1"/>
            </w14:solidFill>
          </w14:textFill>
        </w:rPr>
        <w:t>第二十七章  提高人民收入水平</w:t>
      </w:r>
      <w:bookmarkEnd w:id="137"/>
    </w:p>
    <w:p>
      <w:pPr>
        <w:spacing w:line="568"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推动居民收入增长与经济发展同步，</w:t>
      </w:r>
      <w:r>
        <w:rPr>
          <w:rFonts w:ascii="Times New Roman" w:hAnsi="Times New Roman" w:eastAsia="仿宋_GB2312" w:cs="Times New Roman"/>
          <w:bCs/>
          <w:color w:val="000000" w:themeColor="text1"/>
          <w:sz w:val="32"/>
          <w:szCs w:val="32"/>
          <w14:textFill>
            <w14:solidFill>
              <w14:schemeClr w14:val="tx1"/>
            </w14:solidFill>
          </w14:textFill>
        </w:rPr>
        <w:t>着力提高低收入群体收入，扩大中等收入群体，走共同富裕之路</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8" w:name="_Toc62051643"/>
      <w:r>
        <w:rPr>
          <w:rFonts w:ascii="Times New Roman" w:hAnsi="Times New Roman" w:eastAsia="楷体_GB2312" w:cs="Times New Roman"/>
          <w:b/>
          <w:color w:val="000000" w:themeColor="text1"/>
          <w:sz w:val="32"/>
          <w14:textFill>
            <w14:solidFill>
              <w14:schemeClr w14:val="tx1"/>
            </w14:solidFill>
          </w14:textFill>
        </w:rPr>
        <w:t>第一节  增加居民收入</w:t>
      </w:r>
      <w:bookmarkEnd w:id="138"/>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提高居民工资性收入。</w:t>
      </w:r>
      <w:r>
        <w:rPr>
          <w:rFonts w:ascii="Times New Roman" w:hAnsi="Times New Roman" w:eastAsia="仿宋_GB2312" w:cs="Times New Roman"/>
          <w:color w:val="000000" w:themeColor="text1"/>
          <w:sz w:val="32"/>
          <w14:textFill>
            <w14:solidFill>
              <w14:schemeClr w14:val="tx1"/>
            </w14:solidFill>
          </w14:textFill>
        </w:rPr>
        <w:t>健全工资正常增长机制。落实事业单位基本工资标准正常调整机制和艰苦边远地区津贴标准正常调整机制，合理确定事业单位绩效工资水平，完善乡镇工作补贴政策。完善企业工资指导线制度，合理确定企业工资水平。着力增加一线劳动者劳动报酬，推动更多低收入者进入中等收入行列。完善农民工工资支付保障长效机制，增加农民工资性收入。</w:t>
      </w:r>
    </w:p>
    <w:p>
      <w:pPr>
        <w:spacing w:line="596" w:lineRule="exact"/>
        <w:ind w:firstLine="64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拓宽居民增收渠道。</w:t>
      </w:r>
      <w:r>
        <w:rPr>
          <w:rFonts w:ascii="Times New Roman" w:hAnsi="Times New Roman" w:eastAsia="仿宋_GB2312" w:cs="Times New Roman"/>
          <w:color w:val="000000" w:themeColor="text1"/>
          <w:sz w:val="32"/>
          <w:szCs w:val="32"/>
          <w14:textFill>
            <w14:solidFill>
              <w14:schemeClr w14:val="tx1"/>
            </w14:solidFill>
          </w14:textFill>
        </w:rPr>
        <w:t>健全增加居民财产性收入的各项制度，多渠道增加城乡居民财产性收入。丰富和规范居民投资理财产品，稳定增加资本市场财产性收入，鼓励城市居民家庭通过动产、不动产营运增加增值收益</w:t>
      </w:r>
      <w:r>
        <w:rPr>
          <w:rFonts w:ascii="Times New Roman" w:hAnsi="Times New Roman" w:eastAsia="仿宋_GB2312" w:cs="Times New Roman"/>
          <w:color w:val="000000" w:themeColor="text1"/>
          <w:sz w:val="32"/>
          <w14:textFill>
            <w14:solidFill>
              <w14:schemeClr w14:val="tx1"/>
            </w14:solidFill>
          </w14:textFill>
        </w:rPr>
        <w:t>。发展壮大农村集体经济，完善集体资产收益分配制度、创新受益模式，增加农民土地流转收益、租赁收益、投资收益等，赋予农民更加充分、更有保障的财产性收入。完善企业与农民利益联结机制，培育和引进新型农业经营主体，创造条件促进农民共享一二三产业融合发展的增值收益，稳定与提升经营性收益。落实国家支农惠农政策，健全以绿色生态为导向的农业补贴制度，保障农民转移性收入。</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9" w:name="_Toc62051644"/>
      <w:r>
        <w:rPr>
          <w:rFonts w:ascii="Times New Roman" w:hAnsi="Times New Roman" w:eastAsia="楷体_GB2312" w:cs="Times New Roman"/>
          <w:b/>
          <w:color w:val="000000" w:themeColor="text1"/>
          <w:sz w:val="32"/>
          <w14:textFill>
            <w14:solidFill>
              <w14:schemeClr w14:val="tx1"/>
            </w14:solidFill>
          </w14:textFill>
        </w:rPr>
        <w:t>第二节  优化收入分配</w:t>
      </w:r>
      <w:bookmarkEnd w:id="139"/>
    </w:p>
    <w:p>
      <w:pPr>
        <w:spacing w:line="596"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按劳分配为主体、多种分配方式并存，提高劳动报酬在初次分配中的比重。完善按要素分配政策制度，健全各类生产要素由市场决定报酬的机制，探索通过土地、资本等要素使用权、收益权增加中低收入群体要素收入。深化企业内部分配制度改革，健全国有企业市场化薪酬分配机制，建立国有企业职业经理人薪酬制度。完善再分配机制，加大税收、社保、转移支付等调节力度和精准性，合理调节过高收入。发挥第三次分配作用，发展慈善事业，改善收入和财富分配格局。完善现代支付和收入监测体系，建立健全收入和财产信息系统，保护合法收入，推动收入分配格局不断优化，城乡、区域、行业和群体之间收入差距逐步缩小。</w:t>
      </w:r>
    </w:p>
    <w:bookmarkEnd w:id="97"/>
    <w:bookmarkEnd w:id="98"/>
    <w:p>
      <w:pPr>
        <w:widowControl/>
        <w:jc w:val="left"/>
        <w:rPr>
          <w:rFonts w:ascii="Times New Roman" w:hAnsi="Times New Roman" w:eastAsia="方正小标宋_GBK" w:cs="Times New Roman"/>
          <w:bCs/>
          <w:color w:val="000000" w:themeColor="text1"/>
          <w:sz w:val="32"/>
          <w:szCs w:val="32"/>
          <w14:textFill>
            <w14:solidFill>
              <w14:schemeClr w14:val="tx1"/>
            </w14:solidFill>
          </w14:textFill>
        </w:rPr>
      </w:pPr>
      <w:r>
        <w:rPr>
          <w:rFonts w:ascii="Times New Roman" w:hAnsi="Times New Roman" w:eastAsia="方正小标宋_GBK" w:cs="Times New Roman"/>
          <w:bCs/>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bCs/>
          <w:color w:val="000000" w:themeColor="text1"/>
          <w:sz w:val="32"/>
          <w:szCs w:val="32"/>
          <w14:textFill>
            <w14:solidFill>
              <w14:schemeClr w14:val="tx1"/>
            </w14:solidFill>
          </w14:textFill>
        </w:rPr>
      </w:pPr>
      <w:bookmarkStart w:id="140" w:name="_Toc62051645"/>
      <w:r>
        <w:rPr>
          <w:rFonts w:ascii="Times New Roman" w:hAnsi="Times New Roman" w:eastAsia="方正小标宋_GBK" w:cs="Times New Roman"/>
          <w:bCs/>
          <w:color w:val="000000" w:themeColor="text1"/>
          <w:sz w:val="32"/>
          <w:szCs w:val="32"/>
          <w14:textFill>
            <w14:solidFill>
              <w14:schemeClr w14:val="tx1"/>
            </w14:solidFill>
          </w14:textFill>
        </w:rPr>
        <w:t>第八篇  着力建设文化守正创新的现代化</w:t>
      </w:r>
      <w:r>
        <w:rPr>
          <w:rFonts w:ascii="Times New Roman" w:hAnsi="Times New Roman" w:eastAsia="方正小标宋_GBK" w:cs="Times New Roman"/>
          <w:color w:val="000000" w:themeColor="text1"/>
          <w:sz w:val="32"/>
          <w:szCs w:val="32"/>
          <w14:textFill>
            <w14:solidFill>
              <w14:schemeClr w14:val="tx1"/>
            </w14:solidFill>
          </w14:textFill>
        </w:rPr>
        <w:t>新湖南</w:t>
      </w:r>
      <w:bookmarkEnd w:id="14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坚定文化自信，以社会主义先进文化为引领，发展文化事业，壮大文化产业，促进文旅融合，提升文化软实力和影响力，加快建设文化强省。</w:t>
      </w:r>
    </w:p>
    <w:p>
      <w:pPr>
        <w:keepNext/>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41" w:name="_Toc62051646"/>
      <w:r>
        <w:rPr>
          <w:rFonts w:ascii="Times New Roman" w:hAnsi="Times New Roman" w:eastAsia="黑体" w:cs="Times New Roman"/>
          <w:color w:val="000000" w:themeColor="text1"/>
          <w:sz w:val="32"/>
          <w14:textFill>
            <w14:solidFill>
              <w14:schemeClr w14:val="tx1"/>
            </w14:solidFill>
          </w14:textFill>
        </w:rPr>
        <w:t>第二十八章  提高社会文明程度</w:t>
      </w:r>
      <w:bookmarkEnd w:id="141"/>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加强社会主义精神文明建设，弘扬优秀传统文化和先进思想文化，倡导科学精神和人文精神，推动诚信建设，构筑诚信社会。</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42" w:name="_Toc62051647"/>
      <w:r>
        <w:rPr>
          <w:rFonts w:ascii="Times New Roman" w:hAnsi="Times New Roman" w:eastAsia="楷体_GB2312" w:cs="Times New Roman"/>
          <w:b/>
          <w:color w:val="000000" w:themeColor="text1"/>
          <w:sz w:val="32"/>
          <w14:textFill>
            <w14:solidFill>
              <w14:schemeClr w14:val="tx1"/>
            </w14:solidFill>
          </w14:textFill>
        </w:rPr>
        <w:t>第一节  大力弘扬社会主义核心价值观</w:t>
      </w:r>
      <w:bookmarkEnd w:id="142"/>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推动理想信念教育常态化制度化。</w:t>
      </w:r>
      <w:r>
        <w:rPr>
          <w:rFonts w:ascii="Times New Roman" w:hAnsi="Times New Roman" w:eastAsia="仿宋_GB2312" w:cs="Times New Roman"/>
          <w:color w:val="000000" w:themeColor="text1"/>
          <w:sz w:val="32"/>
          <w:szCs w:val="32"/>
          <w14:textFill>
            <w14:solidFill>
              <w14:schemeClr w14:val="tx1"/>
            </w14:solidFill>
          </w14:textFill>
        </w:rPr>
        <w:t>深入开展习近平新时代中国特色社会主义思想学习宣传教育，推进马克思主义理论研究和建设工程，推动哲学社会科学学科体系、学术体系、话语体系建设。加强党史、新中国史、改革开放史、社会主义发展史教育，深入培育和践行社会主义核心价值观，将社会主义核心价值观融入国民教育全过程。引领新时代公民道德建设，突出抓好未成年人和大学生思想道德建设。发扬革命传统，传承红色基因，广泛开展爱国主义、集体主义、社会主义教育。</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拓展群众性精神文明创建活动。</w:t>
      </w:r>
      <w:r>
        <w:rPr>
          <w:rFonts w:ascii="Times New Roman" w:hAnsi="Times New Roman" w:eastAsia="仿宋_GB2312" w:cs="Times New Roman"/>
          <w:color w:val="000000" w:themeColor="text1"/>
          <w:sz w:val="32"/>
          <w:szCs w:val="32"/>
          <w14:textFill>
            <w14:solidFill>
              <w14:schemeClr w14:val="tx1"/>
            </w14:solidFill>
          </w14:textFill>
        </w:rPr>
        <w:t>加强新时代文明实践中心建设，深入实施文明创建工程，深化拓展文明城市、文明村镇、文明单位、文明家庭、文明校园创建活动，积极打造全域文明。完善志愿服务体系，推动文明实践志愿服务精准化、常态化、便利化、品牌化，广</w:t>
      </w:r>
      <w:r>
        <w:rPr>
          <w:rFonts w:ascii="Times New Roman" w:hAnsi="Times New Roman" w:eastAsia="仿宋_GB2312" w:cs="Times New Roman"/>
          <w:color w:val="000000" w:themeColor="text1"/>
          <w:spacing w:val="-2"/>
          <w:sz w:val="32"/>
          <w:szCs w:val="32"/>
          <w14:textFill>
            <w14:solidFill>
              <w14:schemeClr w14:val="tx1"/>
            </w14:solidFill>
          </w14:textFill>
        </w:rPr>
        <w:t>泛开展志愿服务关爱行动，持续打造“四季同行·雷锋家乡学雷锋”志愿服务活动品牌。推进移风易俗，弘扬时代新风，倡导文明节俭生活方式。积极培育文明乡风、良好家风、淳朴民风，推动乡村精神文明创建工作。加大“湖南好人”等先进典型选树宣传。</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43" w:name="_Toc62051648"/>
      <w:r>
        <w:rPr>
          <w:rFonts w:ascii="Times New Roman" w:hAnsi="Times New Roman" w:eastAsia="楷体_GB2312" w:cs="Times New Roman"/>
          <w:b/>
          <w:color w:val="000000" w:themeColor="text1"/>
          <w:sz w:val="32"/>
          <w14:textFill>
            <w14:solidFill>
              <w14:schemeClr w14:val="tx1"/>
            </w14:solidFill>
          </w14:textFill>
        </w:rPr>
        <w:t>第二节  创造崇德向善道德环境</w:t>
      </w:r>
      <w:bookmarkEnd w:id="143"/>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强化主流舆论引导。</w:t>
      </w:r>
      <w:r>
        <w:rPr>
          <w:rFonts w:ascii="Times New Roman" w:hAnsi="Times New Roman" w:eastAsia="仿宋_GB2312" w:cs="Times New Roman"/>
          <w:color w:val="000000" w:themeColor="text1"/>
          <w:sz w:val="32"/>
          <w:szCs w:val="32"/>
          <w14:textFill>
            <w14:solidFill>
              <w14:schemeClr w14:val="tx1"/>
            </w14:solidFill>
          </w14:textFill>
        </w:rPr>
        <w:t>坚持正确舆论导向，健全社会舆情引导机制，加强社会舆情应急管理。推动媒体深度融合，推进全媒体传播工程和智慧广电工程，打造新型主流媒体，构建省市县三级协同高效的全媒体传播体系。全面提高舆论引导能力，持续提高正面宣传质量和水平。</w:t>
      </w:r>
    </w:p>
    <w:p>
      <w:pPr>
        <w:spacing w:line="59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加强网络文明建设。</w:t>
      </w:r>
      <w:r>
        <w:rPr>
          <w:rFonts w:ascii="Times New Roman" w:hAnsi="Times New Roman" w:eastAsia="仿宋_GB2312" w:cs="Times New Roman"/>
          <w:color w:val="000000" w:themeColor="text1"/>
          <w:spacing w:val="-2"/>
          <w:sz w:val="32"/>
          <w:szCs w:val="32"/>
          <w14:textFill>
            <w14:solidFill>
              <w14:schemeClr w14:val="tx1"/>
            </w14:solidFill>
          </w14:textFill>
        </w:rPr>
        <w:t>推进网络综合治理，落实主管主办和属地管理责任，倡导文明上网、绿色上网。发展积极健康的网络文化，丰富网络道德实践，加强网络公益宣传，壮大网络公益队伍。净化网络道德环境，大力推进“清朗工程”，持续开展“净网”“剑网”“清源”等专项行动，整治网上突出问题，维护网络道德秩序，营造清朗网络空间</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营造诚实守信社会氛围。</w:t>
      </w:r>
      <w:r>
        <w:rPr>
          <w:rFonts w:ascii="Times New Roman" w:hAnsi="Times New Roman" w:eastAsia="仿宋_GB2312" w:cs="Times New Roman"/>
          <w:color w:val="000000" w:themeColor="text1"/>
          <w:sz w:val="32"/>
          <w:szCs w:val="32"/>
          <w14:textFill>
            <w14:solidFill>
              <w14:schemeClr w14:val="tx1"/>
            </w14:solidFill>
          </w14:textFill>
        </w:rPr>
        <w:t>积极选树诚信先进典型，大力宣传守信践诺事迹，加快建设诚信文化主题场所。弘扬与社会主义市场经济相适应的诚信理念、诚信文化、契约精神，全面推广信用承诺制、告知承诺制，推动各行业各领域制定诚信公约。</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44" w:name="_Toc62051649"/>
      <w:r>
        <w:rPr>
          <w:rFonts w:ascii="Times New Roman" w:hAnsi="Times New Roman" w:eastAsia="黑体" w:cs="Times New Roman"/>
          <w:bCs/>
          <w:color w:val="000000" w:themeColor="text1"/>
          <w:sz w:val="32"/>
          <w:szCs w:val="32"/>
          <w14:textFill>
            <w14:solidFill>
              <w14:schemeClr w14:val="tx1"/>
            </w14:solidFill>
          </w14:textFill>
        </w:rPr>
        <w:t>第二十九章  繁荣文化事业</w:t>
      </w:r>
      <w:bookmarkEnd w:id="144"/>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完善公共文化服务体系，弘扬中国优秀文化和优秀湖湘文化，深化文化体制改革，推动文化事业全面繁荣。</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5" w:name="_Toc62051650"/>
      <w:r>
        <w:rPr>
          <w:rFonts w:ascii="Times New Roman" w:hAnsi="Times New Roman" w:eastAsia="楷体_GB2312" w:cs="Times New Roman"/>
          <w:b/>
          <w:bCs/>
          <w:color w:val="000000" w:themeColor="text1"/>
          <w:sz w:val="32"/>
          <w:szCs w:val="32"/>
          <w14:textFill>
            <w14:solidFill>
              <w14:schemeClr w14:val="tx1"/>
            </w14:solidFill>
          </w14:textFill>
        </w:rPr>
        <w:t>第一节  完善公共文化服务体系</w:t>
      </w:r>
      <w:bookmarkEnd w:id="145"/>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推进公共文化设施全覆盖。</w:t>
      </w:r>
      <w:r>
        <w:rPr>
          <w:rFonts w:ascii="Times New Roman" w:hAnsi="Times New Roman" w:eastAsia="仿宋_GB2312" w:cs="Times New Roman"/>
          <w:color w:val="000000" w:themeColor="text1"/>
          <w:sz w:val="32"/>
          <w:szCs w:val="32"/>
          <w14:textFill>
            <w14:solidFill>
              <w14:schemeClr w14:val="tx1"/>
            </w14:solidFill>
          </w14:textFill>
        </w:rPr>
        <w:t>加快建设公共文化服务设施，加速现有公共文化设施提升改造，提高设施设备现代化水平。推进城乡公共文化服务体系一体建设，优化城乡文化资源配置，加强城市社区文化中心（文化室）和区县两馆建设，持续推进基层综合性文化服务中心建设，完善基层公共文化设施的网络布局，有效整合和统筹利用基层公共文化资源。提高各级各类公共文化服务设施建设管理和服务能力，基本实现公共文化设施网络全面覆盖、互联互通。</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加快公共文化服务数字化建设。</w:t>
      </w:r>
      <w:r>
        <w:rPr>
          <w:rFonts w:ascii="Times New Roman" w:hAnsi="Times New Roman" w:eastAsia="仿宋_GB2312" w:cs="Times New Roman"/>
          <w:color w:val="000000" w:themeColor="text1"/>
          <w:sz w:val="32"/>
          <w:szCs w:val="32"/>
          <w14:textFill>
            <w14:solidFill>
              <w14:schemeClr w14:val="tx1"/>
            </w14:solidFill>
          </w14:textFill>
        </w:rPr>
        <w:t>建立数字文化服务网络，提升公共文化数字化资源供给能力和现代传播能力。大力推动文化共享工程，加快数字图书馆、数字文化馆、数字博物馆、数字档案馆、数字非遗场馆等建设，建立线上线下相结合的分布式数字资源库，实现公共文化服务形式从“传统型”向“数字型”“科技型”转变。整合制作优秀特色文化资源库。</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提升公共文化服务能力。</w:t>
      </w:r>
      <w:r>
        <w:rPr>
          <w:rFonts w:ascii="Times New Roman" w:hAnsi="Times New Roman" w:eastAsia="仿宋_GB2312" w:cs="Times New Roman"/>
          <w:color w:val="000000" w:themeColor="text1"/>
          <w:sz w:val="32"/>
          <w:szCs w:val="32"/>
          <w14:textFill>
            <w14:solidFill>
              <w14:schemeClr w14:val="tx1"/>
            </w14:solidFill>
          </w14:textFill>
        </w:rPr>
        <w:t>高质量推进国家公共文化服务体系示范区（项目）和省级现代公共文化服务示范区建设。发挥档案文化功能，推进档案事业发展。创新实施文化惠民工程，加大政府购买公共文化服务力度。建立公共文化服务需求反馈机制，鼓励各类文化企业和社会力量参与公共文化服务体系建设，培育文化非营利组织，推动全省公共文化服务体系可持续发展。深入拓展“雅韵三湘”“欢乐潇湘”“书香湖南”等群众文化品牌活动，大力实施文化惠民项目，提高人民群众文化获得感。</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6" w:name="_Toc62051651"/>
      <w:r>
        <w:rPr>
          <w:rFonts w:ascii="Times New Roman" w:hAnsi="Times New Roman" w:eastAsia="楷体_GB2312" w:cs="Times New Roman"/>
          <w:b/>
          <w:bCs/>
          <w:color w:val="000000" w:themeColor="text1"/>
          <w:sz w:val="32"/>
          <w:szCs w:val="32"/>
          <w14:textFill>
            <w14:solidFill>
              <w14:schemeClr w14:val="tx1"/>
            </w14:solidFill>
          </w14:textFill>
        </w:rPr>
        <w:t>第二节  弘扬红色文化</w:t>
      </w:r>
      <w:bookmarkEnd w:id="146"/>
    </w:p>
    <w:p>
      <w:pPr>
        <w:spacing w:line="596"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挖掘红色资源。</w:t>
      </w:r>
      <w:r>
        <w:rPr>
          <w:rFonts w:ascii="Times New Roman" w:hAnsi="Times New Roman" w:eastAsia="仿宋_GB2312" w:cs="Times New Roman"/>
          <w:bCs/>
          <w:color w:val="000000" w:themeColor="text1"/>
          <w:sz w:val="32"/>
          <w:szCs w:val="32"/>
          <w14:textFill>
            <w14:solidFill>
              <w14:schemeClr w14:val="tx1"/>
            </w14:solidFill>
          </w14:textFill>
        </w:rPr>
        <w:t xml:space="preserve">以沙洲初心源建设等为重点，精选建设一批党性教育基地，把湖南红色文化、红色故事作为加强党性教育的鲜活教材，讲好党的故事、革命的故事、根据地的故事、英雄和烈士的故事，推出《湖湘红色基因文库》《忧乐天下—湖湘共产党人与中国革命建设》等一批红色精品力作，提升红色故事的传播影响。全面推进红色文化与廉政教育、青少年思想道德教育相结合。 </w:t>
      </w:r>
    </w:p>
    <w:p>
      <w:pPr>
        <w:spacing w:line="596"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擦亮红色名片。</w:t>
      </w:r>
      <w:r>
        <w:rPr>
          <w:rFonts w:ascii="Times New Roman" w:hAnsi="Times New Roman" w:eastAsia="仿宋_GB2312" w:cs="Times New Roman"/>
          <w:bCs/>
          <w:color w:val="000000" w:themeColor="text1"/>
          <w:sz w:val="32"/>
          <w:szCs w:val="32"/>
          <w14:textFill>
            <w14:solidFill>
              <w14:schemeClr w14:val="tx1"/>
            </w14:solidFill>
          </w14:textFill>
        </w:rPr>
        <w:t>塑造“伟人故里”世界一流品牌，实施湘潭（韶山）全国红色旅游融合发展示范区、长征国家文化公园（湖南段）等重大工程。加强湘赣边</w:t>
      </w:r>
      <w:r>
        <w:rPr>
          <w:rFonts w:hint="eastAsia" w:ascii="Times New Roman" w:hAnsi="Times New Roman" w:eastAsia="仿宋_GB2312" w:cs="Times New Roman"/>
          <w:bCs/>
          <w:color w:val="000000" w:themeColor="text1"/>
          <w:sz w:val="32"/>
          <w:szCs w:val="32"/>
          <w14:textFill>
            <w14:solidFill>
              <w14:schemeClr w14:val="tx1"/>
            </w14:solidFill>
          </w14:textFill>
        </w:rPr>
        <w:t>和湘鄂渝黔</w:t>
      </w:r>
      <w:r>
        <w:rPr>
          <w:rFonts w:ascii="Times New Roman" w:hAnsi="Times New Roman" w:eastAsia="仿宋_GB2312" w:cs="Times New Roman"/>
          <w:bCs/>
          <w:color w:val="000000" w:themeColor="text1"/>
          <w:sz w:val="32"/>
          <w:szCs w:val="32"/>
          <w14:textFill>
            <w14:solidFill>
              <w14:schemeClr w14:val="tx1"/>
            </w14:solidFill>
          </w14:textFill>
        </w:rPr>
        <w:t>红色文化资源保护传承，支持建设以红色革命为主题的大型影视基地，积极举办中国红色文化艺术节。打造中俄（法、越）红色旅游城市（景区）国际合作交流等系列平台。</w:t>
      </w:r>
      <w:r>
        <w:rPr>
          <w:rFonts w:ascii="Times New Roman" w:hAnsi="Times New Roman" w:eastAsia="仿宋_GB2312" w:cs="Times New Roman"/>
          <w:color w:val="000000" w:themeColor="text1"/>
          <w:sz w:val="32"/>
          <w:szCs w:val="32"/>
          <w14:textFill>
            <w14:solidFill>
              <w14:schemeClr w14:val="tx1"/>
            </w14:solidFill>
          </w14:textFill>
        </w:rPr>
        <w:t>建设一批纪念馆、博物馆、重要遗址遗迹、特色公园等重点红色标志性工程。</w:t>
      </w:r>
    </w:p>
    <w:p>
      <w:pPr>
        <w:spacing w:line="596" w:lineRule="exact"/>
        <w:ind w:firstLine="642"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加强红色教育</w:t>
      </w:r>
      <w:r>
        <w:rPr>
          <w:rFonts w:ascii="Times New Roman" w:hAnsi="Times New Roman" w:eastAsia="仿宋_GB2312" w:cs="Times New Roman"/>
          <w:bCs/>
          <w:color w:val="000000" w:themeColor="text1"/>
          <w:sz w:val="32"/>
          <w:szCs w:val="32"/>
          <w14:textFill>
            <w14:solidFill>
              <w14:schemeClr w14:val="tx1"/>
            </w14:solidFill>
          </w14:textFill>
        </w:rPr>
        <w:t>。弘扬伟大长征精神，深入进行爱国主义教育和革命传统教育。将红色教育融入中小学课堂，引导青少年儿童继承和发扬革命先烈的优秀品质和崇高精神。将红色教育纳入干部职工教育培训范围，纳入各级党校（行政学院）、社会主义学院培训计划，</w:t>
      </w:r>
      <w:r>
        <w:rPr>
          <w:rFonts w:ascii="Times New Roman" w:hAnsi="Times New Roman" w:eastAsia="仿宋_GB2312" w:cs="Times New Roman"/>
          <w:color w:val="000000" w:themeColor="text1"/>
          <w:sz w:val="32"/>
          <w:szCs w:val="32"/>
          <w14:textFill>
            <w14:solidFill>
              <w14:schemeClr w14:val="tx1"/>
            </w14:solidFill>
          </w14:textFill>
        </w:rPr>
        <w:t>常态化开展“走进红色课堂、传承红色基因”等主题实践活动，教育引导广大党员干部发扬革命传统。</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7" w:name="_Toc62051652"/>
      <w:r>
        <w:rPr>
          <w:rFonts w:ascii="Times New Roman" w:hAnsi="Times New Roman" w:eastAsia="楷体_GB2312" w:cs="Times New Roman"/>
          <w:b/>
          <w:bCs/>
          <w:color w:val="000000" w:themeColor="text1"/>
          <w:sz w:val="32"/>
          <w:szCs w:val="32"/>
          <w14:textFill>
            <w14:solidFill>
              <w14:schemeClr w14:val="tx1"/>
            </w14:solidFill>
          </w14:textFill>
        </w:rPr>
        <w:t>第三节  传承创新湖湘优秀传统文化</w:t>
      </w:r>
      <w:bookmarkEnd w:id="147"/>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传承历史文化基因。</w:t>
      </w:r>
      <w:r>
        <w:rPr>
          <w:rFonts w:ascii="Times New Roman" w:hAnsi="Times New Roman" w:eastAsia="仿宋_GB2312" w:cs="Times New Roman"/>
          <w:color w:val="000000" w:themeColor="text1"/>
          <w:sz w:val="32"/>
          <w:szCs w:val="32"/>
          <w14:textFill>
            <w14:solidFill>
              <w14:schemeClr w14:val="tx1"/>
            </w14:solidFill>
          </w14:textFill>
        </w:rPr>
        <w:t>弘扬岳麓书院等优秀历史文化、炎帝农耕文化、舜帝德孝文化，深入挖掘湖湘文化内涵，突出湖湘历史杰出人物的优秀品质传承，注重其事迹、格言、专辑等传播与应用。弘扬爱国情怀，传承湖湘文化，筑牢责任担当，践行务实作风。</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加强湖湘文化保护力度。</w:t>
      </w:r>
      <w:r>
        <w:rPr>
          <w:rFonts w:ascii="Times New Roman" w:hAnsi="Times New Roman" w:eastAsia="仿宋_GB2312" w:cs="Times New Roman"/>
          <w:color w:val="000000" w:themeColor="text1"/>
          <w:sz w:val="32"/>
          <w:szCs w:val="32"/>
          <w14:textFill>
            <w14:solidFill>
              <w14:schemeClr w14:val="tx1"/>
            </w14:solidFill>
          </w14:textFill>
        </w:rPr>
        <w:t>实施文物保护工程，加快文物价值的挖掘阐释传播，积极推进文物资料数字化建设。创建文化传承创新区，加快实施文化遗产传承工程，建好国家和省级文化生态保护区。实施湖南传统工艺振兴计划，加强非遗区域性整体保护，推动文化遗产保护利用与旅游发展相结合。</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加强文化品牌建设。</w:t>
      </w:r>
      <w:r>
        <w:rPr>
          <w:rFonts w:ascii="Times New Roman" w:hAnsi="Times New Roman" w:eastAsia="仿宋_GB2312" w:cs="Times New Roman"/>
          <w:color w:val="000000" w:themeColor="text1"/>
          <w:sz w:val="32"/>
          <w:szCs w:val="32"/>
          <w14:textFill>
            <w14:solidFill>
              <w14:schemeClr w14:val="tx1"/>
            </w14:solidFill>
          </w14:textFill>
        </w:rPr>
        <w:t>坚持以人民为中心的创作导向，提升文艺原创能力，推出一批体现时代高度、反映湖南发展成就、在全国有影响力的文艺精品力作。坚持创造性转化、创新性发展，赋予湖湘优秀文化新的时代内涵和现代表达形式，促进湖湘传统文化与当代文化和现代社会融合。加大文化人才培养力度，建设德艺双馨的文艺队伍，开展湖南省德艺双馨文艺家等评选活动。巩固湖南艺术节、湖湘大学堂、雷锋精神论坛等系列活动品牌，做大做强“锦绣潇湘”“湖湘文化走世界”等品牌。</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8" w:name="_Toc62051653"/>
      <w:r>
        <w:rPr>
          <w:rFonts w:ascii="Times New Roman" w:hAnsi="Times New Roman" w:eastAsia="楷体_GB2312" w:cs="Times New Roman"/>
          <w:b/>
          <w:bCs/>
          <w:color w:val="000000" w:themeColor="text1"/>
          <w:sz w:val="32"/>
          <w:szCs w:val="32"/>
          <w14:textFill>
            <w14:solidFill>
              <w14:schemeClr w14:val="tx1"/>
            </w14:solidFill>
          </w14:textFill>
        </w:rPr>
        <w:t>第四节  扩大湖湘文化影响力和传播力</w:t>
      </w:r>
      <w:bookmarkEnd w:id="148"/>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提升湖湘文化价值引领力。</w:t>
      </w:r>
      <w:r>
        <w:rPr>
          <w:rFonts w:ascii="Times New Roman" w:hAnsi="Times New Roman" w:eastAsia="仿宋_GB2312" w:cs="Times New Roman"/>
          <w:color w:val="000000" w:themeColor="text1"/>
          <w:sz w:val="32"/>
          <w:szCs w:val="32"/>
          <w14:textFill>
            <w14:solidFill>
              <w14:schemeClr w14:val="tx1"/>
            </w14:solidFill>
          </w14:textFill>
        </w:rPr>
        <w:t>加强与省外的文化交流，重点培育富有地域特色的对外文化交流项目，打造一批文化出口重点企业。积极参与“感知中国”“文化中国”等国家重点项目和中华文化海外推广工程、中华文化走出去精品工程。创新交流方式，拓展交流领域，制定政府交流、商业展演、专业交流与民间对外文化交流计划。推动国有大型文化企业参与“海外传播计划”。加强与国外创意产业机构的联络工作，形成一系列有影响的文化品牌，培育具有国际竞争力的外向型文化企业。</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深化对外文化交流合作。</w:t>
      </w:r>
      <w:r>
        <w:rPr>
          <w:rFonts w:ascii="Times New Roman" w:hAnsi="Times New Roman" w:eastAsia="仿宋_GB2312" w:cs="Times New Roman"/>
          <w:color w:val="000000" w:themeColor="text1"/>
          <w:sz w:val="32"/>
          <w:szCs w:val="32"/>
          <w14:textFill>
            <w14:solidFill>
              <w14:schemeClr w14:val="tx1"/>
            </w14:solidFill>
          </w14:textFill>
        </w:rPr>
        <w:t>立足湘绣、湘茶、湘瓷、烟花等本土文化元素，建设一批独具魅力的特色文化交流展示区。开拓境外商业演出市场，构建对外文化以及华侨华人文化交流中心。加强与境外主流媒体以及国际组织、外国智库、国际公关公司等合作。</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构建湖湘文化传播矩阵。</w:t>
      </w:r>
      <w:r>
        <w:rPr>
          <w:rFonts w:ascii="Times New Roman" w:hAnsi="Times New Roman" w:eastAsia="仿宋_GB2312" w:cs="Times New Roman"/>
          <w:color w:val="000000" w:themeColor="text1"/>
          <w:sz w:val="32"/>
          <w:szCs w:val="32"/>
          <w14:textFill>
            <w14:solidFill>
              <w14:schemeClr w14:val="tx1"/>
            </w14:solidFill>
          </w14:textFill>
        </w:rPr>
        <w:t>鼓励社会组织、中资机构、艺术家团体和个人、艺术经纪人等参与海外文化中心建设，承担人文交流项目。加强与国际会展组织的合作，积极推动长株潭与国际会展名城交流，促进文化的相互借鉴，实现城市、文化、会展、产业的共同发展。</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9" w:name="_Toc62051654"/>
      <w:r>
        <w:rPr>
          <w:rFonts w:ascii="Times New Roman" w:hAnsi="Times New Roman" w:eastAsia="楷体_GB2312" w:cs="Times New Roman"/>
          <w:b/>
          <w:bCs/>
          <w:color w:val="000000" w:themeColor="text1"/>
          <w:sz w:val="32"/>
          <w:szCs w:val="32"/>
          <w14:textFill>
            <w14:solidFill>
              <w14:schemeClr w14:val="tx1"/>
            </w14:solidFill>
          </w14:textFill>
        </w:rPr>
        <w:t>第五节  深化文化体制改革</w:t>
      </w:r>
      <w:bookmarkEnd w:id="149"/>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深化文化事业单位改革。</w:t>
      </w:r>
      <w:r>
        <w:rPr>
          <w:rFonts w:ascii="Times New Roman" w:hAnsi="Times New Roman" w:eastAsia="仿宋_GB2312" w:cs="Times New Roman"/>
          <w:color w:val="000000" w:themeColor="text1"/>
          <w:sz w:val="32"/>
          <w:szCs w:val="32"/>
          <w14:textFill>
            <w14:solidFill>
              <w14:schemeClr w14:val="tx1"/>
            </w14:solidFill>
          </w14:textFill>
        </w:rPr>
        <w:t>按照政事分开原则，推动政府部门由办文化向管文化转变，理顺党政部门与其所属的文化企事业单位关系。突出公益属性，强化服务功能，推动建立法人治理结构，深化公益性文化单位内部制度改革。建立健全党委和政府监管国有文化资产的管理机构，完善国有文化资产管理体制，实现管人管事管资产管导向相统一。</w:t>
      </w:r>
    </w:p>
    <w:p>
      <w:pPr>
        <w:spacing w:line="616"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加快国有文化企业改革创新。</w:t>
      </w:r>
      <w:r>
        <w:rPr>
          <w:rFonts w:ascii="Times New Roman" w:hAnsi="Times New Roman" w:eastAsia="仿宋_GB2312" w:cs="Times New Roman"/>
          <w:color w:val="000000" w:themeColor="text1"/>
          <w:sz w:val="32"/>
          <w:szCs w:val="32"/>
          <w14:textFill>
            <w14:solidFill>
              <w14:schemeClr w14:val="tx1"/>
            </w14:solidFill>
          </w14:textFill>
        </w:rPr>
        <w:t>坚持把社会效益放在首位，社会效益和经济效益相统一，推动国有文化企业建立健全现代企业制度。引导文化企业更好履行社会责任。稳妥推进混合所有制改革，形成有效制衡的公司法人治理结构和灵活高效的市场化经营机制。</w:t>
      </w: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036" w:type="dxa"/>
            <w:shd w:val="clear" w:color="auto" w:fill="auto"/>
            <w:vAlign w:val="center"/>
          </w:tcPr>
          <w:p>
            <w:pPr>
              <w:spacing w:line="3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专栏33  繁荣文化事业行动计划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036" w:type="dxa"/>
            <w:shd w:val="clear" w:color="auto" w:fill="auto"/>
          </w:tcPr>
          <w:p>
            <w:pPr>
              <w:tabs>
                <w:tab w:val="center" w:pos="4153"/>
                <w:tab w:val="right" w:pos="8306"/>
              </w:tabs>
              <w:snapToGrid w:val="0"/>
              <w:spacing w:line="320" w:lineRule="exact"/>
              <w:ind w:firstLine="481"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长征国家文化公园（湖南段）建设工程。</w:t>
            </w:r>
            <w:r>
              <w:rPr>
                <w:rFonts w:ascii="Times New Roman" w:hAnsi="Times New Roman" w:cs="Times New Roman"/>
                <w:color w:val="000000" w:themeColor="text1"/>
                <w:sz w:val="24"/>
                <w:szCs w:val="24"/>
                <w14:textFill>
                  <w14:solidFill>
                    <w14:schemeClr w14:val="tx1"/>
                  </w14:solidFill>
                </w14:textFill>
              </w:rPr>
              <w:t>着力打造中华文化重要标志，建设我省长征文化为主题的博物馆、展示馆，保护重要遗址遗迹，建设特色公园，建设综合性非物质文化遗产展示工程以及必要的配套设施，修缮历史文化名城名镇和历史街区以及示范段内景区（点）的文化旅游复合廊道。</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文化研究展示基地建设工程。</w:t>
            </w:r>
            <w:r>
              <w:rPr>
                <w:rFonts w:ascii="Times New Roman" w:hAnsi="Times New Roman" w:cs="Times New Roman"/>
                <w:color w:val="000000" w:themeColor="text1"/>
                <w:sz w:val="24"/>
                <w:szCs w:val="24"/>
                <w14:textFill>
                  <w14:solidFill>
                    <w14:schemeClr w14:val="tx1"/>
                  </w14:solidFill>
                </w14:textFill>
              </w:rPr>
              <w:t>建设七大文化研究展示基地，即湘学研究展示基地、楚文化研究展示基地、汉文化研究展示基地、梅山文化研究展示基地、红色文化保护展示基地、少数民族特色文化保护展示基地、湖湘特色文化产品原创基地。</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湖湘优秀传统文化传承发展工程。</w:t>
            </w:r>
            <w:r>
              <w:rPr>
                <w:rFonts w:ascii="Times New Roman" w:hAnsi="Times New Roman" w:cs="Times New Roman"/>
                <w:color w:val="000000" w:themeColor="text1"/>
                <w:sz w:val="24"/>
                <w:szCs w:val="24"/>
                <w14:textFill>
                  <w14:solidFill>
                    <w14:schemeClr w14:val="tx1"/>
                  </w14:solidFill>
                </w14:textFill>
              </w:rPr>
              <w:t>实施传统文化经典研究阐释出版工程、湖湘文化遗产保护传承工程、优秀传统文化“五进工程”、优秀传统文化精品创作工程、优秀传统文化传播交流平台建设工程、湖湘少数民族文化传承发展工程、湖湘文化走出去工程。</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文物保护工程。</w:t>
            </w:r>
            <w:r>
              <w:rPr>
                <w:rFonts w:ascii="Times New Roman" w:hAnsi="Times New Roman" w:cs="Times New Roman"/>
                <w:color w:val="000000" w:themeColor="text1"/>
                <w:sz w:val="24"/>
                <w:szCs w:val="24"/>
                <w14:textFill>
                  <w14:solidFill>
                    <w14:schemeClr w14:val="tx1"/>
                  </w14:solidFill>
                </w14:textFill>
              </w:rPr>
              <w:t>重点开展长征文物和国家级重点文物抢救保护展示。推进侗族村寨、万里茶道和长沙铜官窑遗址申遗；加强石刻文物保护利用，持续推进“考古中国”重大项目，公布建设一批省级考古遗址公园；组织开展第四批全国博物馆定级评估。推进文物合理适度利用，统筹革命文物保护展示和红色旅游开发，探索支持省博物馆、韶山毛泽东同志纪念馆建立分馆。</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非物质文化遗产传承工程。</w:t>
            </w:r>
            <w:r>
              <w:rPr>
                <w:rFonts w:ascii="Times New Roman" w:hAnsi="Times New Roman" w:cs="Times New Roman"/>
                <w:color w:val="000000" w:themeColor="text1"/>
                <w:sz w:val="24"/>
                <w:szCs w:val="24"/>
                <w14:textFill>
                  <w14:solidFill>
                    <w14:schemeClr w14:val="tx1"/>
                  </w14:solidFill>
                </w14:textFill>
              </w:rPr>
              <w:t>鼓励社会大众广泛参与非遗事业，探索拓展社会各界支持非遗保护的渠道、平台和方式。完善湖南省非物质文化遗产代表性项目和代表性传承人四级保护名录体系。建设湖南省非物质文化遗产综合管理服务平台。加大非遗资源的挖掘、研究、整理和利用力度。</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50" w:name="_Toc62051655"/>
      <w:r>
        <w:rPr>
          <w:rFonts w:ascii="Times New Roman" w:hAnsi="Times New Roman" w:eastAsia="黑体" w:cs="Times New Roman"/>
          <w:bCs/>
          <w:color w:val="000000" w:themeColor="text1"/>
          <w:sz w:val="32"/>
          <w:szCs w:val="32"/>
          <w14:textFill>
            <w14:solidFill>
              <w14:schemeClr w14:val="tx1"/>
            </w14:solidFill>
          </w14:textFill>
        </w:rPr>
        <w:t>第三十章  发展壮大文化产业</w:t>
      </w:r>
      <w:bookmarkEnd w:id="15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依托优势文化产业资源，做优做强文化市场主体，加快发展文化新兴业态，健全现代文化产业体系和市场体系。</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1" w:name="_Toc62051656"/>
      <w:r>
        <w:rPr>
          <w:rFonts w:ascii="Times New Roman" w:hAnsi="Times New Roman" w:eastAsia="楷体_GB2312" w:cs="Times New Roman"/>
          <w:b/>
          <w:color w:val="000000" w:themeColor="text1"/>
          <w:sz w:val="32"/>
          <w14:textFill>
            <w14:solidFill>
              <w14:schemeClr w14:val="tx1"/>
            </w14:solidFill>
          </w14:textFill>
        </w:rPr>
        <w:t>第一节  构建文化产业平台</w:t>
      </w:r>
      <w:bookmarkEnd w:id="151"/>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建设马栏山视频文创产业园。</w:t>
      </w:r>
      <w:r>
        <w:rPr>
          <w:rFonts w:ascii="Times New Roman" w:hAnsi="Times New Roman" w:eastAsia="仿宋_GB2312" w:cs="Times New Roman"/>
          <w:color w:val="000000" w:themeColor="text1"/>
          <w:sz w:val="32"/>
          <w:szCs w:val="32"/>
          <w14:textFill>
            <w14:solidFill>
              <w14:schemeClr w14:val="tx1"/>
            </w14:solidFill>
          </w14:textFill>
        </w:rPr>
        <w:t>以数字视频内容为核心、数字视频创意为龙头、高新科技为支撑，加快云视频、云游戏、智慧影业等重点建设，培育壮大本土文创企业，引进大型视频企业，营造良好文创产业生态，建成全国一流的视频文创内容生产基地、数字制作基地、版权交易基地，打造具有国际竞争力的“中国V谷”。</w:t>
      </w:r>
    </w:p>
    <w:p>
      <w:pPr>
        <w:spacing w:line="596"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打造优势文化产业平台。</w:t>
      </w:r>
      <w:r>
        <w:rPr>
          <w:rFonts w:ascii="Times New Roman" w:hAnsi="Times New Roman" w:eastAsia="仿宋_GB2312" w:cs="Times New Roman"/>
          <w:color w:val="000000" w:themeColor="text1"/>
          <w:sz w:val="32"/>
          <w:szCs w:val="32"/>
          <w14:textFill>
            <w14:solidFill>
              <w14:schemeClr w14:val="tx1"/>
            </w14:solidFill>
          </w14:textFill>
        </w:rPr>
        <w:t>做大做强影视传媒、新闻出版、演艺娱乐、动漫游戏等优势产业。大力推进长沙媒体艺术之都、国际新型影视创意中心、动漫游戏创新基地、全球创意烟花设计基地和现代创意设计集聚区建设。推进</w:t>
      </w:r>
      <w:r>
        <w:rPr>
          <w:rFonts w:ascii="Times New Roman" w:hAnsi="Times New Roman" w:eastAsia="仿宋_GB2312" w:cs="Times New Roman"/>
          <w:color w:val="000000" w:themeColor="text1"/>
          <w:kern w:val="0"/>
          <w:sz w:val="32"/>
          <w:szCs w:val="32"/>
          <w14:textFill>
            <w14:solidFill>
              <w14:schemeClr w14:val="tx1"/>
            </w14:solidFill>
          </w14:textFill>
        </w:rPr>
        <w:t>文化产业示范基地（园区）创新提升和转型升级</w:t>
      </w:r>
      <w:r>
        <w:rPr>
          <w:rFonts w:ascii="Times New Roman" w:hAnsi="Times New Roman" w:eastAsia="仿宋_GB2312" w:cs="Times New Roman"/>
          <w:color w:val="000000" w:themeColor="text1"/>
          <w:sz w:val="32"/>
          <w:szCs w:val="32"/>
          <w14:textFill>
            <w14:solidFill>
              <w14:schemeClr w14:val="tx1"/>
            </w14:solidFill>
          </w14:textFill>
        </w:rPr>
        <w:t>，整合省内外资源，建设一批文化创意产业园区、文创空间</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0"/>
          <w:sz w:val="32"/>
          <w:szCs w:val="32"/>
          <w14:textFill>
            <w14:solidFill>
              <w14:schemeClr w14:val="tx1"/>
            </w14:solidFill>
          </w14:textFill>
        </w:rPr>
        <w:t>搭建</w:t>
      </w:r>
      <w:r>
        <w:rPr>
          <w:rFonts w:ascii="Times New Roman" w:hAnsi="Times New Roman" w:eastAsia="仿宋_GB2312" w:cs="Times New Roman"/>
          <w:b/>
          <w:bCs/>
          <w:color w:val="000000" w:themeColor="text1"/>
          <w:sz w:val="32"/>
          <w:szCs w:val="32"/>
          <w14:textFill>
            <w14:solidFill>
              <w14:schemeClr w14:val="tx1"/>
            </w14:solidFill>
          </w14:textFill>
        </w:rPr>
        <w:t>文化创新发展</w:t>
      </w:r>
      <w:r>
        <w:rPr>
          <w:rFonts w:ascii="Times New Roman" w:hAnsi="Times New Roman" w:eastAsia="仿宋_GB2312" w:cs="Times New Roman"/>
          <w:b/>
          <w:color w:val="000000" w:themeColor="text1"/>
          <w:kern w:val="0"/>
          <w:sz w:val="32"/>
          <w:szCs w:val="32"/>
          <w14:textFill>
            <w14:solidFill>
              <w14:schemeClr w14:val="tx1"/>
            </w14:solidFill>
          </w14:textFill>
        </w:rPr>
        <w:t>平台。</w:t>
      </w:r>
      <w:r>
        <w:rPr>
          <w:rFonts w:ascii="Times New Roman" w:hAnsi="Times New Roman" w:eastAsia="仿宋_GB2312" w:cs="Times New Roman"/>
          <w:color w:val="000000" w:themeColor="text1"/>
          <w:sz w:val="32"/>
          <w:szCs w:val="32"/>
          <w14:textFill>
            <w14:solidFill>
              <w14:schemeClr w14:val="tx1"/>
            </w14:solidFill>
          </w14:textFill>
        </w:rPr>
        <w:t>引导新兴文化业态集聚，建立新兴文化业态研发中心、生产中心、传播中心，加快新兴文化业态生产要素优化配置。支持建设5G高新视频、文化创意产业和智能制造、数字媒体金融创新创业共同体。构建新媒体传播矩阵，通过媒体网络、主题博物馆、线上线下等，搭建信息资源整合和公共服务载体。打造综合性、专项性、区域性文化产品服务交易平台和区块链数字版权平台。</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2" w:name="_Toc62051657"/>
      <w:r>
        <w:rPr>
          <w:rFonts w:ascii="Times New Roman" w:hAnsi="Times New Roman" w:eastAsia="楷体_GB2312" w:cs="Times New Roman"/>
          <w:b/>
          <w:color w:val="000000" w:themeColor="text1"/>
          <w:sz w:val="32"/>
          <w14:textFill>
            <w14:solidFill>
              <w14:schemeClr w14:val="tx1"/>
            </w14:solidFill>
          </w14:textFill>
        </w:rPr>
        <w:t>第二节  做强文化市场主体</w:t>
      </w:r>
      <w:bookmarkEnd w:id="152"/>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提高文化企业竞争力。</w:t>
      </w:r>
      <w:r>
        <w:rPr>
          <w:rFonts w:ascii="Times New Roman" w:hAnsi="Times New Roman" w:eastAsia="仿宋_GB2312" w:cs="Times New Roman"/>
          <w:color w:val="000000" w:themeColor="text1"/>
          <w:sz w:val="32"/>
          <w:szCs w:val="32"/>
          <w14:textFill>
            <w14:solidFill>
              <w14:schemeClr w14:val="tx1"/>
            </w14:solidFill>
          </w14:textFill>
        </w:rPr>
        <w:t>推进国有文化企业产权制度改革，优化国有上市文化企业股权结构，着力壮大湖南日报报业集团、湖南广播影视集团、湖南出版投资控股集团、湖南体育产业集团、湖南省演艺集团等。推动文化资源和要素向优质文化企业集聚，大力发展民营文化企业，支持一批骨干文化企业和“专、精、特、新”中小文化企业发展。巩固提升“广电湘军”“出版湘军”等优势行业影响力。</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发展文化中介机构。</w:t>
      </w:r>
      <w:r>
        <w:rPr>
          <w:rFonts w:ascii="Times New Roman" w:hAnsi="Times New Roman" w:eastAsia="仿宋_GB2312" w:cs="Times New Roman"/>
          <w:color w:val="000000" w:themeColor="text1"/>
          <w:sz w:val="32"/>
          <w:szCs w:val="32"/>
          <w14:textFill>
            <w14:solidFill>
              <w14:schemeClr w14:val="tx1"/>
            </w14:solidFill>
          </w14:textFill>
        </w:rPr>
        <w:t>发展演艺经纪、版权代理、评估鉴定、推介咨询、担保拍卖等中介服务机构，支持发展影视金融、网络票务、数据分析、市场营销等专业服务机构。</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培育优秀文化人才。</w:t>
      </w:r>
      <w:r>
        <w:rPr>
          <w:rFonts w:ascii="Times New Roman" w:hAnsi="Times New Roman" w:eastAsia="仿宋_GB2312" w:cs="Times New Roman"/>
          <w:color w:val="000000" w:themeColor="text1"/>
          <w:sz w:val="32"/>
          <w:szCs w:val="32"/>
          <w14:textFill>
            <w14:solidFill>
              <w14:schemeClr w14:val="tx1"/>
            </w14:solidFill>
          </w14:textFill>
        </w:rPr>
        <w:t>研究实施个性化人才政策，加大文化创意人才引进力度。完善文化人才分类评价制度，建立文化领军人才储备库，吸引文化名家、创意大师在湘创办工作室。实施青年文创人才培养计划，培养一批青年高端创意人才。支持高等院校设立特色文化创意学科，鼓励社会资本发展文化领域非学历教育，培育一批具有国际化视野的复合型文化人才。</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3" w:name="_Toc62051658"/>
      <w:r>
        <w:rPr>
          <w:rFonts w:ascii="Times New Roman" w:hAnsi="Times New Roman" w:eastAsia="楷体_GB2312" w:cs="Times New Roman"/>
          <w:b/>
          <w:color w:val="000000" w:themeColor="text1"/>
          <w:sz w:val="32"/>
          <w14:textFill>
            <w14:solidFill>
              <w14:schemeClr w14:val="tx1"/>
            </w14:solidFill>
          </w14:textFill>
        </w:rPr>
        <w:t>第三节  创新文化产业业态</w:t>
      </w:r>
      <w:bookmarkEnd w:id="153"/>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促进数字化赋能。</w:t>
      </w:r>
      <w:r>
        <w:rPr>
          <w:rFonts w:ascii="Times New Roman" w:hAnsi="Times New Roman" w:eastAsia="仿宋_GB2312" w:cs="Times New Roman"/>
          <w:color w:val="000000" w:themeColor="text1"/>
          <w:sz w:val="32"/>
          <w:szCs w:val="32"/>
          <w14:textFill>
            <w14:solidFill>
              <w14:schemeClr w14:val="tx1"/>
            </w14:solidFill>
          </w14:textFill>
        </w:rPr>
        <w:t>推动建设国家文化大数据（湖南）体系，加快传统线下文化业态数字化改造，促进文化产业上线上云，推动数字文化与社交电商、网络直播、短视频等在线新经济结合。建设一批文化产业数字化应用场景，培育壮大云旅游、云娱乐、云演艺、云展览等新型消费形态，扩大优质数字文化产品供给。</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加快发展新兴业态。</w:t>
      </w:r>
      <w:r>
        <w:rPr>
          <w:rFonts w:ascii="Times New Roman" w:hAnsi="Times New Roman" w:eastAsia="仿宋_GB2312" w:cs="Times New Roman"/>
          <w:color w:val="000000" w:themeColor="text1"/>
          <w:sz w:val="32"/>
          <w:szCs w:val="32"/>
          <w14:textFill>
            <w14:solidFill>
              <w14:schemeClr w14:val="tx1"/>
            </w14:solidFill>
          </w14:textFill>
        </w:rPr>
        <w:t>推进文化产业新技术、新产业、新业态发展，促进新一代信息技术、虚拟现实、增强现实、4K/8K超高清等与传统文化产业结合，加快发展创意设计、数字出版、网络文化、直播带货等新业态。加快发展网络视听、文博会展、数字演艺、游戏电竞等新模式。</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推进文化产业深度融合</w:t>
      </w:r>
      <w:r>
        <w:rPr>
          <w:rFonts w:ascii="Times New Roman" w:hAnsi="Times New Roman" w:eastAsia="仿宋_GB2312" w:cs="Times New Roman"/>
          <w:b/>
          <w:bCs/>
          <w:color w:val="000000" w:themeColor="text1"/>
          <w:sz w:val="32"/>
          <w:szCs w:val="32"/>
          <w14:textFill>
            <w14:solidFill>
              <w14:schemeClr w14:val="tx1"/>
            </w14:solidFill>
          </w14:textFill>
        </w:rPr>
        <w:t>发展</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实施“文化+”行动，推动文化产业与科技、信息、旅游、农业、金融、制造、教育、体育等深度融合，打造湖南创意、湖南创造品牌。建设文化和科技融合示范基地，培育一批示范企业。</w:t>
      </w:r>
    </w:p>
    <w:tbl>
      <w:tblPr>
        <w:tblStyle w:val="25"/>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985" w:type="dxa"/>
            <w:shd w:val="clear" w:color="auto" w:fill="auto"/>
            <w:vAlign w:val="center"/>
          </w:tcPr>
          <w:p>
            <w:pPr>
              <w:spacing w:after="223" w:afterLines="50" w:line="5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专栏34  文化产业建设工程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985" w:type="dxa"/>
            <w:shd w:val="clear" w:color="auto" w:fill="auto"/>
          </w:tcPr>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马栏山视频文创产业园</w:t>
            </w:r>
            <w:r>
              <w:rPr>
                <w:rFonts w:ascii="Times New Roman" w:hAnsi="Times New Roman" w:cs="Times New Roman"/>
                <w:b/>
                <w:bCs/>
                <w:color w:val="000000" w:themeColor="text1"/>
                <w:sz w:val="24"/>
                <w:szCs w:val="24"/>
                <w:lang w:val="zh-CN"/>
                <w14:textFill>
                  <w14:solidFill>
                    <w14:schemeClr w14:val="tx1"/>
                  </w14:solidFill>
                </w14:textFill>
              </w:rPr>
              <w:t>推进工程</w:t>
            </w:r>
            <w:r>
              <w:rPr>
                <w:rFonts w:ascii="Times New Roman" w:hAnsi="Times New Roman" w:cs="Times New Roman"/>
                <w:b/>
                <w:bCs/>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CN"/>
                <w14:textFill>
                  <w14:solidFill>
                    <w14:schemeClr w14:val="tx1"/>
                  </w14:solidFill>
                </w14:textFill>
              </w:rPr>
              <w:t>完善</w:t>
            </w:r>
            <w:r>
              <w:rPr>
                <w:rFonts w:ascii="Times New Roman" w:hAnsi="Times New Roman" w:cs="Times New Roman"/>
                <w:color w:val="000000" w:themeColor="text1"/>
                <w:sz w:val="24"/>
                <w:szCs w:val="24"/>
                <w14:textFill>
                  <w14:solidFill>
                    <w14:schemeClr w14:val="tx1"/>
                  </w14:solidFill>
                </w14:textFill>
              </w:rPr>
              <w:t>园区基础设施，启动5G基站管网、实验室等共性技术平台建设</w:t>
            </w:r>
            <w:r>
              <w:rPr>
                <w:rFonts w:ascii="Times New Roman" w:hAnsi="Times New Roman" w:cs="Times New Roman"/>
                <w:color w:val="000000" w:themeColor="text1"/>
                <w:sz w:val="24"/>
                <w:szCs w:val="24"/>
                <w:lang w:val="zh-CN"/>
                <w14:textFill>
                  <w14:solidFill>
                    <w14:schemeClr w14:val="tx1"/>
                  </w14:solidFill>
                </w14:textFill>
              </w:rPr>
              <w:t>，加快芒果大厦、绿地V谷、人才公寓、马栏山信息港等重大产业项目建设运营</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CN"/>
                <w14:textFill>
                  <w14:solidFill>
                    <w14:schemeClr w14:val="tx1"/>
                  </w14:solidFill>
                </w14:textFill>
              </w:rPr>
              <w:t>到2025年，园区实现产值突破1000亿，入驻企业突破10000家。</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文化产品制造。</w:t>
            </w:r>
            <w:r>
              <w:rPr>
                <w:rFonts w:ascii="Times New Roman" w:hAnsi="Times New Roman" w:cs="Times New Roman"/>
                <w:color w:val="000000" w:themeColor="text1"/>
                <w:sz w:val="24"/>
                <w:szCs w:val="24"/>
                <w14:textFill>
                  <w14:solidFill>
                    <w14:schemeClr w14:val="tx1"/>
                  </w14:solidFill>
                </w14:textFill>
              </w:rPr>
              <w:t>加快向内容研发、创意设计、衍生产品开发升级，提升文化用品、文化装备、体育休闲用品等品牌价值，鼓励研发和生产新型舞台装备、数字多媒体娱乐设备、游戏游艺设备等新产品。</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动漫游戏创新。</w:t>
            </w:r>
            <w:r>
              <w:rPr>
                <w:rFonts w:ascii="Times New Roman" w:hAnsi="Times New Roman" w:cs="Times New Roman"/>
                <w:color w:val="000000" w:themeColor="text1"/>
                <w:sz w:val="24"/>
                <w:szCs w:val="24"/>
                <w14:textFill>
                  <w14:solidFill>
                    <w14:schemeClr w14:val="tx1"/>
                  </w14:solidFill>
                </w14:textFill>
              </w:rPr>
              <w:t>依托湖湘动漫月等平台，加强动漫关键技术研发，推动动漫融合创新，打造湖南动漫游戏品牌。</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文化演艺创新。</w:t>
            </w:r>
            <w:r>
              <w:rPr>
                <w:rFonts w:ascii="Times New Roman" w:hAnsi="Times New Roman" w:cs="Times New Roman"/>
                <w:color w:val="000000" w:themeColor="text1"/>
                <w:sz w:val="24"/>
                <w:szCs w:val="24"/>
                <w14:textFill>
                  <w14:solidFill>
                    <w14:schemeClr w14:val="tx1"/>
                  </w14:solidFill>
                </w14:textFill>
              </w:rPr>
              <w:t>鼓励体现地方特色的原创文化演艺作品、传统优秀戏曲剧目的创作开发，促进文化演艺与科技、旅游的深度融合，做强湖南省话剧团、湖南花鼓戏剧院等一批专业剧团。</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重点文化产业园区建设工程。</w:t>
            </w:r>
            <w:r>
              <w:rPr>
                <w:rFonts w:ascii="Times New Roman" w:hAnsi="Times New Roman" w:cs="Times New Roman"/>
                <w:color w:val="000000" w:themeColor="text1"/>
                <w:sz w:val="24"/>
                <w:szCs w:val="24"/>
                <w14:textFill>
                  <w14:solidFill>
                    <w14:schemeClr w14:val="tx1"/>
                  </w14:solidFill>
                </w14:textFill>
              </w:rPr>
              <w:t>推进昭山国家级文化产业示范园区建设，加快</w:t>
            </w:r>
            <w:r>
              <w:rPr>
                <w:rFonts w:ascii="Times New Roman" w:hAnsi="Times New Roman" w:cs="Times New Roman"/>
                <w:color w:val="000000" w:themeColor="text1"/>
                <w:sz w:val="24"/>
                <w:szCs w:val="24"/>
                <w:lang w:val="zh-CN"/>
                <w14:textFill>
                  <w14:solidFill>
                    <w14:schemeClr w14:val="tx1"/>
                  </w14:solidFill>
                </w14:textFill>
              </w:rPr>
              <w:t>长沙天心文化产业园、湖南游戏产业园、湖南演艺集团总部基地、湖南（沙洲）红色文旅特色产业园、铜官窑湘江国际文化创意产业园、怀化市文化科技融合创意产业园、常德文化创意产业园等园区建设，推进国家级文化产业示范园创建。</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重点文化产业企业培育工程。</w:t>
            </w:r>
            <w:r>
              <w:rPr>
                <w:rFonts w:ascii="Times New Roman" w:hAnsi="Times New Roman" w:cs="Times New Roman"/>
                <w:color w:val="000000" w:themeColor="text1"/>
                <w:sz w:val="24"/>
                <w:szCs w:val="24"/>
                <w:lang w:val="zh-CN"/>
                <w14:textFill>
                  <w14:solidFill>
                    <w14:schemeClr w14:val="tx1"/>
                  </w14:solidFill>
                </w14:textFill>
              </w:rPr>
              <w:t>支持文化产业企业上市融资，扶持一批重点文化企业发展。到2025年，力争培育1-2家年营业收入过1000亿、3家以上</w:t>
            </w:r>
            <w:r>
              <w:rPr>
                <w:rFonts w:hint="eastAsia" w:ascii="Times New Roman" w:hAnsi="Times New Roman" w:cs="Times New Roman"/>
                <w:color w:val="000000" w:themeColor="text1"/>
                <w:sz w:val="24"/>
                <w:szCs w:val="24"/>
                <w:lang w:val="zh-CN"/>
                <w14:textFill>
                  <w14:solidFill>
                    <w14:schemeClr w14:val="tx1"/>
                  </w14:solidFill>
                </w14:textFill>
              </w:rPr>
              <w:t>营业</w:t>
            </w:r>
            <w:r>
              <w:rPr>
                <w:rFonts w:ascii="Times New Roman" w:hAnsi="Times New Roman" w:cs="Times New Roman"/>
                <w:color w:val="000000" w:themeColor="text1"/>
                <w:sz w:val="24"/>
                <w:szCs w:val="24"/>
                <w:lang w:val="zh-CN"/>
                <w14:textFill>
                  <w14:solidFill>
                    <w14:schemeClr w14:val="tx1"/>
                  </w14:solidFill>
                </w14:textFill>
              </w:rPr>
              <w:t>收入过100亿的龙头文化企业。</w:t>
            </w:r>
          </w:p>
          <w:p>
            <w:pPr>
              <w:tabs>
                <w:tab w:val="center" w:pos="4153"/>
                <w:tab w:val="right" w:pos="8306"/>
              </w:tabs>
              <w:snapToGrid w:val="0"/>
              <w:spacing w:line="320" w:lineRule="exact"/>
              <w:ind w:firstLine="481"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文化产业人才引进培育工程。</w:t>
            </w:r>
            <w:r>
              <w:rPr>
                <w:rFonts w:ascii="Times New Roman" w:hAnsi="Times New Roman" w:cs="Times New Roman"/>
                <w:color w:val="000000" w:themeColor="text1"/>
                <w:sz w:val="24"/>
                <w:szCs w:val="24"/>
                <w:lang w:val="zh-CN"/>
                <w14:textFill>
                  <w14:solidFill>
                    <w14:schemeClr w14:val="tx1"/>
                  </w14:solidFill>
                </w14:textFill>
              </w:rPr>
              <w:t>建立湖南文化创意人才引进培育目录，引进获得文创领域国际、国家级奖项和具有特殊才能的国内外杰出文化产业人才。实施青年文创人才培养计划，选拔一批省内青年高端创意人才予以重点培养。</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54" w:name="_Toc62051659"/>
      <w:r>
        <w:rPr>
          <w:rFonts w:ascii="Times New Roman" w:hAnsi="Times New Roman" w:eastAsia="黑体" w:cs="Times New Roman"/>
          <w:bCs/>
          <w:color w:val="000000" w:themeColor="text1"/>
          <w:sz w:val="32"/>
          <w:szCs w:val="32"/>
          <w14:textFill>
            <w14:solidFill>
              <w14:schemeClr w14:val="tx1"/>
            </w14:solidFill>
          </w14:textFill>
        </w:rPr>
        <w:t>第三十一章  建设全域旅游基地</w:t>
      </w:r>
      <w:bookmarkEnd w:id="154"/>
    </w:p>
    <w:p>
      <w:pPr>
        <w:spacing w:line="596" w:lineRule="exact"/>
        <w:ind w:firstLine="62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4"/>
          <w:sz w:val="32"/>
          <w:szCs w:val="32"/>
          <w14:textFill>
            <w14:solidFill>
              <w14:schemeClr w14:val="tx1"/>
            </w14:solidFill>
          </w14:textFill>
        </w:rPr>
        <w:t>实施旅游精品带动工程，大力发展旅游新产品新业态，丰富优质文旅产品供给，全面提升旅游公共服务水平，以“旅游+”为重点激活旅游资源，确保文化和旅游产业增加值稳居全国第一方阵</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5" w:name="_Toc60926498"/>
      <w:bookmarkStart w:id="156" w:name="_Toc62051660"/>
      <w:r>
        <w:rPr>
          <w:rFonts w:ascii="Times New Roman" w:hAnsi="Times New Roman" w:eastAsia="楷体_GB2312" w:cs="Times New Roman"/>
          <w:b/>
          <w:bCs/>
          <w:color w:val="000000" w:themeColor="text1"/>
          <w:sz w:val="32"/>
          <w:szCs w:val="32"/>
          <w14:textFill>
            <w14:solidFill>
              <w14:schemeClr w14:val="tx1"/>
            </w14:solidFill>
          </w14:textFill>
        </w:rPr>
        <w:t>第一节  建设世界知名旅游目的地</w:t>
      </w:r>
      <w:bookmarkEnd w:id="155"/>
      <w:bookmarkEnd w:id="156"/>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建设国际知名旅游目的地和度假区。</w:t>
      </w:r>
      <w:r>
        <w:rPr>
          <w:rFonts w:ascii="Times New Roman" w:hAnsi="Times New Roman" w:eastAsia="仿宋_GB2312" w:cs="Times New Roman"/>
          <w:color w:val="000000" w:themeColor="text1"/>
          <w:sz w:val="32"/>
          <w:szCs w:val="32"/>
          <w14:textFill>
            <w14:solidFill>
              <w14:schemeClr w14:val="tx1"/>
            </w14:solidFill>
          </w14:textFill>
        </w:rPr>
        <w:t>围绕打造“锦绣潇湘”品牌，充分发挥旅游资源优势，建设张家界世界一流旅游目的地、韶山世界知名红色旅游目的地、衡山世界级文化旅游目的地，提升炎帝陵、舜帝陵等国家始祖文化目的地品质品牌，联合打造三亚</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桂林</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宋体" w:cs="Times New Roman"/>
          <w:color w:val="000000" w:themeColor="text1"/>
          <w:sz w:val="36"/>
          <w:szCs w:val="36"/>
          <w14:textFill>
            <w14:solidFill>
              <w14:schemeClr w14:val="tx1"/>
            </w14:solidFill>
          </w14:textFill>
        </w:rPr>
        <w:t>崀</w:t>
      </w:r>
      <w:r>
        <w:rPr>
          <w:rFonts w:ascii="Times New Roman" w:hAnsi="Times New Roman" w:eastAsia="仿宋_GB2312" w:cs="Times New Roman"/>
          <w:color w:val="000000" w:themeColor="text1"/>
          <w:sz w:val="32"/>
          <w:szCs w:val="32"/>
          <w14:textFill>
            <w14:solidFill>
              <w14:schemeClr w14:val="tx1"/>
            </w14:solidFill>
          </w14:textFill>
        </w:rPr>
        <w:t>山</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张家界</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西安跨省黄金旅游带。加强5A级景区创建，进一步扩大知名度和影响力。推进灰汤、柳叶湖等国家级旅游度假区和雪峰山、紫鹊界等山地度假区建设，培育创建一批文化特色鲜明的国家级旅游休闲城市和街区。</w:t>
      </w:r>
    </w:p>
    <w:p>
      <w:pPr>
        <w:spacing w:line="568"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打造精品旅游线路。</w:t>
      </w:r>
      <w:r>
        <w:rPr>
          <w:rFonts w:ascii="Times New Roman" w:hAnsi="Times New Roman" w:eastAsia="仿宋_GB2312" w:cs="Times New Roman"/>
          <w:color w:val="000000" w:themeColor="text1"/>
          <w:spacing w:val="-2"/>
          <w:sz w:val="32"/>
          <w:szCs w:val="32"/>
          <w14:textFill>
            <w14:solidFill>
              <w14:schemeClr w14:val="tx1"/>
            </w14:solidFill>
          </w14:textFill>
        </w:rPr>
        <w:t>充分挖掘整合自然生态、历史文化和民族风情，建立旅游资源库。持续打造“5+2”精品旅游线路，着力建设大湘西12条文化生态旅游精品线路和大湘东文化生态旅游精品线路。全面提升旅游景区、旅游乡村、特色文旅小镇、旅游街区、旅游综合体和旅游城市的休闲度假功能和核心吸引力</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3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打响“锦绣潇湘”旅游品牌。</w:t>
      </w:r>
      <w:r>
        <w:rPr>
          <w:rFonts w:ascii="Times New Roman" w:hAnsi="Times New Roman" w:eastAsia="仿宋_GB2312" w:cs="Times New Roman"/>
          <w:color w:val="000000" w:themeColor="text1"/>
          <w:spacing w:val="-2"/>
          <w:sz w:val="32"/>
          <w:szCs w:val="32"/>
          <w14:textFill>
            <w14:solidFill>
              <w14:schemeClr w14:val="tx1"/>
            </w14:solidFill>
          </w14:textFill>
        </w:rPr>
        <w:t>优化提升长株潭、环洞庭湖、大湘西、大湘南和雪峰山旅游板块的产品特色和品质。发挥张家界全域旅游基地建设的龙头作用，继续推进全域旅游示范创建、旅游产业融合创新，大力发展大众旅游，培育旅游专业人才，壮大旅游市场主体，优化拓展旅游消费链条，大力发展乡村旅游，加快发展智慧旅游，提升旅游公共服务</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7" w:name="_Toc62051661"/>
      <w:r>
        <w:rPr>
          <w:rFonts w:ascii="Times New Roman" w:hAnsi="Times New Roman" w:eastAsia="楷体_GB2312" w:cs="Times New Roman"/>
          <w:b/>
          <w:bCs/>
          <w:color w:val="000000" w:themeColor="text1"/>
          <w:sz w:val="32"/>
          <w:szCs w:val="32"/>
          <w14:textFill>
            <w14:solidFill>
              <w14:schemeClr w14:val="tx1"/>
            </w14:solidFill>
          </w14:textFill>
        </w:rPr>
        <w:t>第二节  打造红色旅游基地</w:t>
      </w:r>
      <w:bookmarkEnd w:id="157"/>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构建红色旅游新格局。</w:t>
      </w:r>
      <w:r>
        <w:rPr>
          <w:rFonts w:ascii="Times New Roman" w:hAnsi="Times New Roman" w:eastAsia="仿宋_GB2312" w:cs="Times New Roman"/>
          <w:color w:val="000000" w:themeColor="text1"/>
          <w:sz w:val="32"/>
          <w:szCs w:val="32"/>
          <w14:textFill>
            <w14:solidFill>
              <w14:schemeClr w14:val="tx1"/>
            </w14:solidFill>
          </w14:textFill>
        </w:rPr>
        <w:t>统筹湖湘红色旅游资源，加强革命胜迹、革命旧址等建设，推出一批享誉全国的红色旅游经典景区和省重点红色旅游区（点），推动红色旅游内涵式发展。整合优化红色旅游空间布局，壮大以韶山为中心</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涵盖花明楼、乌石寨的“红三角”红色发展核，打造大湘东、大湘南、大湘西三条红色发展带，建设韶山</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井冈山等跨省红色旅游重点线路和伟人故里、重走长征路、红色根据地、历史转折、红色圣地、伟人故里国际友城之旅等六条红色旅游精品线路。</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搭建红色旅游发展载体。</w:t>
      </w:r>
      <w:r>
        <w:rPr>
          <w:rFonts w:ascii="Times New Roman" w:hAnsi="Times New Roman" w:eastAsia="仿宋_GB2312" w:cs="Times New Roman"/>
          <w:color w:val="000000" w:themeColor="text1"/>
          <w:sz w:val="32"/>
          <w:szCs w:val="32"/>
          <w14:textFill>
            <w14:solidFill>
              <w14:schemeClr w14:val="tx1"/>
            </w14:solidFill>
          </w14:textFill>
        </w:rPr>
        <w:t>加快红色培训、红色演艺、红色度假、红色民宿、红色文创、红色研学等产品的创意开发，培育一批红色旅游文创基地和企业。整合红色资源周边自然生态、传统文化、特色乡村等资源，打造一批具有全国示范意义的红色旅游示范镇、示范村。促进红色文旅与新科技的融合发展，增强红色场景体验，激发红色旅游发展活力。推进湘赣边红色旅游融合创新发展区建设，共创湘赣边红色文旅经济圈。依托中国红色旅游博览会、湖南红色旅游文化节等载体，策划举办一系列红色旅游活动。</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8" w:name="_Toc62051662"/>
      <w:r>
        <w:rPr>
          <w:rFonts w:ascii="Times New Roman" w:hAnsi="Times New Roman" w:eastAsia="楷体_GB2312" w:cs="Times New Roman"/>
          <w:b/>
          <w:bCs/>
          <w:color w:val="000000" w:themeColor="text1"/>
          <w:sz w:val="32"/>
          <w:szCs w:val="32"/>
          <w14:textFill>
            <w14:solidFill>
              <w14:schemeClr w14:val="tx1"/>
            </w14:solidFill>
          </w14:textFill>
        </w:rPr>
        <w:t>第三节  推进文化和旅游融合创新开放发展</w:t>
      </w:r>
      <w:bookmarkEnd w:id="158"/>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促进文化与旅游融合。</w:t>
      </w:r>
      <w:r>
        <w:rPr>
          <w:rFonts w:ascii="Times New Roman" w:hAnsi="Times New Roman" w:eastAsia="仿宋_GB2312" w:cs="Times New Roman"/>
          <w:color w:val="000000" w:themeColor="text1"/>
          <w:sz w:val="32"/>
          <w:szCs w:val="32"/>
          <w14:textFill>
            <w14:solidFill>
              <w14:schemeClr w14:val="tx1"/>
            </w14:solidFill>
          </w14:textFill>
        </w:rPr>
        <w:t>坚持以文塑旅、以旅彰文，推动文化和旅游融合发展。实施“十、百、千”文旅融合示范区工程，建设一批文化旅游融合发展示范区、旅游休闲城市和街区、夜经济聚集示范区，打造一批网红城市、自驾车营地和民宿龙头企业，壮大假日经济和会展经济。大力开发特色旅游商品和文创产品，推动文化艺术植入吃住行游购娱各领域，推动旅游功能嵌入各文化空间，构筑文旅消费新场景。</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促进文旅与相关产业融合。</w:t>
      </w:r>
      <w:r>
        <w:rPr>
          <w:rFonts w:ascii="Times New Roman" w:hAnsi="Times New Roman" w:eastAsia="仿宋_GB2312" w:cs="Times New Roman"/>
          <w:color w:val="000000" w:themeColor="text1"/>
          <w:sz w:val="32"/>
          <w:szCs w:val="32"/>
          <w14:textFill>
            <w14:solidFill>
              <w14:schemeClr w14:val="tx1"/>
            </w14:solidFill>
          </w14:textFill>
        </w:rPr>
        <w:t>加强文旅与体育、工业、科技、教育、农业、卫生等领域合作，共同推出体育旅游、工业旅游、研学旅游、康养旅游、生态旅游、会展旅游、购物旅游、餐饮旅游、动漫旅游等业态，延伸文化旅游产业链条。</w:t>
      </w:r>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促进文化和旅游开放发展。</w:t>
      </w:r>
      <w:r>
        <w:rPr>
          <w:rFonts w:ascii="Times New Roman" w:hAnsi="Times New Roman" w:eastAsia="仿宋_GB2312" w:cs="Times New Roman"/>
          <w:color w:val="000000" w:themeColor="text1"/>
          <w:sz w:val="32"/>
          <w:szCs w:val="32"/>
          <w14:textFill>
            <w14:solidFill>
              <w14:schemeClr w14:val="tx1"/>
            </w14:solidFill>
          </w14:textFill>
        </w:rPr>
        <w:t>创新举办品牌文化旅游节会，深入开展“锦绣潇湘”走进“一带一路”文化旅游合作交流系列活动。以高铁、航线为纽带，加强对珠三角、长三角、京津冀、成渝城市群、长江中游城市群等重点客源市场的营销。精准开展入境旅游市场营销，探索依托境外知名专业机构在直航城市开展湖南文化旅游营销活动。</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9" w:name="_Toc62051663"/>
      <w:r>
        <w:rPr>
          <w:rFonts w:ascii="Times New Roman" w:hAnsi="Times New Roman" w:eastAsia="楷体_GB2312" w:cs="Times New Roman"/>
          <w:b/>
          <w:bCs/>
          <w:color w:val="000000" w:themeColor="text1"/>
          <w:sz w:val="32"/>
          <w:szCs w:val="32"/>
          <w14:textFill>
            <w14:solidFill>
              <w14:schemeClr w14:val="tx1"/>
            </w14:solidFill>
          </w14:textFill>
        </w:rPr>
        <w:t>第四节  提升旅游公共服务水平</w:t>
      </w:r>
      <w:bookmarkEnd w:id="159"/>
    </w:p>
    <w:p>
      <w:pPr>
        <w:spacing w:line="568"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完善旅游公共服务体系。</w:t>
      </w:r>
      <w:r>
        <w:rPr>
          <w:rFonts w:ascii="Times New Roman" w:hAnsi="Times New Roman" w:eastAsia="仿宋_GB2312" w:cs="Times New Roman"/>
          <w:bCs/>
          <w:color w:val="000000" w:themeColor="text1"/>
          <w:sz w:val="32"/>
          <w:szCs w:val="32"/>
          <w14:textFill>
            <w14:solidFill>
              <w14:schemeClr w14:val="tx1"/>
            </w14:solidFill>
          </w14:textFill>
        </w:rPr>
        <w:t>依托交通大通道</w:t>
      </w:r>
      <w:r>
        <w:rPr>
          <w:rFonts w:ascii="Times New Roman" w:hAnsi="Times New Roman" w:eastAsia="仿宋_GB2312" w:cs="Times New Roman"/>
          <w:color w:val="000000" w:themeColor="text1"/>
          <w:sz w:val="32"/>
          <w:szCs w:val="32"/>
          <w14:textFill>
            <w14:solidFill>
              <w14:schemeClr w14:val="tx1"/>
            </w14:solidFill>
          </w14:textFill>
        </w:rPr>
        <w:t>，优化完善旅游干线、支线交通，推进重点景区与机场、高铁等快速交通网络无缝衔接。加快旅游集散中心、交通旅游信息平台建设，完善旅游交通引导系统。改善重点旅游景区停车场、公共厕所等基础条件，完善各类旅游服务设施。加大城市绿道、交通风景道、森林步道、骑行专线等旅游休闲设施建设。建设“一部手机游潇湘”公共服务平台，推进智慧旅游应用，加快建设一批智慧旅游示范城市、智慧旅游小镇和智慧旅游景区。</w:t>
      </w:r>
    </w:p>
    <w:p>
      <w:pPr>
        <w:spacing w:line="568" w:lineRule="exact"/>
        <w:ind w:firstLine="618" w:firstLineChars="200"/>
        <w:rPr>
          <w:rFonts w:ascii="Times New Roman" w:hAnsi="Times New Roman" w:eastAsia="仿宋_GB2312" w:cs="Times New Roman"/>
          <w:b/>
          <w:bCs/>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全面提升旅游服务质量。</w:t>
      </w:r>
      <w:r>
        <w:rPr>
          <w:rFonts w:ascii="Times New Roman" w:hAnsi="Times New Roman" w:eastAsia="仿宋_GB2312" w:cs="Times New Roman"/>
          <w:color w:val="000000" w:themeColor="text1"/>
          <w:sz w:val="32"/>
          <w:szCs w:val="32"/>
          <w14:textFill>
            <w14:solidFill>
              <w14:schemeClr w14:val="tx1"/>
            </w14:solidFill>
          </w14:textFill>
        </w:rPr>
        <w:t>着力提升旅游服务机构服务功能，加强旅游行业诚信体系建设，培育一批旅游龙头企业，全力提升导游综合素质和服务技能。加强旅游标准化建设，积极推广实施旅游业国家标准和行业标准。完善旅游市场联合执法机制和旅游投诉举报统一受理机制，深入开展规范旅游市场秩序整治专项行动。实施文明旅游创建，建立文明旅游志愿者队伍。</w:t>
      </w:r>
    </w:p>
    <w:p>
      <w:pPr>
        <w:spacing w:line="568" w:lineRule="exact"/>
        <w:ind w:firstLine="618"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深化旅游管理体制改革。</w:t>
      </w:r>
      <w:r>
        <w:rPr>
          <w:rFonts w:ascii="Times New Roman" w:hAnsi="Times New Roman" w:eastAsia="仿宋_GB2312" w:cs="Times New Roman"/>
          <w:color w:val="000000" w:themeColor="text1"/>
          <w:spacing w:val="-6"/>
          <w:sz w:val="32"/>
          <w:szCs w:val="32"/>
          <w14:textFill>
            <w14:solidFill>
              <w14:schemeClr w14:val="tx1"/>
            </w14:solidFill>
          </w14:textFill>
        </w:rPr>
        <w:t>健全旅游执法机构，加强旅游市场综合执法力度。积极推进景区管理体制改革，鼓励旅游景区所有权与经营权、管理权分离。强化旅游安全制度，组织开展旅游风险评估，提高景区灾害风险管理能力。加强景点景区最大承载量警示、重点时段游客量调控和应急管理工作。</w:t>
      </w:r>
      <w:bookmarkStart w:id="160" w:name="_Toc55504525"/>
      <w:bookmarkStart w:id="161" w:name="_Toc55511669"/>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62" w:name="_Toc62051664"/>
      <w:r>
        <w:rPr>
          <w:rFonts w:ascii="Times New Roman" w:hAnsi="Times New Roman" w:eastAsia="方正小标宋_GBK" w:cs="Times New Roman"/>
          <w:color w:val="000000" w:themeColor="text1"/>
          <w:sz w:val="32"/>
          <w:szCs w:val="32"/>
          <w14:textFill>
            <w14:solidFill>
              <w14:schemeClr w14:val="tx1"/>
            </w14:solidFill>
          </w14:textFill>
        </w:rPr>
        <w:t>第九篇  着力建设社会平安的现代化新湖南</w:t>
      </w:r>
      <w:bookmarkEnd w:id="160"/>
      <w:bookmarkEnd w:id="161"/>
      <w:bookmarkEnd w:id="162"/>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坚持完善中国特色社会主义制度，深入推进治理体系和治理能力现代化，把安全发展贯穿全省发展各领域和全过程，把制度优势转化为推动全省高质量发展的治理效能。</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63" w:name="_Toc62051665"/>
      <w:r>
        <w:rPr>
          <w:rFonts w:ascii="Times New Roman" w:hAnsi="Times New Roman" w:eastAsia="黑体" w:cs="Times New Roman"/>
          <w:bCs/>
          <w:color w:val="000000" w:themeColor="text1"/>
          <w:sz w:val="32"/>
          <w:szCs w:val="32"/>
          <w14:textFill>
            <w14:solidFill>
              <w14:schemeClr w14:val="tx1"/>
            </w14:solidFill>
          </w14:textFill>
        </w:rPr>
        <w:t>第三十二章  全面推进依法治理</w:t>
      </w:r>
      <w:bookmarkEnd w:id="163"/>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加快建设法治湖南，推进形成完备的法律规范体系、高效的法治实施体系、严密的法治监督体系、有力的法治保障体系，为湖南高质量发展营造良好法治环境。</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4" w:name="_Toc62051666"/>
      <w:r>
        <w:rPr>
          <w:rFonts w:ascii="Times New Roman" w:hAnsi="Times New Roman" w:eastAsia="楷体_GB2312" w:cs="Times New Roman"/>
          <w:b/>
          <w:bCs/>
          <w:color w:val="000000" w:themeColor="text1"/>
          <w:sz w:val="32"/>
          <w:szCs w:val="32"/>
          <w14:textFill>
            <w14:solidFill>
              <w14:schemeClr w14:val="tx1"/>
            </w14:solidFill>
          </w14:textFill>
        </w:rPr>
        <w:t>第一节  发展中国特色社会主义民主政治</w:t>
      </w:r>
      <w:bookmarkEnd w:id="164"/>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党的领导、人民当家作主和依法治国有机统一，全面推进党的政治建设、思想建设、组织建设、作风建设和纪律建设，充分发挥法治在社会治理能力现代化中的重要作用，走中国特色社会主义政治发展道路。不断完善人民代表大会制度，保证人大依法行使立法权、监督权、决定权、任免权，更好发挥人大代表作用。坚持和完善中国共产党领导的多党合作和政治协商制度，提高建言资政和凝聚共识水平。多层次发展社会主义协商民主，重点加强政党协商、政府协商、政协协商，积极开展人大协商、人民团体协商、基层协商，逐步探索社会组织协商。实施“凝心聚力新时代”行动，巩固和发展最广泛的爱国统一战线，努力做好民族、宗教、非公经济、新的社会阶层人士、港澳台侨、海外侨胞和归侨侨眷等工作，最大限度凝聚全社会共识和力量。</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5" w:name="_Toc62051667"/>
      <w:r>
        <w:rPr>
          <w:rFonts w:ascii="Times New Roman" w:hAnsi="Times New Roman" w:eastAsia="楷体_GB2312" w:cs="Times New Roman"/>
          <w:b/>
          <w:bCs/>
          <w:color w:val="000000" w:themeColor="text1"/>
          <w:sz w:val="32"/>
          <w:szCs w:val="32"/>
          <w14:textFill>
            <w14:solidFill>
              <w14:schemeClr w14:val="tx1"/>
            </w14:solidFill>
          </w14:textFill>
        </w:rPr>
        <w:t>第二节  深化推进依法治省</w:t>
      </w:r>
      <w:bookmarkEnd w:id="165"/>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基本建成法治政府。</w:t>
      </w:r>
      <w:r>
        <w:rPr>
          <w:rFonts w:ascii="Times New Roman" w:hAnsi="Times New Roman" w:eastAsia="仿宋_GB2312" w:cs="Times New Roman"/>
          <w:color w:val="000000" w:themeColor="text1"/>
          <w:sz w:val="32"/>
          <w:szCs w:val="32"/>
          <w14:textFill>
            <w14:solidFill>
              <w14:schemeClr w14:val="tx1"/>
            </w14:solidFill>
          </w14:textFill>
        </w:rPr>
        <w:t>依法全面履行政府职能，健全政府权责清单，完善行政组织和行政程序法律制度，实现机构、职能、权限、程序、责任法定化。推进行政程序决策科学化、民主化、法治化，严格落实公众参与、风险评估、合法性审查等法定程序，推动落实重大决策终身责任追究制度及责任倒查机制，健全政府法律顾问制度。确保权力规范透明运行，自觉接受党内监督、人大监督、司法监督，加强审计监督和行政复议监督，全面推进政务公开。加强行政规范性文件制定监督管理工作。提高政府工作人员法治思维和依法行政能力，推动领导干部带头尊法学法守法用法。</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全面建设法治社会。</w:t>
      </w:r>
      <w:r>
        <w:rPr>
          <w:rFonts w:ascii="Times New Roman" w:hAnsi="Times New Roman" w:eastAsia="仿宋_GB2312" w:cs="Times New Roman"/>
          <w:color w:val="000000" w:themeColor="text1"/>
          <w:sz w:val="32"/>
          <w:szCs w:val="32"/>
          <w14:textFill>
            <w14:solidFill>
              <w14:schemeClr w14:val="tx1"/>
            </w14:solidFill>
          </w14:textFill>
        </w:rPr>
        <w:t>加大全民普法工作力度，深入开展法治宣传教育，建设社会主义法治文化。推进多层次、多领域依法治理，提高社会治理法治化水平。加强社会诚信教育，完善守法诚信褒奖机制和违法失信行为惩戒机制。整合优化各类法律服务资源，建立覆盖城乡居民的公共法律服务体系。建设法治乡村。完善法律援助和司法救助制度，健全依法维权和矛盾纠纷化解机制。</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推进科学民主立法。</w:t>
      </w:r>
      <w:r>
        <w:rPr>
          <w:rFonts w:ascii="Times New Roman" w:hAnsi="Times New Roman" w:eastAsia="仿宋_GB2312" w:cs="Times New Roman"/>
          <w:color w:val="000000" w:themeColor="text1"/>
          <w:sz w:val="32"/>
          <w:szCs w:val="32"/>
          <w14:textFill>
            <w14:solidFill>
              <w14:schemeClr w14:val="tx1"/>
            </w14:solidFill>
          </w14:textFill>
        </w:rPr>
        <w:t>完善立法体制机制，加强人大对立法工作的主导，立改废释并举，健全立法立项、协调、审议、评估等机制，建立有湖南特色的地方性法规和政府规章立法体</w:t>
      </w:r>
      <w:r>
        <w:rPr>
          <w:rFonts w:ascii="Times New Roman" w:hAnsi="Times New Roman" w:eastAsia="仿宋_GB2312" w:cs="Times New Roman"/>
          <w:color w:val="000000" w:themeColor="text1"/>
          <w:spacing w:val="-2"/>
          <w:sz w:val="32"/>
          <w:szCs w:val="32"/>
          <w14:textFill>
            <w14:solidFill>
              <w14:schemeClr w14:val="tx1"/>
            </w14:solidFill>
          </w14:textFill>
        </w:rPr>
        <w:t>系。鼓励各方有序参与，建立重大利益调整论证咨询机制，发挥政协委员、民主党派、无党派人士、人民团体作用，积极开展立法协商，创新公民有序参与立法途径。推动重点领域立法，加强经济、安全、社会治理、绿色发展等领域立法，强化长江经济带等国家重大发展战略法治保障，推动建立区域协同立法机制</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规范行政执法行为。</w:t>
      </w:r>
      <w:r>
        <w:rPr>
          <w:rFonts w:ascii="Times New Roman" w:hAnsi="Times New Roman" w:eastAsia="仿宋_GB2312" w:cs="Times New Roman"/>
          <w:color w:val="000000" w:themeColor="text1"/>
          <w:sz w:val="32"/>
          <w:szCs w:val="32"/>
          <w14:textFill>
            <w14:solidFill>
              <w14:schemeClr w14:val="tx1"/>
            </w14:solidFill>
          </w14:textFill>
        </w:rPr>
        <w:t>深化行政执法体制改革，推进执法重心下移，探索实行跨领域跨部门综合行政执法。加大关系群众切身利益的重点领域执法力度。严格规范公正文明执法，全面落实行政执法公示制度、执法全过程记录制度和重大执法决定法制审核制度，规范行政执法自由裁量权。加强行政执法监督，全面落实行政执法责任制和责任追究制度。健全行政执法和刑事司法衔接机制，提高行政执法质量和效率。</w:t>
      </w:r>
    </w:p>
    <w:p>
      <w:pPr>
        <w:spacing w:line="59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促进司法公平正义。</w:t>
      </w:r>
      <w:r>
        <w:rPr>
          <w:rFonts w:ascii="Times New Roman" w:hAnsi="Times New Roman" w:eastAsia="仿宋_GB2312" w:cs="Times New Roman"/>
          <w:color w:val="000000" w:themeColor="text1"/>
          <w:sz w:val="32"/>
          <w:szCs w:val="32"/>
          <w14:textFill>
            <w14:solidFill>
              <w14:schemeClr w14:val="tx1"/>
            </w14:solidFill>
          </w14:textFill>
        </w:rPr>
        <w:t>优化司法职权配置，健全公安机关、检察机关、审判机关、司法行政机关等机关各司其职、相互配合、相互制约的体制机制。深化司法责任制综合配套改革，完善法官检察官权责清单，健全审判机关案件分配办理、评价监督机制和检察机关案件管理监督机制，确保依法独立公正行使审判权、检察权，落实办案质量终身负责制和错案责任倒查问责制。推进规范司法，深化以审判为中心的诉讼制度改革，健全新型司法权运行监督管理机制，完善人民陪审员制度和人民监督员制度，切实解决执行难问题。</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71" w:type="dxa"/>
            <w:shd w:val="clear" w:color="auto" w:fill="auto"/>
            <w:vAlign w:val="center"/>
          </w:tcPr>
          <w:p>
            <w:pPr>
              <w:ind w:hanging="2"/>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专栏35  依法治省建设工程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5" w:hRule="atLeast"/>
          <w:jc w:val="center"/>
        </w:trPr>
        <w:tc>
          <w:tcPr>
            <w:tcW w:w="9071" w:type="dxa"/>
            <w:shd w:val="clear" w:color="auto" w:fill="auto"/>
          </w:tcPr>
          <w:p>
            <w:pP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全面推进依法治省规划工程。</w:t>
            </w:r>
            <w:r>
              <w:rPr>
                <w:rFonts w:ascii="Times New Roman" w:hAnsi="Times New Roman" w:eastAsia="宋体" w:cs="Times New Roman"/>
                <w:color w:val="000000" w:themeColor="text1"/>
                <w:sz w:val="24"/>
                <w:szCs w:val="24"/>
                <w14:textFill>
                  <w14:solidFill>
                    <w14:schemeClr w14:val="tx1"/>
                  </w14:solidFill>
                </w14:textFill>
              </w:rPr>
              <w:t>科学制定我省贯彻落实《法治中国建设规划（2020-2025年）》《法治政府建设实施纲要（2021-2025年）》《法治社会建设实施纲要（2020-2025年）》的实施方案，引领指导依法治省各项工作。</w:t>
            </w:r>
          </w:p>
          <w:p>
            <w:pP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法治政府建设示范创建工程。</w:t>
            </w:r>
            <w:r>
              <w:rPr>
                <w:rFonts w:ascii="Times New Roman" w:hAnsi="Times New Roman" w:eastAsia="宋体" w:cs="Times New Roman"/>
                <w:color w:val="000000" w:themeColor="text1"/>
                <w:sz w:val="24"/>
                <w:szCs w:val="24"/>
                <w14:textFill>
                  <w14:solidFill>
                    <w14:schemeClr w14:val="tx1"/>
                  </w14:solidFill>
                </w14:textFill>
              </w:rPr>
              <w:t>开展法治政府建设示范创建活动，出台乡镇（街道）、县级以上人民政府部门法治政府建设示范指标体系。开展全省法治政府建设示范创建活动。优化行政复议资源配置，整合各部门行政复议职责并实现重心下移。全面推进规范性文件和政府合同合法性审查工作。</w:t>
            </w:r>
          </w:p>
          <w:p>
            <w:pP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行政执法能力提升工程。</w:t>
            </w:r>
            <w:r>
              <w:rPr>
                <w:rFonts w:ascii="Times New Roman" w:hAnsi="Times New Roman" w:eastAsia="宋体" w:cs="Times New Roman"/>
                <w:color w:val="000000" w:themeColor="text1"/>
                <w:sz w:val="24"/>
                <w:szCs w:val="24"/>
                <w14:textFill>
                  <w14:solidFill>
                    <w14:schemeClr w14:val="tx1"/>
                  </w14:solidFill>
                </w14:textFill>
              </w:rPr>
              <w:t>推进相对集中行政许可权、相对集中行政处罚权改革；全面推行行政执法三项制度。健全并全面推广证明事项告知承诺制制度。修订《湖南省行政执法条例》。</w:t>
            </w:r>
          </w:p>
          <w:p>
            <w:pPr>
              <w:tabs>
                <w:tab w:val="center" w:pos="4153"/>
                <w:tab w:val="right" w:pos="8306"/>
              </w:tabs>
              <w:snapToGrid w:val="0"/>
              <w:spacing w:line="32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公共法律服务全覆盖工程。</w:t>
            </w:r>
            <w:r>
              <w:rPr>
                <w:rFonts w:ascii="Times New Roman" w:hAnsi="Times New Roman" w:eastAsia="宋体" w:cs="Times New Roman"/>
                <w:color w:val="000000" w:themeColor="text1"/>
                <w:sz w:val="24"/>
                <w:szCs w:val="24"/>
                <w14:textFill>
                  <w14:solidFill>
                    <w14:schemeClr w14:val="tx1"/>
                  </w14:solidFill>
                </w14:textFill>
              </w:rPr>
              <w:t>以县为基本单位，落实基本公共法律服务实施标准。落实公共法律服务政府购买制度。推进公共法律服务网络平台、实体平台、热线平台融合发展，完善“互联网+公共法律服务”。加强村（社区）法律顾问工作，推进律师行业党建工作，培养200名律师领军人才，其中包括100名通晓国际规则的涉外律师领军人才。</w:t>
            </w:r>
          </w:p>
          <w:p>
            <w:pPr>
              <w:tabs>
                <w:tab w:val="center" w:pos="4153"/>
                <w:tab w:val="right" w:pos="8306"/>
              </w:tabs>
              <w:snapToGrid w:val="0"/>
              <w:spacing w:line="320" w:lineRule="exact"/>
              <w:ind w:firstLine="481" w:firstLineChars="200"/>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普法宣传教育能力提升工程。</w:t>
            </w:r>
            <w:r>
              <w:rPr>
                <w:rFonts w:ascii="Times New Roman" w:hAnsi="Times New Roman" w:eastAsia="宋体" w:cs="Times New Roman"/>
                <w:color w:val="000000" w:themeColor="text1"/>
                <w:sz w:val="24"/>
                <w:szCs w:val="24"/>
                <w14:textFill>
                  <w14:solidFill>
                    <w14:schemeClr w14:val="tx1"/>
                  </w14:solidFill>
                </w14:textFill>
              </w:rPr>
              <w:t>持续推进宪法学习宣传教育。推动领导干部学法经常化、制度化。深化青少年法治教育。全面落实“谁执法谁普法”普法责任制，实行普法责任清单制度，建立完善履责评议报告制度，探索落实“谁执法谁普法”第三方评估。全面落实媒体公益普法制度。深化基层法治创建活动。</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66" w:name="_Toc62051668"/>
      <w:r>
        <w:rPr>
          <w:rFonts w:ascii="Times New Roman" w:hAnsi="Times New Roman" w:eastAsia="黑体" w:cs="Times New Roman"/>
          <w:bCs/>
          <w:color w:val="000000" w:themeColor="text1"/>
          <w:sz w:val="32"/>
          <w:szCs w:val="32"/>
          <w14:textFill>
            <w14:solidFill>
              <w14:schemeClr w14:val="tx1"/>
            </w14:solidFill>
          </w14:textFill>
        </w:rPr>
        <w:t>第三十三章  全面加强社会治理</w:t>
      </w:r>
      <w:bookmarkEnd w:id="166"/>
    </w:p>
    <w:p>
      <w:pPr>
        <w:spacing w:line="596"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党委领导、政府负责、民主协商、社会协同、公众参与、法治保障、科技支撑的社会治理体系，全面推动社会治理主体多元化、治理机制科学化和治理手段智慧化，建成人人有责、人人尽责、人人享有的社会治理共同体。</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7" w:name="_Toc62051669"/>
      <w:r>
        <w:rPr>
          <w:rFonts w:ascii="Times New Roman" w:hAnsi="Times New Roman" w:eastAsia="楷体_GB2312" w:cs="Times New Roman"/>
          <w:b/>
          <w:bCs/>
          <w:color w:val="000000" w:themeColor="text1"/>
          <w:sz w:val="32"/>
          <w:szCs w:val="32"/>
          <w14:textFill>
            <w14:solidFill>
              <w14:schemeClr w14:val="tx1"/>
            </w14:solidFill>
          </w14:textFill>
        </w:rPr>
        <w:t>第一节  发挥基层党建引领作用</w:t>
      </w:r>
      <w:bookmarkEnd w:id="16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分类指导，统筹推进农村、城市、机关、企事业单位、非公有制经济组织和社会组织等各领域基层党建工作，以高质量党建引领高质量发展。提升基层党组织领导力，加强村（社区）“两委”班子建设，抓好新一轮村（社区）“两委”班子换届，选优配强党组织书记，实施基层党组织带头人整体优化提升行动，加大对基层后备力量的培养力度。提升基层党组织执行力，持续推进党支部标准化规范化建设，实施党支部“五化”建设提质工程，开展“千支示范、万支提升”行动，深入推进抓党建促巩固脱贫攻坚同乡村振兴有效衔接，推动基层党组织全面进步、全面过硬。</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8" w:name="_Toc62051670"/>
      <w:r>
        <w:rPr>
          <w:rFonts w:ascii="Times New Roman" w:hAnsi="Times New Roman" w:eastAsia="楷体_GB2312" w:cs="Times New Roman"/>
          <w:b/>
          <w:bCs/>
          <w:color w:val="000000" w:themeColor="text1"/>
          <w:sz w:val="32"/>
          <w:szCs w:val="32"/>
          <w14:textFill>
            <w14:solidFill>
              <w14:schemeClr w14:val="tx1"/>
            </w14:solidFill>
          </w14:textFill>
        </w:rPr>
        <w:t>第二节  加强和完善基层治理</w:t>
      </w:r>
      <w:bookmarkEnd w:id="168"/>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增强基层治理能力。</w:t>
      </w:r>
      <w:r>
        <w:rPr>
          <w:rFonts w:ascii="Times New Roman" w:hAnsi="Times New Roman" w:eastAsia="仿宋_GB2312" w:cs="Times New Roman"/>
          <w:color w:val="000000" w:themeColor="text1"/>
          <w:sz w:val="32"/>
          <w:szCs w:val="32"/>
          <w14:textFill>
            <w14:solidFill>
              <w14:schemeClr w14:val="tx1"/>
            </w14:solidFill>
          </w14:textFill>
        </w:rPr>
        <w:t>完善基层公共服务，推动社会治理和服务重心向基层下移，持续完善乡镇权力清单、责任清单和公共服务事项清单，加快推进基层公共服务全覆盖，加强和规范村（社区）综合服务设施建设。推动公共服务多元供给，扶持社会力量兴办公益性机构和经济实体，向社会组织、市场主体、民办社工机构购买服务，提升专业化服务水平。关心关爱基层工作者，推进基层减负赋能，健全社区工作者职业体系，实施城乡社区工作者能力素质提升工程，引导优秀人才向基层流动。构建智能化治理格局，推动大数据等科技手段与社会治理深度融合，构建网格化管理、精细化服务、信息化支撑的基层管理服务平台。加强县域风险防控和县域警务工作。</w:t>
      </w:r>
    </w:p>
    <w:p>
      <w:pPr>
        <w:pStyle w:val="8"/>
        <w:spacing w:line="616" w:lineRule="exact"/>
        <w:ind w:firstLine="642"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提升基层自治水平。</w:t>
      </w:r>
      <w:r>
        <w:rPr>
          <w:rFonts w:ascii="Times New Roman" w:hAnsi="Times New Roman" w:eastAsia="仿宋_GB2312" w:cs="Times New Roman"/>
          <w:color w:val="000000" w:themeColor="text1"/>
          <w:sz w:val="32"/>
          <w:szCs w:val="32"/>
          <w14:textFill>
            <w14:solidFill>
              <w14:schemeClr w14:val="tx1"/>
            </w14:solidFill>
          </w14:textFill>
        </w:rPr>
        <w:t>健全党组织领导的自治、法治、德治相结合的城乡基层治理体系，全面实施村（社区）依法自治事项清单、协助政府工作事项清单和减负工作事项清单，建立健全村（社区）工作事项准入制度，加强基层群众性自治组织规范化建设。开展市域社会治理现代化试点，抓好县乡村三级社会治理创新。规范引导基层自治，完善城乡社区居民基层民主制度，拓宽基层民主渠道，健全小微权力监督制约机制，建立群众自治公约指导规范，推动村规民约、居民公约和村（居）民自治单程全覆盖，不断提高基层自治的效率和质量。加快基层文明建设，开展文明家庭、文明邻里、文明村组建设，发挥家庭家教家风作用，形成良好社会风尚。</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9" w:name="_Toc62051671"/>
      <w:r>
        <w:rPr>
          <w:rFonts w:ascii="Times New Roman" w:hAnsi="Times New Roman" w:eastAsia="楷体_GB2312" w:cs="Times New Roman"/>
          <w:b/>
          <w:bCs/>
          <w:color w:val="000000" w:themeColor="text1"/>
          <w:sz w:val="32"/>
          <w:szCs w:val="32"/>
          <w14:textFill>
            <w14:solidFill>
              <w14:schemeClr w14:val="tx1"/>
            </w14:solidFill>
          </w14:textFill>
        </w:rPr>
        <w:t>第三节  多元化预防调处社会矛盾</w:t>
      </w:r>
      <w:bookmarkEnd w:id="169"/>
    </w:p>
    <w:p>
      <w:pPr>
        <w:spacing w:line="616" w:lineRule="exact"/>
        <w:ind w:firstLine="656"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pacing w:val="4"/>
          <w:kern w:val="0"/>
          <w:sz w:val="32"/>
          <w:szCs w:val="32"/>
          <w14:textFill>
            <w14:solidFill>
              <w14:schemeClr w14:val="tx1"/>
            </w14:solidFill>
          </w14:textFill>
        </w:rPr>
        <w:t>保</w:t>
      </w:r>
      <w:r>
        <w:rPr>
          <w:rFonts w:ascii="Times New Roman" w:hAnsi="Times New Roman" w:eastAsia="仿宋_GB2312" w:cs="Times New Roman"/>
          <w:color w:val="000000" w:themeColor="text1"/>
          <w:kern w:val="0"/>
          <w:sz w:val="32"/>
          <w:szCs w:val="32"/>
          <w14:textFill>
            <w14:solidFill>
              <w14:schemeClr w14:val="tx1"/>
            </w14:solidFill>
          </w14:textFill>
        </w:rPr>
        <w:t>障群众合理合法诉求，完善信访制度，畅通和规范群众诉求表达、利益协调、权益保障通道，健全社会心理服务体系和危机干预机制，从源头减少矛盾纠纷。加强调解工作，坚持和发展新时代“枫桥经验”，完善人民调解、行政调解、行业性专业性调解、司法调解联动工作体系，健全多元化纠纷解决机制，加强专业人民调解员和基层网格员队伍建设，努力将矛盾化解在基层。</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70" w:name="_Toc62051672"/>
      <w:r>
        <w:rPr>
          <w:rFonts w:ascii="Times New Roman" w:hAnsi="Times New Roman" w:eastAsia="楷体_GB2312" w:cs="Times New Roman"/>
          <w:b/>
          <w:bCs/>
          <w:color w:val="000000" w:themeColor="text1"/>
          <w:sz w:val="32"/>
          <w:szCs w:val="32"/>
          <w14:textFill>
            <w14:solidFill>
              <w14:schemeClr w14:val="tx1"/>
            </w14:solidFill>
          </w14:textFill>
        </w:rPr>
        <w:t>第四节  加强社会协同参与</w:t>
      </w:r>
      <w:bookmarkEnd w:id="170"/>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社会组织作用和行业协会商会自律功能，培育发展基层生活服务类、慈善互助类、专业调处类社会组织，畅通和规范市场主体、新社会阶层、社会工作者和志愿者等参与社会治理的途径。发挥群团组织桥梁纽带作用，积极引导工会、共青团、妇联等群团组织参与社区共治，实现政府治理和社会调节、居民自治良性互动。</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71" w:name="_Toc62051673"/>
      <w:r>
        <w:rPr>
          <w:rFonts w:ascii="Times New Roman" w:hAnsi="Times New Roman" w:eastAsia="黑体" w:cs="Times New Roman"/>
          <w:bCs/>
          <w:color w:val="000000" w:themeColor="text1"/>
          <w:sz w:val="32"/>
          <w:szCs w:val="32"/>
          <w14:textFill>
            <w14:solidFill>
              <w14:schemeClr w14:val="tx1"/>
            </w14:solidFill>
          </w14:textFill>
        </w:rPr>
        <w:t>第三十四章  全面保障安全稳定</w:t>
      </w:r>
      <w:bookmarkEnd w:id="171"/>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统筹发展和安全，牢固树立总体国家安全观，强化风险意识和底线思维，坚决捍卫国家政治安全、全力维护社会安定、切实保障人民安宁，有效防范化解各种风险，持续营造安全稳定和谐的社会环境。</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2" w:name="_Toc62051674"/>
      <w:r>
        <w:rPr>
          <w:rFonts w:ascii="Times New Roman" w:hAnsi="Times New Roman" w:eastAsia="楷体_GB2312" w:cs="Times New Roman"/>
          <w:b/>
          <w:color w:val="000000" w:themeColor="text1"/>
          <w:sz w:val="32"/>
          <w:szCs w:val="32"/>
          <w14:textFill>
            <w14:solidFill>
              <w14:schemeClr w14:val="tx1"/>
            </w14:solidFill>
          </w14:textFill>
        </w:rPr>
        <w:t>第一节  坚决捍卫国家安全</w:t>
      </w:r>
      <w:bookmarkEnd w:id="172"/>
    </w:p>
    <w:p>
      <w:pPr>
        <w:tabs>
          <w:tab w:val="left" w:pos="1050"/>
        </w:tabs>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确保国家政权安全。</w:t>
      </w:r>
      <w:r>
        <w:rPr>
          <w:rFonts w:ascii="Times New Roman" w:hAnsi="Times New Roman" w:eastAsia="仿宋_GB2312" w:cs="Times New Roman"/>
          <w:color w:val="000000" w:themeColor="text1"/>
          <w:sz w:val="32"/>
          <w:szCs w:val="32"/>
          <w14:textFill>
            <w14:solidFill>
              <w14:schemeClr w14:val="tx1"/>
            </w14:solidFill>
          </w14:textFill>
        </w:rPr>
        <w:t>防范政治风险，抵御“颜色革命”，统筹抓好反渗透、反颠覆、反分裂、反邪教、反恐怖、制止非法宗教活动等系列斗争，坚决捍卫党的领导和中国特色社会主义制度。加强意识形态引导和国家安全宣传教育，增强全民国家安全意识，巩固国家安全人民防线建设。健全国家安全风险研判和防范化解机制，加强国家安全执法。</w:t>
      </w:r>
    </w:p>
    <w:p>
      <w:pPr>
        <w:tabs>
          <w:tab w:val="left" w:pos="1050"/>
        </w:tabs>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强化网络空间治理。</w:t>
      </w:r>
      <w:r>
        <w:rPr>
          <w:rFonts w:ascii="Times New Roman" w:hAnsi="Times New Roman" w:eastAsia="仿宋_GB2312" w:cs="Times New Roman"/>
          <w:color w:val="000000" w:themeColor="text1"/>
          <w:sz w:val="32"/>
          <w:szCs w:val="32"/>
          <w14:textFill>
            <w14:solidFill>
              <w14:schemeClr w14:val="tx1"/>
            </w14:solidFill>
          </w14:textFill>
        </w:rPr>
        <w:t>构建网络安全防护体系，实施护网工程和网络社会治理能力建设工程，从源头堵塞网络监管漏洞，严密防范打击网络攻击渗透行为，坚决维护意识形态安全。加强网络安全等级保护，健全完善网络与信息安全通报机制和预警体系。加强网络内容建设，构建积极健康、向上向善的网络生态环境。加强网络舆论引导体系建设，建立网上重大舆情线上线下一体化快速处置机制。健全网络综合治理体系，建立基础管理、内容管理、行业管理及网络犯罪防范和打击等工作联动机制，加大源头净网、依法治网、技术护网力度，提升网络治理效能。</w:t>
      </w:r>
    </w:p>
    <w:p>
      <w:pPr>
        <w:spacing w:line="616" w:lineRule="exact"/>
        <w:ind w:firstLine="634"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支持国防和军队建设。</w:t>
      </w:r>
      <w:r>
        <w:rPr>
          <w:rFonts w:ascii="Times New Roman" w:hAnsi="Times New Roman" w:eastAsia="仿宋_GB2312" w:cs="Times New Roman"/>
          <w:bCs/>
          <w:color w:val="000000" w:themeColor="text1"/>
          <w:spacing w:val="-2"/>
          <w:sz w:val="32"/>
          <w:szCs w:val="32"/>
          <w14:textFill>
            <w14:solidFill>
              <w14:schemeClr w14:val="tx1"/>
            </w14:solidFill>
          </w14:textFill>
        </w:rPr>
        <w:t>加强民兵、预备役部队等后备力量建设，完善国防动员体系，提升国防动员能力。支持驻湘部队提高现代化质量效益，促进经济建设和国防建设协调发展，推动经济建设在重点区域、重点领域贯彻国防要求。普及全民国防教育，巩固发展军政军民团结，弘扬拥政爱民、拥军优属光荣传统，推动双拥共建工作全面发展</w:t>
      </w:r>
      <w:r>
        <w:rPr>
          <w:rFonts w:ascii="Times New Roman" w:hAnsi="Times New Roman" w:eastAsia="仿宋_GB2312" w:cs="Times New Roman"/>
          <w:bCs/>
          <w:color w:val="000000" w:themeColor="text1"/>
          <w:sz w:val="32"/>
          <w:szCs w:val="32"/>
          <w14:textFill>
            <w14:solidFill>
              <w14:schemeClr w14:val="tx1"/>
            </w14:solidFill>
          </w14:textFill>
        </w:rPr>
        <w:t>。</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3" w:name="_Toc62051675"/>
      <w:r>
        <w:rPr>
          <w:rFonts w:ascii="Times New Roman" w:hAnsi="Times New Roman" w:eastAsia="楷体_GB2312" w:cs="Times New Roman"/>
          <w:b/>
          <w:color w:val="000000" w:themeColor="text1"/>
          <w:sz w:val="32"/>
          <w:szCs w:val="32"/>
          <w14:textFill>
            <w14:solidFill>
              <w14:schemeClr w14:val="tx1"/>
            </w14:solidFill>
          </w14:textFill>
        </w:rPr>
        <w:t>第二节  全面保障经济安全</w:t>
      </w:r>
      <w:bookmarkEnd w:id="173"/>
    </w:p>
    <w:p>
      <w:pPr>
        <w:spacing w:line="596" w:lineRule="exact"/>
        <w:ind w:firstLine="632" w:firstLineChars="200"/>
        <w:rPr>
          <w:rFonts w:ascii="Times New Roman" w:hAnsi="Times New Roman" w:eastAsia="仿宋_GB2312" w:cs="Times New Roman"/>
          <w:bCs/>
          <w:color w:val="000000" w:themeColor="text1"/>
          <w:spacing w:val="-2"/>
          <w:sz w:val="32"/>
          <w:szCs w:val="32"/>
          <w14:textFill>
            <w14:solidFill>
              <w14:schemeClr w14:val="tx1"/>
            </w14:solidFill>
          </w14:textFill>
        </w:rPr>
      </w:pPr>
      <w:bookmarkStart w:id="174" w:name="_Toc59779067"/>
      <w:bookmarkStart w:id="175" w:name="_Toc59787966"/>
      <w:r>
        <w:rPr>
          <w:rFonts w:ascii="Times New Roman" w:hAnsi="Times New Roman" w:eastAsia="仿宋_GB2312" w:cs="Times New Roman"/>
          <w:bCs/>
          <w:color w:val="000000" w:themeColor="text1"/>
          <w:spacing w:val="-2"/>
          <w:sz w:val="32"/>
          <w:szCs w:val="32"/>
          <w14:textFill>
            <w14:solidFill>
              <w14:schemeClr w14:val="tx1"/>
            </w14:solidFill>
          </w14:textFill>
        </w:rPr>
        <w:t>处理好稳增长和防风险的关系，加强经济安全风险预警、防控机制和能力建设，实现重要产业、基础设施、战略资源、重大科技等关键领域安全可控。加强产业竞争力调查和评价，及时开展补链修链和风险排除工作，建立多元化采购和国内供应链衔接备份机制，提升产业链供应链抗冲击能力。加强经济运行监测和调节，建立预警和应急机制，维护水利、电力、供水、油气、交通、通信、网络等重要基础设施安全。建立稳定生产、多元供应、应急储备等机制，切实保障粮食、能源、矿产等战略物资安全。防范化解金融风险，</w:t>
      </w:r>
      <w:bookmarkEnd w:id="174"/>
      <w:bookmarkEnd w:id="175"/>
      <w:r>
        <w:rPr>
          <w:rFonts w:ascii="Times New Roman" w:hAnsi="Times New Roman" w:eastAsia="仿宋_GB2312" w:cs="Times New Roman"/>
          <w:bCs/>
          <w:color w:val="000000" w:themeColor="text1"/>
          <w:spacing w:val="-2"/>
          <w:sz w:val="32"/>
          <w:szCs w:val="32"/>
          <w14:textFill>
            <w14:solidFill>
              <w14:schemeClr w14:val="tx1"/>
            </w14:solidFill>
          </w14:textFill>
        </w:rPr>
        <w:t>守住不发生系统性区域性风险底线。</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6" w:name="_Toc62051676"/>
      <w:r>
        <w:rPr>
          <w:rFonts w:ascii="Times New Roman" w:hAnsi="Times New Roman" w:eastAsia="楷体_GB2312" w:cs="Times New Roman"/>
          <w:b/>
          <w:color w:val="000000" w:themeColor="text1"/>
          <w:sz w:val="32"/>
          <w:szCs w:val="32"/>
          <w14:textFill>
            <w14:solidFill>
              <w14:schemeClr w14:val="tx1"/>
            </w14:solidFill>
          </w14:textFill>
        </w:rPr>
        <w:t>第三节  维护社会安定保障人民安宁</w:t>
      </w:r>
      <w:bookmarkEnd w:id="176"/>
    </w:p>
    <w:p>
      <w:pPr>
        <w:spacing w:line="596" w:lineRule="exact"/>
        <w:ind w:firstLine="629"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筑牢治安防控圈。</w:t>
      </w:r>
      <w:r>
        <w:rPr>
          <w:rFonts w:ascii="Times New Roman" w:hAnsi="Times New Roman" w:eastAsia="仿宋_GB2312" w:cs="Times New Roman"/>
          <w:color w:val="000000" w:themeColor="text1"/>
          <w:sz w:val="32"/>
          <w:szCs w:val="32"/>
          <w14:textFill>
            <w14:solidFill>
              <w14:schemeClr w14:val="tx1"/>
            </w14:solidFill>
          </w14:textFill>
        </w:rPr>
        <w:t>织密基层治安防控网，完善治安防控运行机制，加强基层治安防控基础设施建设，创新开展社区、学区、园区警务，强化重点领域、重点物品监管和重点人员管理服务，加强新业态新领域安全监管，建设平安城市、平安乡村，提升社会治安防控整体效能。健全完善重大决策社会稳定风险评估机制，高度关注社会民生领域敏感、热点、负面舆情，加强重点领域风险集中排查化解，建立重大风险问题清单制度和防范化解责任分担机制，健全群体性事件应急处置体系，强化大型活动及群众性节庆聚集活动风险管理。</w:t>
      </w:r>
    </w:p>
    <w:p>
      <w:pPr>
        <w:spacing w:line="596" w:lineRule="exact"/>
        <w:ind w:firstLine="629"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严厉精准打击犯罪</w:t>
      </w:r>
      <w:r>
        <w:rPr>
          <w:rFonts w:ascii="Times New Roman" w:hAnsi="Times New Roman" w:eastAsia="仿宋_GB2312" w:cs="Times New Roman"/>
          <w:color w:val="000000" w:themeColor="text1"/>
          <w:sz w:val="32"/>
          <w:szCs w:val="32"/>
          <w14:textFill>
            <w14:solidFill>
              <w14:schemeClr w14:val="tx1"/>
            </w14:solidFill>
          </w14:textFill>
        </w:rPr>
        <w:t>。深化扫黑除恶、缉枪治爆斗争，严厉打击暴力恐怖、个人极端暴力犯罪、黑拐枪、盗抢骗、黄赌毒、侵犯公民个人信息等违法犯罪，强化电信网络诈骗、跨境赌博、涉众型经济犯罪等新型犯罪防范打击，严控地域犯罪、职业犯罪、外流犯罪和治安乱点。深入开展新一轮禁毒人民战争，创建禁毒示范城市（单位）。健全打击突出违法犯罪机制，补齐公安基础设施建设短板，加强警用装备现代化智能化建设，全面提升保障支撑能力。</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77" w:name="_Toc62051677"/>
      <w:r>
        <w:rPr>
          <w:rFonts w:ascii="Times New Roman" w:hAnsi="Times New Roman" w:eastAsia="楷体_GB2312" w:cs="Times New Roman"/>
          <w:b/>
          <w:bCs/>
          <w:color w:val="000000" w:themeColor="text1"/>
          <w:sz w:val="32"/>
          <w:szCs w:val="32"/>
          <w14:textFill>
            <w14:solidFill>
              <w14:schemeClr w14:val="tx1"/>
            </w14:solidFill>
          </w14:textFill>
        </w:rPr>
        <w:t>第四节  建立安全生产长效机制</w:t>
      </w:r>
      <w:bookmarkEnd w:id="177"/>
    </w:p>
    <w:p>
      <w:pPr>
        <w:tabs>
          <w:tab w:val="left" w:pos="1050"/>
        </w:tabs>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提升综合防范能力，落实安全生产党政领导责任、部门监管责任、属地管理责任和企业主体责任，完善重大决策安全风险评估与论证机制。加强风险监测预警，统一生产安全风险监测预警数据标准，完善矿山、尾矿库、烟花爆竹等高危行业预警系统，建立重点行业、重点区域、重点城市常态化风险排查机制。加强重点领域治理，在危险化学品、工业园区、交通运输、城市建设等10大领域开展安全生产专项整治行动，坚决遏制重特大事故发生。提升安全生产保障能力，实施本质安全提升行动，推进沿江化工企业按规划有序搬迁，支持高危企业标准化生产、安全生产智能化改造等安全工程建设，培育专业化安全服务机构，加大安全知识普及和技能培训力度。</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8" w:name="_Toc62051678"/>
      <w:r>
        <w:rPr>
          <w:rFonts w:ascii="Times New Roman" w:hAnsi="Times New Roman" w:eastAsia="楷体_GB2312" w:cs="Times New Roman"/>
          <w:b/>
          <w:color w:val="000000" w:themeColor="text1"/>
          <w:sz w:val="32"/>
          <w:szCs w:val="32"/>
          <w14:textFill>
            <w14:solidFill>
              <w14:schemeClr w14:val="tx1"/>
            </w14:solidFill>
          </w14:textFill>
        </w:rPr>
        <w:t>第五节  切实保障食品药品安全</w:t>
      </w:r>
      <w:bookmarkEnd w:id="178"/>
    </w:p>
    <w:p>
      <w:pPr>
        <w:spacing w:line="616" w:lineRule="exact"/>
        <w:ind w:firstLine="642"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加强食品安全监管。</w:t>
      </w:r>
      <w:r>
        <w:rPr>
          <w:rFonts w:ascii="Times New Roman" w:hAnsi="Times New Roman" w:eastAsia="仿宋_GB2312" w:cs="Times New Roman"/>
          <w:color w:val="000000" w:themeColor="text1"/>
          <w:sz w:val="32"/>
          <w:szCs w:val="32"/>
          <w14:textFill>
            <w14:solidFill>
              <w14:schemeClr w14:val="tx1"/>
            </w14:solidFill>
          </w14:textFill>
        </w:rPr>
        <w:t>落实生产经营者主体责任，实行食品安全风险分级管理，加强生产经营过程控制，完善抽检监测机制，严格安全监管和责任追究。建立食品安全治理体系，强化食品安全标准实施，建立食品安全监管平台和追溯体系，严把产地环境、农业源头、粮食收储、加工流通、餐饮服务、进口出口等环节质量安全关，提高全过程全链条监管能力，守住不发生重大食品安全事故底线。加强重点领域监管，实施食品安全放心工程，深入开展对学校食堂、农村食品市场、旅游景区等重点场所专项整治，加强网络订餐监管，严厉打击危害食品安全违法犯罪行为。</w:t>
      </w:r>
    </w:p>
    <w:p>
      <w:pPr>
        <w:spacing w:line="616" w:lineRule="exact"/>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保障用药安全。</w:t>
      </w:r>
      <w:r>
        <w:rPr>
          <w:rFonts w:ascii="Times New Roman" w:hAnsi="Times New Roman" w:eastAsia="仿宋_GB2312" w:cs="Times New Roman"/>
          <w:color w:val="000000" w:themeColor="text1"/>
          <w:sz w:val="32"/>
          <w:szCs w:val="32"/>
          <w14:textFill>
            <w14:solidFill>
              <w14:schemeClr w14:val="tx1"/>
            </w14:solidFill>
          </w14:textFill>
        </w:rPr>
        <w:t>健全多部门协同的药品安全治理机制，落实药品上市许可持有人、生产经营企业主体责任，完善药品安全标准体系和风险防控体系。强化药品全生命周期监管，加强对重点品种、重点环节、重点领域的检查核查，加强药品安全执法。规范药品市场秩序，建设药品安全诚信体系，严厉打击药品领域制假售假、虚假广告、非法经营、商业贿赂等违法犯罪行为，建立健全药品行刑衔接工作机制。提升药品监管专业化水平，强化药品执法、检验检测技术支撑。建设药物警戒体系，完善药品召回管理机制。</w:t>
      </w:r>
    </w:p>
    <w:tbl>
      <w:tblPr>
        <w:tblStyle w:val="25"/>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3" w:type="dxa"/>
            <w:vAlign w:val="center"/>
          </w:tcPr>
          <w:p>
            <w:pPr>
              <w:ind w:firstLine="280"/>
              <w:jc w:val="center"/>
              <w:rPr>
                <w:rFonts w:ascii="Times New Roman" w:hAnsi="Times New Roman" w:eastAsia="黑体" w:cs="Times New Roman"/>
                <w:color w:val="000000" w:themeColor="text1"/>
                <w:kern w:val="0"/>
                <w:sz w:val="30"/>
                <w:szCs w:val="30"/>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专栏36  平安湖南建设行动计划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013" w:type="dxa"/>
          </w:tcPr>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市域社会治理现代化试点建设工程。</w:t>
            </w:r>
            <w:r>
              <w:rPr>
                <w:rFonts w:ascii="Times New Roman" w:hAnsi="Times New Roman" w:eastAsia="宋体" w:cs="Times New Roman"/>
                <w:color w:val="000000" w:themeColor="text1"/>
                <w:sz w:val="24"/>
                <w:szCs w:val="24"/>
                <w14:textFill>
                  <w14:solidFill>
                    <w14:schemeClr w14:val="tx1"/>
                  </w14:solidFill>
                </w14:textFill>
              </w:rPr>
              <w:t>分期分批组织市州参与全国市域社会治理现代化试点。依据我省实际细化试点内容，形成全省“特色工作指引”，鼓励市州差别化探索形成“市州特色工作”。选择一批县（市区）、乡镇（街道）、村（社区）开展试点。</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基层公共服务“一门式”全覆盖工程。</w:t>
            </w:r>
            <w:r>
              <w:rPr>
                <w:rFonts w:ascii="Times New Roman" w:hAnsi="Times New Roman" w:eastAsia="宋体" w:cs="Times New Roman"/>
                <w:color w:val="000000" w:themeColor="text1"/>
                <w:sz w:val="24"/>
                <w:szCs w:val="24"/>
                <w14:textFill>
                  <w14:solidFill>
                    <w14:schemeClr w14:val="tx1"/>
                  </w14:solidFill>
                </w14:textFill>
              </w:rPr>
              <w:t>建立健全城乡社区服务标准，规范村（社区）综合服务设施建设，建设公共服务中心、体育健身中心、文化活动室。健全社区服务设施维护运行机制。将“互联网+政务服务”延伸到社区。加强社会工作者和志愿者培训和继续教育，组织5万人次社工和志愿者人才培训，支持全省1940个乡镇（街道）社工站建设运营。</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社会治安防控提质工程。</w:t>
            </w:r>
            <w:r>
              <w:rPr>
                <w:rFonts w:ascii="Times New Roman" w:hAnsi="Times New Roman" w:eastAsia="宋体" w:cs="Times New Roman"/>
                <w:color w:val="000000" w:themeColor="text1"/>
                <w:sz w:val="24"/>
                <w:szCs w:val="24"/>
                <w14:textFill>
                  <w14:solidFill>
                    <w14:schemeClr w14:val="tx1"/>
                  </w14:solidFill>
                </w14:textFill>
              </w:rPr>
              <w:t>有序推进法院、检察院、公安局、司法局等政法单位的法庭、办案用房、专业技术用房、监管和关押场所、训练基地等政法基础设施建设。实施“1518”公安大数据战略，建成省、市公安大数据中心。建设以“新一代雪亮技防工程”、电子及网络围栏、警用航空、无人机反制等为重点的空中防线，以巡特警专业巡防、社会联动巡防、智慧街面巡防相结合的地面防线，以水上巡逻检查和水域安全监控为支点的水上防线。规范化发展农村辅警、城市快警、巡特警队伍。</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风险防控型县域警务工程。</w:t>
            </w:r>
            <w:r>
              <w:rPr>
                <w:rFonts w:ascii="Times New Roman" w:hAnsi="Times New Roman" w:eastAsia="宋体" w:cs="Times New Roman"/>
                <w:color w:val="000000" w:themeColor="text1"/>
                <w:sz w:val="24"/>
                <w:szCs w:val="24"/>
                <w14:textFill>
                  <w14:solidFill>
                    <w14:schemeClr w14:val="tx1"/>
                  </w14:solidFill>
                </w14:textFill>
              </w:rPr>
              <w:t>按照“省统筹、市为主、县落实”的原则，强化以大数据、公安派出所、城市快警、农村辅警、治安防控体系建设、安全生产顽瘴痼疾集中整治为重点的综合保障。</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安全生产专项整治行动。</w:t>
            </w:r>
            <w:r>
              <w:rPr>
                <w:rFonts w:ascii="Times New Roman" w:hAnsi="Times New Roman" w:eastAsia="宋体" w:cs="Times New Roman"/>
                <w:color w:val="000000" w:themeColor="text1"/>
                <w:sz w:val="24"/>
                <w:szCs w:val="24"/>
                <w14:textFill>
                  <w14:solidFill>
                    <w14:schemeClr w14:val="tx1"/>
                  </w14:solidFill>
                </w14:textFill>
              </w:rPr>
              <w:t>针对危险化学品、煤矿和非煤矿山、烟花爆竹等重点行业，和消防、交通运输（公路、铁路、民航、邮政、水上和城市轨道交通）、工程建设、工业园区等领域开展安全整治。</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食品安全放心工程。</w:t>
            </w:r>
            <w:r>
              <w:rPr>
                <w:rFonts w:ascii="Times New Roman" w:hAnsi="Times New Roman" w:eastAsia="宋体" w:cs="Times New Roman"/>
                <w:color w:val="000000" w:themeColor="text1"/>
                <w:sz w:val="24"/>
                <w:szCs w:val="24"/>
                <w14:textFill>
                  <w14:solidFill>
                    <w14:schemeClr w14:val="tx1"/>
                  </w14:solidFill>
                </w14:textFill>
              </w:rPr>
              <w:t>组织实施风险评估和标准制定、农药兽药使用减量和产地环境净化“护源”、食品生产和婴幼儿配方乳粉质量提升、校园食品安全“护苗”、农村假冒伪劣食品治理、餐饮业质量安全提升、保健食品“护老”、优质粮油工程、进口食品“国门守护”、网络食品安全“清网”、“三小”食品整治、“双安双创”示范引领等十二大攻坚行动。</w:t>
            </w:r>
          </w:p>
          <w:p>
            <w:pPr>
              <w:spacing w:line="310" w:lineRule="exact"/>
              <w:ind w:firstLine="481"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药品风险防控整治行动。</w:t>
            </w:r>
            <w:r>
              <w:rPr>
                <w:rFonts w:ascii="Times New Roman" w:hAnsi="Times New Roman" w:eastAsia="宋体" w:cs="Times New Roman"/>
                <w:color w:val="000000" w:themeColor="text1"/>
                <w:sz w:val="24"/>
                <w:szCs w:val="24"/>
                <w14:textFill>
                  <w14:solidFill>
                    <w14:schemeClr w14:val="tx1"/>
                  </w14:solidFill>
                </w14:textFill>
              </w:rPr>
              <w:t>重点针对国家基本药物制剂、通过仿制药一致性评价制剂实行生产环节全覆盖抽检，加强对医保目录和集中采购的中标产品的抽检。针对中药饮片、特殊药品、高风险医疗器械、临床试验、疫苗购销、网络销售药品等重点领域开展专项整治。开展药品领域制假售假、虚假广告、非法经营等违法犯罪行为打击行动。</w:t>
            </w:r>
          </w:p>
          <w:p>
            <w:pPr>
              <w:spacing w:line="310" w:lineRule="exact"/>
              <w:ind w:firstLine="481"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公共卫生应急救治能力提升工程。</w:t>
            </w:r>
            <w:r>
              <w:rPr>
                <w:rFonts w:ascii="Times New Roman" w:hAnsi="Times New Roman" w:eastAsia="宋体" w:cs="Times New Roman"/>
                <w:color w:val="000000" w:themeColor="text1"/>
                <w:sz w:val="24"/>
                <w:szCs w:val="24"/>
                <w14:textFill>
                  <w14:solidFill>
                    <w14:schemeClr w14:val="tx1"/>
                  </w14:solidFill>
                </w14:textFill>
              </w:rPr>
              <w:t>推进省市县疾控中心标准化建设，配齐检验设备，加强生物安全实验室建设。加强现场检验检测、流行病学调查、应急处置等能力建设。建设区域应急医疗物资储备基地，满足特别重大突发公共卫生事件响应需要。</w:t>
            </w:r>
          </w:p>
        </w:tc>
      </w:tr>
    </w:tbl>
    <w:p>
      <w:pPr>
        <w:spacing w:before="447" w:beforeLines="100" w:after="447" w:afterLines="100" w:line="568"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79" w:name="_Toc62051679"/>
      <w:r>
        <w:rPr>
          <w:rFonts w:ascii="Times New Roman" w:hAnsi="Times New Roman" w:eastAsia="黑体" w:cs="Times New Roman"/>
          <w:bCs/>
          <w:color w:val="000000" w:themeColor="text1"/>
          <w:sz w:val="32"/>
          <w:szCs w:val="32"/>
          <w14:textFill>
            <w14:solidFill>
              <w14:schemeClr w14:val="tx1"/>
            </w14:solidFill>
          </w14:textFill>
        </w:rPr>
        <w:t>第三十五章  全面提升应急处置能力</w:t>
      </w:r>
      <w:bookmarkEnd w:id="179"/>
    </w:p>
    <w:p>
      <w:pPr>
        <w:spacing w:line="596" w:lineRule="exact"/>
        <w:ind w:firstLine="640" w:firstLineChars="200"/>
        <w:jc w:val="left"/>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坚持常态减灾和非常态救灾相统一，以防为主、防抗救相结合，以突发公共卫生事件处置、自然灾害防治和应急救援能力提升为重点，建设统一指挥、专常兼备、反应灵敏、上下联动的应急管理体制。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0" w:name="_Toc62051680"/>
      <w:r>
        <w:rPr>
          <w:rFonts w:ascii="Times New Roman" w:hAnsi="Times New Roman" w:eastAsia="楷体_GB2312" w:cs="Times New Roman"/>
          <w:b/>
          <w:bCs/>
          <w:color w:val="000000" w:themeColor="text1"/>
          <w:sz w:val="32"/>
          <w:szCs w:val="32"/>
          <w14:textFill>
            <w14:solidFill>
              <w14:schemeClr w14:val="tx1"/>
            </w14:solidFill>
          </w14:textFill>
        </w:rPr>
        <w:t>第一节  加强公共卫生应急管理</w:t>
      </w:r>
      <w:bookmarkEnd w:id="18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疾病预防控制体系，建设国内一流的区域性疾控中心，加强传染病疫情和突发公共卫生事件监测，实施公共卫生应急救治能力提升工程，增强省级检测决定能力和突发传染病防控快速响应能力，增强市级检验检测和综合服务能力，增强县级传染病疫情发现和现场处置能力。健全突发公共卫生事件应急指挥体系，建立平战结合的联防联控协调机制，健全应急医疗救援、传染病疫情防控、心理危机干预、核辐射和中毒处置等四类应急队伍，完善舆情应对处置机制。建设重大疫情医疗救治体系，建立分层、分级、分流的传染病诊疗网络，加快建设重大疫情救治基地，建设移动救援救治中心和空中救援中心，完善救治力量应急备份，推进公共设施平战两用改造。建设生物安全风险防控体系，加强重大新发突发传染病、动植物疫情、出入境检验检疫、生物技术环境安全监测，建立健全评估预警、风险预防、审查监管、应急处置等机制。到2025年，可有效应对特别重大突发公共卫生事件（I级）医疗救治需要，突发公共卫生事件处置能力达到全国领先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1" w:name="_Toc62051681"/>
      <w:r>
        <w:rPr>
          <w:rFonts w:ascii="Times New Roman" w:hAnsi="Times New Roman" w:eastAsia="楷体_GB2312" w:cs="Times New Roman"/>
          <w:b/>
          <w:bCs/>
          <w:color w:val="000000" w:themeColor="text1"/>
          <w:sz w:val="32"/>
          <w:szCs w:val="32"/>
          <w14:textFill>
            <w14:solidFill>
              <w14:schemeClr w14:val="tx1"/>
            </w14:solidFill>
          </w14:textFill>
        </w:rPr>
        <w:t>第二节  增强识灾防灾减灾能力</w:t>
      </w:r>
      <w:bookmarkEnd w:id="181"/>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夯实灾害风险治理基础，实施自然灾害防治能力重点工程，加强防汛抗旱、防震减灾、地灾防治、森林防火、危房改造、应急避难、公共消防等防灾减灾工程建设，提高学校、医院等人员密集场所安全水平。提高风险早期识别能力，构建“空天地”一体化的感知网络，开展自然灾害综合风险普查工程，加快水文、地质、地震等灾害监测网络建设，提高气象精准监测、精准预报、精准服务能力，加强高层建筑、大型商业综合体、地下空间、危化企业、住宿与生产储存经营合用场所等重点领域消防安全治理。提升防灾减灾能力，加强基层应急能力建设，开展综合减灾示范社区创建工作，加强基层灾害信息员队伍建设，提升救灾物资和装备统筹保障能力，在农业农村领域推行保险试点，提高农业农村抗灾能力。加强自然灾害统筹救助，健全受灾困难群众紧急生活救助、特殊群体临灾转移和因灾生活困难群众补助机制，最大限度保障受灾群众的基本生活，完善灾后恢复重建机制。提高全民防灾减灾意识，将防灾减灾宣传纳入国民教育计划，提高防灾避险、自救互救能力。</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2" w:name="_Toc62051682"/>
      <w:r>
        <w:rPr>
          <w:rFonts w:ascii="Times New Roman" w:hAnsi="Times New Roman" w:eastAsia="楷体_GB2312" w:cs="Times New Roman"/>
          <w:b/>
          <w:bCs/>
          <w:color w:val="000000" w:themeColor="text1"/>
          <w:sz w:val="32"/>
          <w:szCs w:val="32"/>
          <w14:textFill>
            <w14:solidFill>
              <w14:schemeClr w14:val="tx1"/>
            </w14:solidFill>
          </w14:textFill>
        </w:rPr>
        <w:t>第三节  提升应急救援能力</w:t>
      </w:r>
      <w:bookmarkEnd w:id="182"/>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提升应急指挥协调能力，建立突发灾害和安全事故应急处置指挥协调机制，布局区域应急救援“一部三中心”，就近调派救援资源，形成快速反应能力。提高应急队伍救援能力和现场救护能力，加强综</w:t>
      </w:r>
      <w:r>
        <w:rPr>
          <w:rFonts w:ascii="Times New Roman" w:hAnsi="Times New Roman" w:eastAsia="仿宋_GB2312" w:cs="Times New Roman"/>
          <w:color w:val="000000" w:themeColor="text1"/>
          <w:spacing w:val="-2"/>
          <w:sz w:val="32"/>
          <w:szCs w:val="32"/>
          <w14:textFill>
            <w14:solidFill>
              <w14:schemeClr w14:val="tx1"/>
            </w14:solidFill>
          </w14:textFill>
        </w:rPr>
        <w:t>合性救援力量建设，加快红十字事业发展，建立适应多灾种应急需要的省级应急救援机动队伍，加强专业应急救援队伍和基层综合应急救援队伍建设，积极发展航空和社会应急救援力量，提升应急救援的科学化、专业化、智能化水平。提升应急物资保障能力，优化重要应急物资产能保障和区域布局，加强灾害事故易发多发地区物资装备储备，增加公共场合急救设备投放，建立多层级一体化的应急物资采购供应物流网络</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105" w:type="dxa"/>
            <w:vAlign w:val="center"/>
          </w:tcPr>
          <w:p>
            <w:pPr>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专栏37  应急能力建设工程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5" w:type="dxa"/>
          </w:tcPr>
          <w:p>
            <w:pPr>
              <w:autoSpaceDE w:val="0"/>
              <w:autoSpaceDN w:val="0"/>
              <w:adjustRightInd w:val="0"/>
              <w:snapToGrid w:val="0"/>
              <w:spacing w:line="320" w:lineRule="exact"/>
              <w:ind w:firstLine="481" w:firstLineChars="200"/>
              <w:jc w:val="left"/>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自然灾害防治八大工程。</w:t>
            </w:r>
            <w:r>
              <w:rPr>
                <w:rFonts w:ascii="Times New Roman" w:hAnsi="Times New Roman" w:eastAsia="宋体" w:cs="Times New Roman"/>
                <w:color w:val="000000" w:themeColor="text1"/>
                <w:kern w:val="0"/>
                <w:sz w:val="24"/>
                <w:szCs w:val="24"/>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自然灾害综合风险普查、重点生态功能区生态修复工程、地震易发区房屋设施加固工程、防汛抗旱水利提升工程、地质灾害综合治理和避险移民搬迁工程、应急救援中心建设工程、自然灾害监测预警信息化工程、自然灾害防治技术装备现代化等八大工程，全面提升自然灾害综合防治能力。</w:t>
            </w:r>
          </w:p>
          <w:p>
            <w:pPr>
              <w:widowControl/>
              <w:spacing w:line="320" w:lineRule="exact"/>
              <w:ind w:firstLine="481"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防灾减灾气象能力提升工程。</w:t>
            </w:r>
            <w:r>
              <w:rPr>
                <w:rFonts w:ascii="Times New Roman" w:hAnsi="Times New Roman" w:eastAsia="宋体" w:cs="Times New Roman"/>
                <w:color w:val="000000" w:themeColor="text1"/>
                <w:kern w:val="0"/>
                <w:sz w:val="24"/>
                <w:szCs w:val="24"/>
                <w14:textFill>
                  <w14:solidFill>
                    <w14:schemeClr w14:val="tx1"/>
                  </w14:solidFill>
                </w14:textFill>
              </w:rPr>
              <w:t>实施气象精密观测与大数据工程，实现气象观测全覆盖和发展“+气象”服务模式；实施智能气象精准预报工程，提升气象灾害精细化预报预警能力；建设自然灾害防治气象保障工程，发挥好气象防治自然灾害第一道防线作用；实施生态气象与乡村振兴气象保障工程，提升气象支撑服务能力；实施人工影响天气能力提升工程，提高人工增雨抗旱和重污染天气防治效果；实施气象台站基础设施建设工程，提高基层台站气象预警服务现代化水平。</w:t>
            </w:r>
          </w:p>
          <w:p>
            <w:pPr>
              <w:widowControl/>
              <w:spacing w:line="320" w:lineRule="exact"/>
              <w:ind w:firstLine="481"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基层应急能力建设工程。</w:t>
            </w:r>
            <w:r>
              <w:rPr>
                <w:rFonts w:ascii="Times New Roman" w:hAnsi="Times New Roman" w:eastAsia="宋体" w:cs="Times New Roman"/>
                <w:color w:val="000000" w:themeColor="text1"/>
                <w:kern w:val="0"/>
                <w:sz w:val="24"/>
                <w:szCs w:val="24"/>
                <w14:textFill>
                  <w14:solidFill>
                    <w14:schemeClr w14:val="tx1"/>
                  </w14:solidFill>
                </w14:textFill>
              </w:rPr>
              <w:t>建立基层风险防控和监测预警、快速响应等机制。编制应急总体预案、专项预案等。组建综合应急救援队伍，完善信息员队伍。建立健全应急装备物资保障制度。加强消防队伍和单位消防站建设。常态化开展应急培训演练。</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61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83" w:name="_Toc62051683"/>
      <w:r>
        <w:rPr>
          <w:rFonts w:ascii="Times New Roman" w:hAnsi="Times New Roman" w:eastAsia="方正小标宋_GBK" w:cs="Times New Roman"/>
          <w:color w:val="000000" w:themeColor="text1"/>
          <w:sz w:val="32"/>
          <w:szCs w:val="32"/>
          <w14:textFill>
            <w14:solidFill>
              <w14:schemeClr w14:val="tx1"/>
            </w14:solidFill>
          </w14:textFill>
        </w:rPr>
        <w:t>第十篇  强化现代化新湖南建设实施保障</w:t>
      </w:r>
      <w:bookmarkEnd w:id="183"/>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坚持党的全面领导，凝聚发展合力，强化项目支撑，加强评估考核，保障规划有效实施。</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84" w:name="_Toc62051684"/>
      <w:r>
        <w:rPr>
          <w:rFonts w:ascii="Times New Roman" w:hAnsi="Times New Roman" w:eastAsia="黑体" w:cs="Times New Roman"/>
          <w:bCs/>
          <w:color w:val="000000" w:themeColor="text1"/>
          <w:sz w:val="32"/>
          <w:szCs w:val="32"/>
          <w14:textFill>
            <w14:solidFill>
              <w14:schemeClr w14:val="tx1"/>
            </w14:solidFill>
          </w14:textFill>
        </w:rPr>
        <w:t>第三十六章  凝聚实施合力</w:t>
      </w:r>
      <w:bookmarkEnd w:id="184"/>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在党的坚强领导下，更好履行政府职责，动员引导各方力量推动规划实施，确保各项目标任务顺利实现。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5" w:name="_Toc62051685"/>
      <w:r>
        <w:rPr>
          <w:rFonts w:ascii="Times New Roman" w:hAnsi="Times New Roman" w:eastAsia="楷体_GB2312" w:cs="Times New Roman"/>
          <w:b/>
          <w:bCs/>
          <w:color w:val="000000" w:themeColor="text1"/>
          <w:sz w:val="32"/>
          <w:szCs w:val="32"/>
          <w14:textFill>
            <w14:solidFill>
              <w14:schemeClr w14:val="tx1"/>
            </w14:solidFill>
          </w14:textFill>
        </w:rPr>
        <w:t>第一节  坚持党的全面领导</w:t>
      </w:r>
      <w:bookmarkEnd w:id="185"/>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贯彻党把方向、谋大局、定政策、促改革的要求，在思想上政治上行动上</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同</w:t>
      </w:r>
      <w:bookmarkStart w:id="204" w:name="_GoBack"/>
      <w:bookmarkEnd w:id="204"/>
      <w:r>
        <w:rPr>
          <w:rFonts w:ascii="Times New Roman" w:hAnsi="Times New Roman" w:eastAsia="仿宋_GB2312" w:cs="Times New Roman"/>
          <w:color w:val="000000" w:themeColor="text1"/>
          <w:sz w:val="32"/>
          <w:szCs w:val="32"/>
          <w14:textFill>
            <w14:solidFill>
              <w14:schemeClr w14:val="tx1"/>
            </w14:solidFill>
          </w14:textFill>
        </w:rPr>
        <w:t>以习近平同志为核心的党中央保持高度一致，增强“四个意识”、坚定“四个自信”、做到“两个维护”，坚定不移贯彻落实党的路线方针和决策部署。坚持党对经济社会发展的领导，完善党委研究经济社会发展战略、定期分析经济形势、研究重大方针政策的工作机制。强化基层党组织整体功能，发挥战斗堡垒作用和党员先锋模范作用。</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6" w:name="_Toc62051686"/>
      <w:r>
        <w:rPr>
          <w:rFonts w:ascii="Times New Roman" w:hAnsi="Times New Roman" w:eastAsia="楷体_GB2312" w:cs="Times New Roman"/>
          <w:b/>
          <w:bCs/>
          <w:color w:val="000000" w:themeColor="text1"/>
          <w:sz w:val="32"/>
          <w:szCs w:val="32"/>
          <w14:textFill>
            <w14:solidFill>
              <w14:schemeClr w14:val="tx1"/>
            </w14:solidFill>
          </w14:textFill>
        </w:rPr>
        <w:t>第二节  推进建设清廉湖南</w:t>
      </w:r>
      <w:bookmarkEnd w:id="186"/>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坚持全面从严治党，强化党委主体责任和纪委监督责任，营造干部清正、政府清廉、政治清明、社会清朗的政治生态和良好发展环境。</w:t>
      </w:r>
      <w:r>
        <w:rPr>
          <w:rFonts w:hint="eastAsia" w:ascii="Times New Roman" w:hAnsi="Times New Roman" w:eastAsia="仿宋_GB2312" w:cs="Times New Roman"/>
          <w:color w:val="000000" w:themeColor="text1"/>
          <w:sz w:val="32"/>
          <w:szCs w:val="32"/>
          <w14:textFill>
            <w14:solidFill>
              <w14:schemeClr w14:val="tx1"/>
            </w14:solidFill>
          </w14:textFill>
        </w:rPr>
        <w:t>健全党统一领导、全面覆盖、权威高效的监督体系，形成决策科学、执行坚决、监督有力的权力运行机制。</w:t>
      </w:r>
      <w:r>
        <w:rPr>
          <w:rFonts w:ascii="Times New Roman" w:hAnsi="Times New Roman" w:eastAsia="仿宋_GB2312" w:cs="Times New Roman"/>
          <w:color w:val="000000" w:themeColor="text1"/>
          <w:sz w:val="32"/>
          <w:szCs w:val="32"/>
          <w14:textFill>
            <w14:solidFill>
              <w14:schemeClr w14:val="tx1"/>
            </w14:solidFill>
          </w14:textFill>
        </w:rPr>
        <w:t>加强作风建设，</w:t>
      </w:r>
      <w:r>
        <w:rPr>
          <w:rFonts w:hint="eastAsia" w:ascii="Times New Roman" w:hAnsi="Times New Roman" w:eastAsia="仿宋_GB2312" w:cs="Times New Roman"/>
          <w:color w:val="000000" w:themeColor="text1"/>
          <w:sz w:val="32"/>
          <w:szCs w:val="32"/>
          <w14:textFill>
            <w14:solidFill>
              <w14:schemeClr w14:val="tx1"/>
            </w14:solidFill>
          </w14:textFill>
        </w:rPr>
        <w:t>完善权力配置和运行制约机制，推进党风廉政建设和反腐败斗争，树立重实干、重实绩的用人导向，</w:t>
      </w:r>
      <w:r>
        <w:rPr>
          <w:rFonts w:ascii="Times New Roman" w:hAnsi="Times New Roman" w:eastAsia="仿宋_GB2312" w:cs="Times New Roman"/>
          <w:color w:val="000000" w:themeColor="text1"/>
          <w:sz w:val="32"/>
          <w:szCs w:val="32"/>
          <w14:textFill>
            <w14:solidFill>
              <w14:schemeClr w14:val="tx1"/>
            </w14:solidFill>
          </w14:textFill>
        </w:rPr>
        <w:t>建立容错纠错机制，营造想干事、能干事、依法依规干事的政治生态。</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7" w:name="_Toc62051687"/>
      <w:r>
        <w:rPr>
          <w:rFonts w:ascii="Times New Roman" w:hAnsi="Times New Roman" w:eastAsia="楷体_GB2312" w:cs="Times New Roman"/>
          <w:b/>
          <w:bCs/>
          <w:color w:val="000000" w:themeColor="text1"/>
          <w:sz w:val="32"/>
          <w:szCs w:val="32"/>
          <w14:textFill>
            <w14:solidFill>
              <w14:schemeClr w14:val="tx1"/>
            </w14:solidFill>
          </w14:textFill>
        </w:rPr>
        <w:t>第三节  切实履行政府职责</w:t>
      </w:r>
      <w:bookmarkEnd w:id="187"/>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明确各级政府主体责任，创新管理理念和方式，着力提高政府效能和治理水平，增强执行力和公信力。全面加强经济社会运行的监测调控和政策的统筹协调，切实履行政府在规划执行、经济调节、市场引导、公共服务、社会管理等方面的职责，大力增强科学发展、改革创新、驾驭风险、保障安全、依法行政和群众工作能力，推动规划落实落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8" w:name="_Toc62051688"/>
      <w:r>
        <w:rPr>
          <w:rFonts w:ascii="Times New Roman" w:hAnsi="Times New Roman" w:eastAsia="楷体_GB2312" w:cs="Times New Roman"/>
          <w:b/>
          <w:bCs/>
          <w:color w:val="000000" w:themeColor="text1"/>
          <w:sz w:val="32"/>
          <w:szCs w:val="32"/>
          <w14:textFill>
            <w14:solidFill>
              <w14:schemeClr w14:val="tx1"/>
            </w14:solidFill>
          </w14:textFill>
        </w:rPr>
        <w:t>第四节  充分发挥各方力量</w:t>
      </w:r>
      <w:bookmarkEnd w:id="188"/>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慧和力量，充分调动各行各业及全省人民的积极性、主动性和创造性。</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9" w:name="_Toc62051689"/>
      <w:r>
        <w:rPr>
          <w:rFonts w:ascii="Times New Roman" w:hAnsi="Times New Roman" w:eastAsia="楷体_GB2312" w:cs="Times New Roman"/>
          <w:b/>
          <w:bCs/>
          <w:color w:val="000000" w:themeColor="text1"/>
          <w:sz w:val="32"/>
          <w:szCs w:val="32"/>
          <w14:textFill>
            <w14:solidFill>
              <w14:schemeClr w14:val="tx1"/>
            </w14:solidFill>
          </w14:textFill>
        </w:rPr>
        <w:t>第五节  强化人才支撑</w:t>
      </w:r>
      <w:bookmarkEnd w:id="189"/>
    </w:p>
    <w:p>
      <w:pPr>
        <w:spacing w:line="59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理开发配置人才资源，优化人才在城乡、区域、产业、行业和不同所有制之间的分布。实施更加积极、更加开放、更加有效的人才政策和引进机制，加强高层次科技人才、创新型企业家、高技能产业工人、农村基层人才等队伍建设。加大对优秀人才的全方位支持，优化人才职称评审、居留落户、子女就学等方面条件，营造尊重人才的社会环境、激励容错的工作环境、待遇适当的生活环境、公开平等的制度环境，支持引导各类人才充分施展才能。</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0" w:name="_Toc62051690"/>
      <w:r>
        <w:rPr>
          <w:rFonts w:ascii="Times New Roman" w:hAnsi="Times New Roman" w:eastAsia="黑体" w:cs="Times New Roman"/>
          <w:bCs/>
          <w:color w:val="000000" w:themeColor="text1"/>
          <w:sz w:val="32"/>
          <w:szCs w:val="32"/>
          <w14:textFill>
            <w14:solidFill>
              <w14:schemeClr w14:val="tx1"/>
            </w14:solidFill>
          </w14:textFill>
        </w:rPr>
        <w:t>第三十七章  加强规划统领</w:t>
      </w:r>
      <w:bookmarkEnd w:id="19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统一规划体系，强化规划管理，促进政策协同，健全规划实施机制。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1" w:name="_Toc62051691"/>
      <w:r>
        <w:rPr>
          <w:rFonts w:ascii="Times New Roman" w:hAnsi="Times New Roman" w:eastAsia="楷体_GB2312" w:cs="Times New Roman"/>
          <w:b/>
          <w:bCs/>
          <w:color w:val="000000" w:themeColor="text1"/>
          <w:sz w:val="32"/>
          <w:szCs w:val="32"/>
          <w14:textFill>
            <w14:solidFill>
              <w14:schemeClr w14:val="tx1"/>
            </w14:solidFill>
          </w14:textFill>
        </w:rPr>
        <w:t>第一节  建立统一规划体系</w:t>
      </w:r>
      <w:bookmarkEnd w:id="191"/>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以省级发展规划为统领，以空间规划为基础，以专项规划、区域规划为支撑，由省、市、县各级规划共同组成，定位准确、边界清晰、功能互补、统一衔接的规划体系。加强各级各类规划与省级规划纲要的衔接协调，增强规划纲要的引导和约束功能。</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2" w:name="_Toc62051692"/>
      <w:r>
        <w:rPr>
          <w:rFonts w:ascii="Times New Roman" w:hAnsi="Times New Roman" w:eastAsia="楷体_GB2312" w:cs="Times New Roman"/>
          <w:b/>
          <w:bCs/>
          <w:color w:val="000000" w:themeColor="text1"/>
          <w:sz w:val="32"/>
          <w:szCs w:val="32"/>
          <w14:textFill>
            <w14:solidFill>
              <w14:schemeClr w14:val="tx1"/>
            </w14:solidFill>
          </w14:textFill>
        </w:rPr>
        <w:t>第二节  强化规划实施保障</w:t>
      </w:r>
      <w:bookmarkEnd w:id="192"/>
    </w:p>
    <w:p>
      <w:pPr>
        <w:spacing w:line="61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各地区、各部门要大力加强规划实施的组织、协调和督导，切实落实省级规划纲要涉及各地区、各领域的目标任务。要合理配置公共资源，加强资金、土地、能源、科技、数据、人才等资源要素对规划实施的保障作用。完善年度计划落实规划纲要的机制。加强财政预算与规划实施的衔接协调，强化公共财政对规划实施的保障作用</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3" w:name="_Toc62051693"/>
      <w:r>
        <w:rPr>
          <w:rFonts w:ascii="Times New Roman" w:hAnsi="Times New Roman" w:eastAsia="黑体" w:cs="Times New Roman"/>
          <w:bCs/>
          <w:color w:val="000000" w:themeColor="text1"/>
          <w:sz w:val="32"/>
          <w:szCs w:val="32"/>
          <w14:textFill>
            <w14:solidFill>
              <w14:schemeClr w14:val="tx1"/>
            </w14:solidFill>
          </w14:textFill>
        </w:rPr>
        <w:t>第三十八章  加强项目支撑</w:t>
      </w:r>
      <w:bookmarkEnd w:id="193"/>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坚持项目跟着规划走、资金跟着项目走，明确重大规划项目布局，推动规划任务落地。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4" w:name="_Toc62051694"/>
      <w:r>
        <w:rPr>
          <w:rFonts w:ascii="Times New Roman" w:hAnsi="Times New Roman" w:eastAsia="楷体_GB2312" w:cs="Times New Roman"/>
          <w:b/>
          <w:bCs/>
          <w:color w:val="000000" w:themeColor="text1"/>
          <w:sz w:val="32"/>
          <w:szCs w:val="32"/>
          <w14:textFill>
            <w14:solidFill>
              <w14:schemeClr w14:val="tx1"/>
            </w14:solidFill>
          </w14:textFill>
        </w:rPr>
        <w:t>第一节  谋划储备重大项目</w:t>
      </w:r>
      <w:bookmarkEnd w:id="194"/>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科技创新、产业发展、基础设施、生态环保、社会民生等重点领域，谋划储备一批关系全局和长远发展的重大项目，建立重大工程项目库，作为规划实施的重要支撑。加强年度重点建设项目与规划重大工程项目库的有效衔接，每年筛选一批项目重点推进，形成“投产一批、续建一批、开工一批、储备一批”的良性循环。</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5" w:name="_Toc62051695"/>
      <w:r>
        <w:rPr>
          <w:rFonts w:ascii="Times New Roman" w:hAnsi="Times New Roman" w:eastAsia="楷体_GB2312" w:cs="Times New Roman"/>
          <w:b/>
          <w:bCs/>
          <w:color w:val="000000" w:themeColor="text1"/>
          <w:sz w:val="32"/>
          <w:szCs w:val="32"/>
          <w14:textFill>
            <w14:solidFill>
              <w14:schemeClr w14:val="tx1"/>
            </w14:solidFill>
          </w14:textFill>
        </w:rPr>
        <w:t>第二节  推进重大项目前期</w:t>
      </w:r>
      <w:bookmarkEnd w:id="19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项目前期工作推进机制。项目牵头部门要制定详细的项目前期推进工作方案，明确“路线图”和“时间表”。对纳入本规划纲要的重大工程项目，要简化审批核准程序，预留空间接口，优先保障规划选址、土地供应和资金安排等。</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6" w:name="_Toc62051696"/>
      <w:r>
        <w:rPr>
          <w:rFonts w:ascii="Times New Roman" w:hAnsi="Times New Roman" w:eastAsia="楷体_GB2312" w:cs="Times New Roman"/>
          <w:b/>
          <w:bCs/>
          <w:color w:val="000000" w:themeColor="text1"/>
          <w:sz w:val="32"/>
          <w:szCs w:val="32"/>
          <w14:textFill>
            <w14:solidFill>
              <w14:schemeClr w14:val="tx1"/>
            </w14:solidFill>
          </w14:textFill>
        </w:rPr>
        <w:t>第三节  推动重大项目实施</w:t>
      </w:r>
      <w:bookmarkEnd w:id="196"/>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重大工程项目责任制，落实项目建设条件，加快项目建设进度，加强项目实施过程监管，确保重大工程项目有序实施。完善部门协作、上下联动的重大工程项目协调服务机制，支持解决项目建设过程中的各类问题，优化项目建设环境。</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7" w:name="_Toc62051697"/>
      <w:r>
        <w:rPr>
          <w:rFonts w:ascii="Times New Roman" w:hAnsi="Times New Roman" w:eastAsia="黑体" w:cs="Times New Roman"/>
          <w:bCs/>
          <w:color w:val="000000" w:themeColor="text1"/>
          <w:sz w:val="32"/>
          <w:szCs w:val="32"/>
          <w14:textFill>
            <w14:solidFill>
              <w14:schemeClr w14:val="tx1"/>
            </w14:solidFill>
          </w14:textFill>
        </w:rPr>
        <w:t>第三十九章  加强评估考核</w:t>
      </w:r>
      <w:bookmarkEnd w:id="19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分解落实本规划纲要确定的发展目标和主要任务，建立规划实施的评估和考核机制。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8" w:name="_Toc62051698"/>
      <w:r>
        <w:rPr>
          <w:rFonts w:ascii="Times New Roman" w:hAnsi="Times New Roman" w:eastAsia="楷体_GB2312" w:cs="Times New Roman"/>
          <w:b/>
          <w:bCs/>
          <w:color w:val="000000" w:themeColor="text1"/>
          <w:sz w:val="32"/>
          <w:szCs w:val="32"/>
          <w14:textFill>
            <w14:solidFill>
              <w14:schemeClr w14:val="tx1"/>
            </w14:solidFill>
          </w14:textFill>
        </w:rPr>
        <w:t>第一节  明确规划实施责任</w:t>
      </w:r>
      <w:bookmarkEnd w:id="198"/>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各级各部门要按照职责分工，将规划纲要确定的相关任务纳入本地区本部门年度工作计划，明确责任人和进度要求，并及时将相关进展情况向省政府报告。本规划提出的约束性指标，分解落实到各有关部门和市州，确保如期完成。预期性指标重在发挥引导作用。</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9" w:name="_Toc62051699"/>
      <w:r>
        <w:rPr>
          <w:rFonts w:ascii="Times New Roman" w:hAnsi="Times New Roman" w:eastAsia="楷体_GB2312" w:cs="Times New Roman"/>
          <w:b/>
          <w:bCs/>
          <w:color w:val="000000" w:themeColor="text1"/>
          <w:sz w:val="32"/>
          <w:szCs w:val="32"/>
          <w14:textFill>
            <w14:solidFill>
              <w14:schemeClr w14:val="tx1"/>
            </w14:solidFill>
          </w14:textFill>
        </w:rPr>
        <w:t>第二节  强化实施监督评估</w:t>
      </w:r>
      <w:bookmarkEnd w:id="199"/>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规划实施监测评估机制，强化对规划有关目标指标任务完成情况的综合评价考核，建立分类指导、科学合理的考核机制，考核结果作为各级领导班子绩效评价和领导干部选拔任用、奖励惩戒的重要依据。完善政府与企业、民众的信息沟通和反馈机制，健全听证、舆论和公众监督制度，推动规划落实。</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全省人民要更加紧密</w:t>
      </w:r>
      <w:r>
        <w:rPr>
          <w:rFonts w:hint="eastAsia" w:ascii="Times New Roman" w:hAnsi="Times New Roman" w:eastAsia="仿宋_GB2312" w:cs="Times New Roman"/>
          <w:color w:val="000000" w:themeColor="text1"/>
          <w:spacing w:val="-2"/>
          <w:sz w:val="32"/>
          <w:szCs w:val="32"/>
          <w14:textFill>
            <w14:solidFill>
              <w14:schemeClr w14:val="tx1"/>
            </w14:solidFill>
          </w14:textFill>
        </w:rPr>
        <w:t>地</w:t>
      </w:r>
      <w:r>
        <w:rPr>
          <w:rFonts w:ascii="Times New Roman" w:hAnsi="Times New Roman" w:eastAsia="仿宋_GB2312" w:cs="Times New Roman"/>
          <w:color w:val="000000" w:themeColor="text1"/>
          <w:spacing w:val="-2"/>
          <w:sz w:val="32"/>
          <w:szCs w:val="32"/>
          <w14:textFill>
            <w14:solidFill>
              <w14:schemeClr w14:val="tx1"/>
            </w14:solidFill>
          </w14:textFill>
        </w:rPr>
        <w:t>团结在以习近平同志为核心的党中央周围，深入贯彻习近平新时代中国特色社会主义思想，坚定信心、乘势而上、锐意进取、真抓实干，努力完成本规划确定的各项目标任务，不断在建设现代化新湖南的征程上取得新成就，奋力谱写新时代坚持和发展中国特色社会主义的湖南新篇章</w:t>
      </w:r>
      <w:r>
        <w:rPr>
          <w:rFonts w:ascii="Times New Roman" w:hAnsi="Times New Roman" w:eastAsia="仿宋_GB2312" w:cs="Times New Roman"/>
          <w:color w:val="000000" w:themeColor="text1"/>
          <w:sz w:val="32"/>
          <w:szCs w:val="32"/>
          <w14:textFill>
            <w14:solidFill>
              <w14:schemeClr w14:val="tx1"/>
            </w14:solidFill>
          </w14:textFill>
        </w:rPr>
        <w:t>！</w:t>
      </w:r>
    </w:p>
    <w:p>
      <w:pPr>
        <w:widowControl/>
        <w:spacing w:line="616"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widowControl/>
        <w:spacing w:line="616" w:lineRule="exact"/>
        <w:jc w:val="center"/>
        <w:rPr>
          <w:rFonts w:ascii="Times New Roman" w:hAnsi="Times New Roman" w:eastAsia="方正小标宋简体" w:cs="Times New Roman"/>
          <w:sz w:val="42"/>
          <w:szCs w:val="42"/>
        </w:rPr>
      </w:pPr>
      <w:r>
        <w:rPr>
          <w:rFonts w:ascii="Times New Roman" w:hAnsi="Times New Roman" w:eastAsia="方正小标宋简体" w:cs="Times New Roman"/>
          <w:sz w:val="42"/>
          <w:szCs w:val="42"/>
        </w:rPr>
        <w:t>名 词 解 释</w:t>
      </w:r>
    </w:p>
    <w:p>
      <w:pPr>
        <w:pStyle w:val="15"/>
        <w:overflowPunct w:val="0"/>
        <w:spacing w:line="616" w:lineRule="exact"/>
        <w:ind w:firstLine="640" w:firstLineChars="200"/>
        <w:contextualSpacing/>
        <w:jc w:val="both"/>
        <w:rPr>
          <w:rFonts w:ascii="Times New Roman" w:hAnsi="Times New Roman" w:eastAsia="黑体" w:cs="Times New Roman"/>
          <w:sz w:val="32"/>
          <w:szCs w:val="32"/>
        </w:rPr>
      </w:pPr>
    </w:p>
    <w:p>
      <w:pPr>
        <w:spacing w:line="616" w:lineRule="exact"/>
        <w:ind w:firstLine="643"/>
        <w:outlineLvl w:val="1"/>
        <w:rPr>
          <w:rFonts w:ascii="仿宋_GB2312" w:hAnsi="宋体" w:eastAsia="仿宋_GB2312"/>
          <w:sz w:val="32"/>
          <w:szCs w:val="32"/>
        </w:rPr>
      </w:pPr>
      <w:r>
        <w:rPr>
          <w:rFonts w:ascii="Times New Roman" w:hAnsi="Times New Roman" w:eastAsia="黑体" w:cs="Times New Roman"/>
          <w:sz w:val="32"/>
          <w:szCs w:val="32"/>
        </w:rPr>
        <w:t>1、“一核三区多园六通道”物流发展布局：</w:t>
      </w:r>
      <w:bookmarkStart w:id="200" w:name="_Toc459280782"/>
      <w:r>
        <w:rPr>
          <w:rFonts w:hint="eastAsia" w:ascii="楷体_GB2312" w:hAnsi="黑体" w:eastAsia="楷体_GB2312"/>
          <w:b/>
          <w:sz w:val="32"/>
          <w:szCs w:val="32"/>
        </w:rPr>
        <w:t>一核</w:t>
      </w:r>
      <w:bookmarkEnd w:id="200"/>
      <w:r>
        <w:rPr>
          <w:rFonts w:hint="eastAsia" w:ascii="楷体_GB2312" w:hAnsi="黑体" w:eastAsia="楷体_GB2312"/>
          <w:b/>
          <w:sz w:val="32"/>
          <w:szCs w:val="32"/>
        </w:rPr>
        <w:t>，</w:t>
      </w:r>
      <w:r>
        <w:rPr>
          <w:rFonts w:hint="eastAsia" w:ascii="仿宋_GB2312" w:hAnsi="宋体" w:eastAsia="仿宋_GB2312"/>
          <w:sz w:val="32"/>
          <w:szCs w:val="32"/>
        </w:rPr>
        <w:t>以长株潭城市群为中心，打造长江经济带物流业核心增长极。</w:t>
      </w:r>
      <w:bookmarkStart w:id="201" w:name="_Toc459280783"/>
      <w:r>
        <w:rPr>
          <w:rFonts w:hint="eastAsia" w:ascii="楷体_GB2312" w:hAnsi="黑体" w:eastAsia="楷体_GB2312"/>
          <w:b/>
          <w:sz w:val="32"/>
          <w:szCs w:val="32"/>
        </w:rPr>
        <w:t>三区</w:t>
      </w:r>
      <w:bookmarkEnd w:id="201"/>
      <w:r>
        <w:rPr>
          <w:rFonts w:hint="eastAsia" w:ascii="楷体_GB2312" w:hAnsi="黑体" w:eastAsia="楷体_GB2312"/>
          <w:b/>
          <w:sz w:val="32"/>
          <w:szCs w:val="32"/>
        </w:rPr>
        <w:t>，</w:t>
      </w:r>
      <w:r>
        <w:rPr>
          <w:rFonts w:hint="eastAsia" w:ascii="仿宋_GB2312" w:hAnsi="宋体" w:eastAsia="仿宋_GB2312"/>
          <w:sz w:val="32"/>
          <w:szCs w:val="32"/>
        </w:rPr>
        <w:t>环洞庭湖地区建设长江中游区域性航运物流中心、湘南地区建设泛珠三角物流集群、大湘西地区建设五省边区物流中心。</w:t>
      </w:r>
      <w:bookmarkStart w:id="202" w:name="_Toc459280784"/>
      <w:r>
        <w:rPr>
          <w:rFonts w:hint="eastAsia" w:ascii="楷体_GB2312" w:hAnsi="黑体" w:eastAsia="楷体_GB2312"/>
          <w:b/>
          <w:sz w:val="32"/>
          <w:szCs w:val="32"/>
        </w:rPr>
        <w:t>多园</w:t>
      </w:r>
      <w:bookmarkEnd w:id="202"/>
      <w:r>
        <w:rPr>
          <w:rFonts w:hint="eastAsia" w:ascii="楷体_GB2312" w:hAnsi="黑体" w:eastAsia="楷体_GB2312"/>
          <w:b/>
          <w:sz w:val="32"/>
          <w:szCs w:val="32"/>
        </w:rPr>
        <w:t>，</w:t>
      </w:r>
      <w:r>
        <w:rPr>
          <w:rFonts w:hint="eastAsia" w:ascii="仿宋_GB2312" w:hAnsi="宋体" w:eastAsia="仿宋_GB2312"/>
          <w:sz w:val="32"/>
          <w:szCs w:val="32"/>
        </w:rPr>
        <w:t>重点建设一批国家级和省级示范物流园</w:t>
      </w:r>
      <w:bookmarkStart w:id="203" w:name="_Toc459280785"/>
      <w:r>
        <w:rPr>
          <w:rFonts w:hint="eastAsia" w:ascii="仿宋_GB2312" w:hAnsi="宋体" w:eastAsia="仿宋_GB2312"/>
          <w:sz w:val="32"/>
          <w:szCs w:val="32"/>
        </w:rPr>
        <w:t>。</w:t>
      </w:r>
      <w:r>
        <w:rPr>
          <w:rFonts w:hint="eastAsia" w:ascii="楷体_GB2312" w:hAnsi="黑体" w:eastAsia="楷体_GB2312"/>
          <w:b/>
          <w:sz w:val="32"/>
          <w:szCs w:val="32"/>
        </w:rPr>
        <w:t>六通道</w:t>
      </w:r>
      <w:bookmarkEnd w:id="203"/>
      <w:r>
        <w:rPr>
          <w:rFonts w:hint="eastAsia" w:ascii="楷体_GB2312" w:hAnsi="黑体" w:eastAsia="楷体_GB2312"/>
          <w:b/>
          <w:sz w:val="32"/>
          <w:szCs w:val="32"/>
        </w:rPr>
        <w:t>，</w:t>
      </w:r>
      <w:r>
        <w:rPr>
          <w:rFonts w:hint="eastAsia" w:ascii="仿宋_GB2312" w:hAnsi="宋体" w:eastAsia="仿宋_GB2312"/>
          <w:sz w:val="32"/>
          <w:szCs w:val="32"/>
        </w:rPr>
        <w:t>构建京广、沪昆、环洞庭湖区、张吉怀、水运、航空六大物流通道。</w:t>
      </w:r>
    </w:p>
    <w:p>
      <w:pPr>
        <w:pStyle w:val="15"/>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2、财政四本预算：</w:t>
      </w:r>
      <w:r>
        <w:rPr>
          <w:rFonts w:ascii="Times New Roman" w:hAnsi="Times New Roman" w:eastAsia="仿宋_GB2312" w:cs="Times New Roman"/>
          <w:sz w:val="32"/>
          <w:szCs w:val="32"/>
        </w:rPr>
        <w:t>一般公共预算、政府性基金预算、国有资本预算、社会保险基金预算。</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3、三高四新：</w:t>
      </w:r>
      <w:r>
        <w:rPr>
          <w:rFonts w:ascii="Times New Roman" w:hAnsi="Times New Roman" w:eastAsia="仿宋_GB2312" w:cs="Times New Roman"/>
          <w:sz w:val="32"/>
          <w:szCs w:val="32"/>
        </w:rPr>
        <w:t>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4、“五个100”：</w:t>
      </w:r>
      <w:r>
        <w:rPr>
          <w:rFonts w:ascii="Times New Roman" w:hAnsi="Times New Roman" w:eastAsia="仿宋_GB2312" w:cs="Times New Roman"/>
          <w:sz w:val="32"/>
          <w:szCs w:val="32"/>
        </w:rPr>
        <w:t>实施100个重大产业项目、100个重大科技创新项目、100个重大产品创新项目、引进100个500强企业、100个科技创新人才。</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5、飞地园区：</w:t>
      </w:r>
      <w:r>
        <w:rPr>
          <w:rFonts w:ascii="Times New Roman" w:hAnsi="Times New Roman" w:eastAsia="仿宋_GB2312" w:cs="Times New Roman"/>
          <w:sz w:val="32"/>
          <w:szCs w:val="32"/>
        </w:rPr>
        <w:t>打破行政区划限制，通过创新规划、建设、管理和税收分成等合作机制，以产业园区为主要载体，在异地通过共建或托管等方式建设工业项目，实现优势互补、互利共赢、可持续发展经济模式的园区。</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6、独角兽企业：</w:t>
      </w:r>
      <w:r>
        <w:rPr>
          <w:rFonts w:ascii="Times New Roman" w:hAnsi="Times New Roman" w:eastAsia="仿宋_GB2312" w:cs="Times New Roman"/>
          <w:sz w:val="32"/>
          <w:szCs w:val="32"/>
        </w:rPr>
        <w:t>一般指成立时间不超过10年、估值超过10亿美元的未上市创业公司。</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黑体" w:cs="Times New Roman"/>
          <w:sz w:val="32"/>
          <w:szCs w:val="32"/>
        </w:rPr>
        <w:t>专精特新企业：</w:t>
      </w:r>
      <w:r>
        <w:rPr>
          <w:rFonts w:ascii="Times New Roman" w:hAnsi="Times New Roman" w:eastAsia="仿宋_GB2312" w:cs="Times New Roman"/>
          <w:sz w:val="32"/>
          <w:szCs w:val="32"/>
        </w:rPr>
        <w:t>具有专业化、精细化、特色化、新颖化特征的工业中小企业。</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黑体" w:cs="Times New Roman"/>
          <w:sz w:val="32"/>
          <w:szCs w:val="32"/>
        </w:rPr>
        <w:t>瞪羚企业：</w:t>
      </w:r>
      <w:r>
        <w:rPr>
          <w:rFonts w:ascii="Times New Roman" w:hAnsi="Times New Roman" w:eastAsia="仿宋_GB2312" w:cs="Times New Roman"/>
          <w:sz w:val="32"/>
          <w:szCs w:val="32"/>
        </w:rPr>
        <w:t>成长性好、具有跳跃式发展态势的高新技术企业。</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ascii="Times New Roman" w:hAnsi="Times New Roman" w:eastAsia="黑体" w:cs="Times New Roman"/>
          <w:sz w:val="32"/>
          <w:szCs w:val="32"/>
        </w:rPr>
        <w:t>中小企业上云：</w:t>
      </w:r>
      <w:r>
        <w:rPr>
          <w:rFonts w:ascii="Times New Roman" w:hAnsi="Times New Roman" w:eastAsia="仿宋_GB2312" w:cs="Times New Roman"/>
          <w:sz w:val="32"/>
          <w:szCs w:val="32"/>
        </w:rPr>
        <w:t>中小企业以互联网为基础进行信息化基础设施、管理、业务等方面应用，并通过互联网与云计算手段连接社会化资源、共享服务及能力的过程。</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ascii="Times New Roman" w:hAnsi="Times New Roman" w:eastAsia="黑体" w:cs="Times New Roman"/>
          <w:sz w:val="32"/>
          <w:szCs w:val="32"/>
        </w:rPr>
        <w:t>四个面向：</w:t>
      </w:r>
      <w:r>
        <w:rPr>
          <w:rFonts w:ascii="Times New Roman" w:hAnsi="Times New Roman" w:eastAsia="仿宋_GB2312" w:cs="Times New Roman"/>
          <w:sz w:val="32"/>
          <w:szCs w:val="32"/>
        </w:rPr>
        <w:t>坚持面向世界科技前沿、面向经济主战场、面向国家重大需求、面向人民生命健康。</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11、“4321”新型政银担风险分担机制：</w:t>
      </w:r>
      <w:r>
        <w:rPr>
          <w:rFonts w:ascii="Times New Roman" w:hAnsi="Times New Roman" w:eastAsia="仿宋_GB2312" w:cs="Times New Roman"/>
          <w:sz w:val="32"/>
          <w:szCs w:val="32"/>
        </w:rPr>
        <w:t>对符合条件的融资担保业务代偿风险，原则上由省级及以上财政和再担保机构、融资担保公司、银行、市州和县市人民政府分别按照40%（其中：国家融资担保基金承担20%、省财政承担10%、再担保机构承担10%）、30%、20%、10%的比例进行风险分担。</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12、一件事一次办：</w:t>
      </w:r>
      <w:r>
        <w:rPr>
          <w:rFonts w:ascii="Times New Roman" w:hAnsi="Times New Roman" w:eastAsia="仿宋_GB2312" w:cs="Times New Roman"/>
          <w:sz w:val="32"/>
          <w:szCs w:val="32"/>
        </w:rPr>
        <w:t>将企业、群众需办理的“一件事情”或多件相关“一揽子事”整合成窗口统一办理的“一件事”，一次告知、一次表单、一次联办、一次办好，线上“一次登录、一网通办”，线下“只进一扇门、只跑一次”。</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13、三类500强：</w:t>
      </w:r>
      <w:r>
        <w:rPr>
          <w:rFonts w:ascii="Times New Roman" w:hAnsi="Times New Roman" w:eastAsia="仿宋_GB2312" w:cs="Times New Roman"/>
          <w:sz w:val="32"/>
          <w:szCs w:val="32"/>
        </w:rPr>
        <w:t>世界财富500强、中国企业500强和民营企业500强。</w:t>
      </w:r>
    </w:p>
    <w:p>
      <w:pPr>
        <w:pStyle w:val="15"/>
        <w:overflowPunct w:val="0"/>
        <w:spacing w:line="616" w:lineRule="exact"/>
        <w:ind w:firstLine="640" w:firstLineChars="200"/>
        <w:contextualSpacing/>
        <w:jc w:val="both"/>
        <w:rPr>
          <w:rFonts w:ascii="Times New Roman" w:hAnsi="Times New Roman" w:eastAsia="黑体" w:cs="Times New Roman"/>
          <w:sz w:val="32"/>
          <w:szCs w:val="32"/>
        </w:rPr>
      </w:pPr>
      <w:r>
        <w:rPr>
          <w:rFonts w:ascii="Times New Roman" w:hAnsi="Times New Roman" w:eastAsia="黑体" w:cs="Times New Roman"/>
          <w:sz w:val="32"/>
          <w:szCs w:val="32"/>
        </w:rPr>
        <w:t>14、一核两副三带四区：</w:t>
      </w:r>
      <w:r>
        <w:rPr>
          <w:rFonts w:ascii="Times New Roman" w:hAnsi="Times New Roman" w:eastAsia="仿宋_GB2312" w:cs="Times New Roman"/>
          <w:sz w:val="32"/>
          <w:szCs w:val="32"/>
        </w:rPr>
        <w:t>打造长株潭核心增长极，建设岳阳、衡阳两个省域副中心城市，建设沿京广、沪昆、渝长厦通道的三大经济发展带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推动长株潭、洞庭湖、湘南、湘西四大区域板块协调联动发展。</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15、中三角：</w:t>
      </w:r>
      <w:r>
        <w:rPr>
          <w:rFonts w:ascii="Times New Roman" w:hAnsi="Times New Roman" w:eastAsia="仿宋_GB2312" w:cs="Times New Roman"/>
          <w:sz w:val="32"/>
          <w:szCs w:val="32"/>
        </w:rPr>
        <w:t>以武汉城市圈、环长株潭城市群、环鄱阳湖城市群为主体形成的长江中游城市群。</w:t>
      </w:r>
    </w:p>
    <w:p>
      <w:pPr>
        <w:overflowPunct w:val="0"/>
        <w:spacing w:line="616" w:lineRule="exact"/>
        <w:ind w:firstLine="640" w:firstLineChars="200"/>
        <w:contextualSpacing/>
        <w:rPr>
          <w:rFonts w:ascii="Times New Roman" w:hAnsi="Times New Roman" w:eastAsia="仿宋" w:cs="Times New Roman"/>
          <w:sz w:val="32"/>
          <w:szCs w:val="32"/>
        </w:rPr>
      </w:pPr>
      <w:r>
        <w:rPr>
          <w:rFonts w:ascii="Times New Roman" w:hAnsi="Times New Roman" w:eastAsia="仿宋_GB2312" w:cs="Times New Roman"/>
          <w:sz w:val="32"/>
          <w:szCs w:val="32"/>
        </w:rPr>
        <w:t>16、</w:t>
      </w:r>
      <w:r>
        <w:rPr>
          <w:rFonts w:ascii="Times New Roman" w:hAnsi="Times New Roman" w:eastAsia="黑体" w:cs="Times New Roman"/>
          <w:sz w:val="32"/>
          <w:szCs w:val="32"/>
        </w:rPr>
        <w:t>湘赣红：</w:t>
      </w:r>
      <w:r>
        <w:rPr>
          <w:rFonts w:ascii="Times New Roman" w:hAnsi="Times New Roman" w:eastAsia="仿宋_GB2312" w:cs="Times New Roman"/>
          <w:sz w:val="32"/>
          <w:szCs w:val="32"/>
        </w:rPr>
        <w:t>综合湘赣两省革命老区红色基因文化内涵以及地域特性、产业发展特色等因素打造的一个区域公用品牌。</w:t>
      </w:r>
    </w:p>
    <w:p>
      <w:pPr>
        <w:overflowPunct w:val="0"/>
        <w:spacing w:line="616" w:lineRule="exact"/>
        <w:ind w:firstLine="640" w:firstLineChars="200"/>
        <w:contextualSpacing/>
        <w:rPr>
          <w:rFonts w:ascii="Times New Roman" w:hAnsi="Times New Roman" w:eastAsia="仿宋" w:cs="Times New Roman"/>
          <w:sz w:val="32"/>
          <w:szCs w:val="32"/>
        </w:rPr>
      </w:pPr>
      <w:r>
        <w:rPr>
          <w:rFonts w:ascii="Times New Roman" w:hAnsi="Times New Roman" w:eastAsia="仿宋" w:cs="Times New Roman"/>
          <w:sz w:val="32"/>
          <w:szCs w:val="32"/>
        </w:rPr>
        <w:t>17、</w:t>
      </w:r>
      <w:r>
        <w:rPr>
          <w:rFonts w:ascii="Times New Roman" w:hAnsi="Times New Roman" w:eastAsia="黑体" w:cs="Times New Roman"/>
          <w:sz w:val="32"/>
          <w:szCs w:val="32"/>
        </w:rPr>
        <w:t>农村三块地改革：</w:t>
      </w:r>
      <w:r>
        <w:rPr>
          <w:rFonts w:ascii="Times New Roman" w:hAnsi="Times New Roman" w:eastAsia="仿宋_GB2312" w:cs="Times New Roman"/>
          <w:sz w:val="32"/>
          <w:szCs w:val="32"/>
        </w:rPr>
        <w:t>农村土地征收、集体经营性建设用地入市、宅基地管理制度改革。</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 w:cs="Times New Roman"/>
          <w:sz w:val="32"/>
          <w:szCs w:val="32"/>
        </w:rPr>
        <w:t>18、</w:t>
      </w:r>
      <w:r>
        <w:rPr>
          <w:rFonts w:ascii="Times New Roman" w:hAnsi="Times New Roman" w:eastAsia="黑体" w:cs="Times New Roman"/>
          <w:sz w:val="32"/>
          <w:szCs w:val="32"/>
        </w:rPr>
        <w:t>首店经济：</w:t>
      </w:r>
      <w:r>
        <w:rPr>
          <w:rFonts w:ascii="Times New Roman" w:hAnsi="Times New Roman" w:eastAsia="仿宋_GB2312" w:cs="Times New Roman"/>
          <w:sz w:val="32"/>
          <w:szCs w:val="32"/>
        </w:rPr>
        <w:t>指利用资源优势，吸引国内外品牌在区域首次开设门店，使品牌价值与区域资源实现最优耦合，以及由此对该区域经济发展产生积极影响的经济形态。</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 w:cs="Times New Roman"/>
          <w:sz w:val="32"/>
          <w:szCs w:val="32"/>
        </w:rPr>
        <w:t>19、</w:t>
      </w:r>
      <w:r>
        <w:rPr>
          <w:rFonts w:ascii="Times New Roman" w:hAnsi="Times New Roman" w:eastAsia="黑体" w:cs="Times New Roman"/>
          <w:sz w:val="32"/>
          <w:szCs w:val="32"/>
        </w:rPr>
        <w:t>首发经济：</w:t>
      </w:r>
      <w:r>
        <w:rPr>
          <w:rFonts w:ascii="Times New Roman" w:hAnsi="Times New Roman" w:eastAsia="仿宋_GB2312" w:cs="Times New Roman"/>
          <w:sz w:val="32"/>
          <w:szCs w:val="32"/>
        </w:rPr>
        <w:t>国内外品牌推出新业态、新模式、新产品，开设首店等经济活动的总称。</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20、风光水火储一体化：</w:t>
      </w:r>
      <w:r>
        <w:rPr>
          <w:rFonts w:ascii="Times New Roman" w:hAnsi="Times New Roman" w:eastAsia="仿宋_GB2312" w:cs="Times New Roman"/>
          <w:sz w:val="32"/>
          <w:szCs w:val="32"/>
        </w:rPr>
        <w:t>主要指侧重电源基地开发，结合当地资源条件和能源特点，因地制宜采取风能、太阳能、水能、煤炭等多能源品种发电互相补充，并适度增加一定比例储能，统筹各类电源的规划、设计、建设和运营。</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21、源网荷储一体化：</w:t>
      </w:r>
      <w:r>
        <w:rPr>
          <w:rFonts w:ascii="Times New Roman" w:hAnsi="Times New Roman" w:eastAsia="仿宋_GB2312" w:cs="Times New Roman"/>
          <w:sz w:val="32"/>
          <w:szCs w:val="32"/>
        </w:rPr>
        <w:t>主要指围绕负荷需求，通过优化整合本地电源侧、电网侧、负荷侧资源要素，以储能等先进技术和体制机制创新为支撑，以安全、绿色、高效为目标，创新电力生产和消费模式，为构建源网荷高度融合的新一代电力系统探索发展路径，实现源、网、荷、储深度协同。</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22、两品一标：</w:t>
      </w:r>
      <w:r>
        <w:rPr>
          <w:rFonts w:ascii="Times New Roman" w:hAnsi="Times New Roman" w:eastAsia="仿宋_GB2312" w:cs="Times New Roman"/>
          <w:sz w:val="32"/>
          <w:szCs w:val="32"/>
        </w:rPr>
        <w:t>绿色食品、有机农产品和农产品地理标志。</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23、“百企千社万户”农业升级工程：</w:t>
      </w:r>
      <w:r>
        <w:rPr>
          <w:rFonts w:ascii="Times New Roman" w:hAnsi="Times New Roman" w:eastAsia="仿宋_GB2312" w:cs="Times New Roman"/>
          <w:sz w:val="32"/>
          <w:szCs w:val="32"/>
        </w:rPr>
        <w:t>发展100家带动能力强的农业产业化龙头企业，扶持1000个现代农机专业合作社，支持10000个以水稻种植为主体、种养结合的家庭农场。 </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24、</w:t>
      </w:r>
      <w:r>
        <w:rPr>
          <w:rFonts w:ascii="Times New Roman" w:hAnsi="Times New Roman" w:eastAsia="黑体" w:cs="Times New Roman"/>
          <w:sz w:val="32"/>
          <w:szCs w:val="32"/>
        </w:rPr>
        <w:t>四个不摘：</w:t>
      </w:r>
      <w:r>
        <w:rPr>
          <w:rFonts w:ascii="Times New Roman" w:hAnsi="Times New Roman" w:eastAsia="仿宋_GB2312" w:cs="Times New Roman"/>
          <w:sz w:val="32"/>
          <w:szCs w:val="32"/>
        </w:rPr>
        <w:t>对退出的贫困县、贫困村、贫困人口做到摘帽不摘责任、摘帽不摘政策、摘帽不摘帮扶、摘帽不摘监管。</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25、三线一单：</w:t>
      </w:r>
      <w:r>
        <w:rPr>
          <w:rFonts w:ascii="Times New Roman" w:hAnsi="Times New Roman" w:eastAsia="仿宋_GB2312" w:cs="Times New Roman"/>
          <w:sz w:val="32"/>
          <w:szCs w:val="32"/>
        </w:rPr>
        <w:t>生态保护红线、环境质量底线、资源利用上线和生态环境准入清单。</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26、</w:t>
      </w:r>
      <w:r>
        <w:rPr>
          <w:rFonts w:ascii="Times New Roman" w:hAnsi="Times New Roman" w:eastAsia="黑体" w:cs="Times New Roman"/>
          <w:sz w:val="32"/>
          <w:szCs w:val="32"/>
        </w:rPr>
        <w:t>双带双促：</w:t>
      </w:r>
      <w:r>
        <w:rPr>
          <w:rFonts w:ascii="Times New Roman" w:hAnsi="Times New Roman" w:eastAsia="仿宋_GB2312" w:cs="Times New Roman"/>
          <w:sz w:val="32"/>
          <w:szCs w:val="32"/>
        </w:rPr>
        <w:t>退役军人带头建设家乡、促进经济发展，带头维护稳定、促进社会和谐。</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27、“高峰”学科：</w:t>
      </w:r>
      <w:r>
        <w:rPr>
          <w:rFonts w:ascii="Times New Roman" w:hAnsi="Times New Roman" w:eastAsia="仿宋_GB2312" w:cs="Times New Roman"/>
          <w:sz w:val="32"/>
          <w:szCs w:val="32"/>
        </w:rPr>
        <w:t>在国内具有领先地位，在国际上具有卓越影响力，能够发挥引领作用的品牌学科。</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28、“高原”学科：</w:t>
      </w:r>
      <w:r>
        <w:rPr>
          <w:rFonts w:ascii="Times New Roman" w:hAnsi="Times New Roman" w:eastAsia="仿宋_GB2312" w:cs="Times New Roman"/>
          <w:sz w:val="32"/>
          <w:szCs w:val="32"/>
        </w:rPr>
        <w:t>具有比较优势和实力、具有良好发展性和成长性的学科集群。</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29、数字文化：</w:t>
      </w:r>
      <w:r>
        <w:rPr>
          <w:rFonts w:ascii="Times New Roman" w:hAnsi="Times New Roman" w:eastAsia="仿宋_GB2312" w:cs="Times New Roman"/>
          <w:sz w:val="32"/>
          <w:szCs w:val="32"/>
        </w:rPr>
        <w:t>数字化文化资源或对文化资源数字化。依托各公共、组织与个体文化资源，利用VR、AR、3D等数字技术以及互联网、大数据等平台实现文化传播的时空普及与内容升级，具备创新性、体验性、互动性的文化服务与共享模式。</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30、“5+2”精品旅游线路：</w:t>
      </w:r>
      <w:r>
        <w:rPr>
          <w:rFonts w:ascii="Times New Roman" w:hAnsi="Times New Roman" w:eastAsia="仿宋_GB2312" w:cs="Times New Roman"/>
          <w:sz w:val="32"/>
          <w:szCs w:val="32"/>
        </w:rPr>
        <w:t>张</w:t>
      </w:r>
      <w:r>
        <w:rPr>
          <w:rFonts w:ascii="Times New Roman" w:hAnsi="Times New Roman" w:eastAsia="宋体" w:cs="Times New Roman"/>
          <w:sz w:val="32"/>
          <w:szCs w:val="32"/>
        </w:rPr>
        <w:t>崀</w:t>
      </w:r>
      <w:r>
        <w:rPr>
          <w:rFonts w:ascii="Times New Roman" w:hAnsi="Times New Roman" w:eastAsia="仿宋_GB2312" w:cs="Times New Roman"/>
          <w:sz w:val="32"/>
          <w:szCs w:val="32"/>
        </w:rPr>
        <w:t>桂旅游走廊世界遗产旅游线、“伟人故里”红色旅游线、长江黄金水道和环洞庭江湖度假旅游线、桃花江·桃花源美丽乡村旅游线、“心愿之旅”祈福寻根旅游线、“神韵雪峰”山地度假旅游线和“快乐之都”长株潭都市旅游线。</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31、“十、百、千”文旅融合示范工程：</w:t>
      </w:r>
      <w:r>
        <w:rPr>
          <w:rFonts w:ascii="Times New Roman" w:hAnsi="Times New Roman" w:eastAsia="仿宋_GB2312" w:cs="Times New Roman"/>
          <w:sz w:val="32"/>
          <w:szCs w:val="32"/>
        </w:rPr>
        <w:t>打造十大文旅融合示范区、百个文旅融合示范点，开展千项文旅融合活动，构建文化传承与传播功能兼备、本地居民文化消费与中外游客旅游消费并存的城市文化空间。</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32、党支部“五化”建设：</w:t>
      </w:r>
      <w:r>
        <w:rPr>
          <w:rFonts w:ascii="Times New Roman" w:hAnsi="Times New Roman" w:eastAsia="仿宋_GB2312" w:cs="Times New Roman"/>
          <w:sz w:val="32"/>
          <w:szCs w:val="32"/>
        </w:rPr>
        <w:t>支部设置标准化、组织生活正常化、管理服务精细化、工作制度体系化、阵地建设规范化。</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33、</w:t>
      </w:r>
      <w:r>
        <w:fldChar w:fldCharType="begin"/>
      </w:r>
      <w:r>
        <w:instrText xml:space="preserve"> HYPERLINK "https://www.baidu.com/s?rsv_idx=1&amp;wd=%E6%9E%AB%E6%A1%A5%E7%BB%8F%E9%AA%8C&amp;fenlei=256&amp;usm=1&amp;ie=utf-8&amp;rsv_cq=%E6%9E%AB%E6%A1%A5%E7%BB%8F%E9%AA%8C%E7%9A%84%E9%87%8A%E4%B9%89&amp;rsv_dl=0_left_exactqa_28236&amp;rsv_lt8=1" \t "https://www.baidu.com/_blank" </w:instrText>
      </w:r>
      <w:r>
        <w:fldChar w:fldCharType="separate"/>
      </w:r>
      <w:r>
        <w:rPr>
          <w:rFonts w:ascii="Times New Roman" w:hAnsi="Times New Roman" w:eastAsia="黑体" w:cs="Times New Roman"/>
          <w:sz w:val="32"/>
          <w:szCs w:val="32"/>
        </w:rPr>
        <w:t>枫桥经验</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t>：</w:t>
      </w:r>
      <w:r>
        <w:rPr>
          <w:rFonts w:ascii="Times New Roman" w:hAnsi="Times New Roman" w:eastAsia="仿宋_GB2312" w:cs="Times New Roman"/>
          <w:sz w:val="32"/>
          <w:szCs w:val="32"/>
        </w:rPr>
        <w:t>浙江省绍兴市诸暨市</w:t>
      </w:r>
      <w:r>
        <w:fldChar w:fldCharType="begin"/>
      </w:r>
      <w:r>
        <w:instrText xml:space="preserve"> HYPERLINK "https://baike.baidu.com/item/%E6%9E%AB%E6%A1%A5%E9%95%87" \t "_blank" </w:instrText>
      </w:r>
      <w:r>
        <w:fldChar w:fldCharType="separate"/>
      </w:r>
      <w:r>
        <w:rPr>
          <w:rFonts w:ascii="Times New Roman" w:hAnsi="Times New Roman" w:eastAsia="仿宋_GB2312" w:cs="Times New Roman"/>
          <w:sz w:val="32"/>
          <w:szCs w:val="32"/>
        </w:rPr>
        <w:t>枫桥镇</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干部群众创造形成了具有鲜明时代特色的“党政动手，依靠群众，预防纠纷，化解矛盾，维护稳定，促进发展”的枫桥经验。2020年10月，中央《建议》强调要坚持和发展新时代“枫桥经验”。</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34、颜色革命：</w:t>
      </w:r>
      <w:r>
        <w:rPr>
          <w:rFonts w:ascii="Times New Roman" w:hAnsi="Times New Roman" w:eastAsia="仿宋_GB2312" w:cs="Times New Roman"/>
          <w:sz w:val="32"/>
          <w:szCs w:val="32"/>
        </w:rPr>
        <w:t>泛指美欧国家支持旨在推翻某国传统政权，以西方价值观为旗帜建立亲美欧政权的“政权更迭”。</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35、“1518”公安大数据战略：</w:t>
      </w:r>
      <w:r>
        <w:rPr>
          <w:rFonts w:ascii="Times New Roman" w:hAnsi="Times New Roman" w:eastAsia="仿宋_GB2312" w:cs="Times New Roman"/>
          <w:sz w:val="32"/>
          <w:szCs w:val="32"/>
        </w:rPr>
        <w:t>建设智慧公安大脑，建成1个大数据中心；推动实施泛在感知、数据治理、支撑服务、业务融合、众智众筹5项工程；构建风险管控智能化应用体系，搭建1个社会风险管理平台；统筹推进指挥决策、政保维稳、治安防控、侦查实战、道安监管、为民服务、监督管理、警队建设8大智能化应用。</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36、应急救援“一部三中心”：</w:t>
      </w:r>
      <w:r>
        <w:rPr>
          <w:rFonts w:ascii="Times New Roman" w:hAnsi="Times New Roman" w:eastAsia="仿宋_GB2312" w:cs="Times New Roman"/>
          <w:sz w:val="32"/>
          <w:szCs w:val="32"/>
        </w:rPr>
        <w:t>指省级应急总指挥部，衡阳、益阳、怀化三个区域应急救援中心。</w:t>
      </w:r>
    </w:p>
    <w:p>
      <w:pPr>
        <w:widowControl/>
        <w:jc w:val="left"/>
        <w:rPr>
          <w:rFonts w:ascii="Times New Roman" w:hAnsi="Times New Roman" w:eastAsia="仿宋_GB2312" w:cs="Times New Roman"/>
          <w:sz w:val="32"/>
          <w:szCs w:val="32"/>
        </w:rPr>
      </w:pPr>
    </w:p>
    <w:p>
      <w:pPr>
        <w:pStyle w:val="15"/>
        <w:overflowPunct w:val="0"/>
        <w:spacing w:line="616" w:lineRule="exact"/>
        <w:ind w:firstLine="640" w:firstLineChars="200"/>
        <w:contextualSpacing/>
        <w:jc w:val="both"/>
        <w:rPr>
          <w:rFonts w:ascii="Times New Roman" w:hAnsi="Times New Roman" w:eastAsia="仿宋_GB2312" w:cs="Times New Roman"/>
          <w:color w:val="000000" w:themeColor="text1"/>
          <w:sz w:val="32"/>
          <w:szCs w:val="32"/>
          <w14:textFill>
            <w14:solidFill>
              <w14:schemeClr w14:val="tx1"/>
            </w14:solidFill>
          </w14:textFill>
        </w:rPr>
      </w:pPr>
    </w:p>
    <w:sectPr>
      <w:footerReference r:id="rId10" w:type="default"/>
      <w:footerReference r:id="rId11" w:type="even"/>
      <w:pgSz w:w="11906" w:h="16838"/>
      <w:pgMar w:top="1871" w:right="1531" w:bottom="1531" w:left="1588" w:header="851" w:footer="1304" w:gutter="0"/>
      <w:pgNumType w:start="1"/>
      <w:cols w:space="720" w:num="1"/>
      <w:docGrid w:type="lines" w:linePitch="44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altName w:val="Droid Sans Japanese"/>
    <w:panose1 w:val="02020509000000000000"/>
    <w:charset w:val="88"/>
    <w:family w:val="modern"/>
    <w:pitch w:val="default"/>
    <w:sig w:usb0="00000000" w:usb1="00000000" w:usb2="00000016" w:usb3="00000000" w:csb0="00100001" w:csb1="00000000"/>
  </w:font>
  <w:font w:name="方正小标宋_GBK">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黑体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EUDC">
    <w:panose1 w:val="02010600030101010101"/>
    <w:charset w:val="86"/>
    <w:family w:val="auto"/>
    <w:pitch w:val="default"/>
    <w:sig w:usb0="00000003" w:usb1="080E0031" w:usb2="00000000"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rPr>
        <w:rFonts w:ascii="Times New Roman" w:hAnsi="Times New Roman" w:eastAsia="方正黑体_GBK"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707046"/>
    </w:sdtPr>
    <w:sdtEndPr>
      <w:rPr>
        <w:rFonts w:ascii="Times New Roman" w:hAnsi="Times New Roman" w:cs="Times New Roman"/>
        <w:sz w:val="28"/>
        <w:szCs w:val="28"/>
      </w:rPr>
    </w:sdtEndPr>
    <w:sdtContent>
      <w:p>
        <w:pPr>
          <w:pStyle w:val="15"/>
          <w:ind w:right="360" w:firstLine="360" w:firstLineChars="20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835929"/>
      <w:docPartObj>
        <w:docPartGallery w:val="AutoText"/>
      </w:docPartObj>
    </w:sdtPr>
    <w:sdtEndPr>
      <w:rPr>
        <w:rFonts w:ascii="Times New Roman" w:hAnsi="Times New Roman" w:cs="Times New Roman"/>
        <w:sz w:val="28"/>
        <w:szCs w:val="28"/>
      </w:rPr>
    </w:sdtEndPr>
    <w:sdtContent>
      <w:p>
        <w:pPr>
          <w:pStyle w:val="15"/>
          <w:ind w:right="36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560" w:firstLineChars="200"/>
      <w:rPr>
        <w:rFonts w:ascii="Times New Roman" w:hAnsi="Times New Roman" w:cs="Times New Roman"/>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rPr>
        <w:rFonts w:ascii="Times New Roman" w:hAnsi="Times New Roman" w:cs="Times New Roman"/>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560" w:firstLineChars="200"/>
      <w:rPr>
        <w:rFonts w:ascii="Times New Roman" w:hAnsi="Times New Roman" w:cs="Times New Roman"/>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right"/>
      <w:rPr>
        <w:sz w:val="28"/>
        <w:szCs w:val="28"/>
      </w:rPr>
    </w:pP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191</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rPr>
        <w:sz w:val="28"/>
        <w:szCs w:val="28"/>
      </w:rPr>
    </w:pP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190</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hideSpellingErrors/>
  <w:documentProtection w:enforcement="0"/>
  <w:defaultTabStop w:val="420"/>
  <w:evenAndOddHeaders w:val="true"/>
  <w:drawingGridVerticalSpacing w:val="156"/>
  <w:noPunctuationKerning w:val="true"/>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8F"/>
    <w:rsid w:val="00002F49"/>
    <w:rsid w:val="00005CED"/>
    <w:rsid w:val="00007964"/>
    <w:rsid w:val="000115E4"/>
    <w:rsid w:val="000119C4"/>
    <w:rsid w:val="00013C7B"/>
    <w:rsid w:val="00014562"/>
    <w:rsid w:val="00014D9C"/>
    <w:rsid w:val="00014FA0"/>
    <w:rsid w:val="0002037B"/>
    <w:rsid w:val="00020439"/>
    <w:rsid w:val="00021CB5"/>
    <w:rsid w:val="00021D6F"/>
    <w:rsid w:val="00025163"/>
    <w:rsid w:val="00025209"/>
    <w:rsid w:val="000256F1"/>
    <w:rsid w:val="00025EE3"/>
    <w:rsid w:val="0002745C"/>
    <w:rsid w:val="00030FC7"/>
    <w:rsid w:val="00031544"/>
    <w:rsid w:val="000317A5"/>
    <w:rsid w:val="00032AB0"/>
    <w:rsid w:val="000349EC"/>
    <w:rsid w:val="000364DB"/>
    <w:rsid w:val="000368EC"/>
    <w:rsid w:val="00037A55"/>
    <w:rsid w:val="00040EE4"/>
    <w:rsid w:val="00042974"/>
    <w:rsid w:val="00043D4E"/>
    <w:rsid w:val="00044067"/>
    <w:rsid w:val="000512D8"/>
    <w:rsid w:val="000574AD"/>
    <w:rsid w:val="000608E9"/>
    <w:rsid w:val="00060ABF"/>
    <w:rsid w:val="00061AD2"/>
    <w:rsid w:val="0006496D"/>
    <w:rsid w:val="000654C8"/>
    <w:rsid w:val="000663F1"/>
    <w:rsid w:val="00070411"/>
    <w:rsid w:val="00072ADF"/>
    <w:rsid w:val="000758CC"/>
    <w:rsid w:val="00076270"/>
    <w:rsid w:val="00080BBB"/>
    <w:rsid w:val="00081641"/>
    <w:rsid w:val="00082A78"/>
    <w:rsid w:val="00082B59"/>
    <w:rsid w:val="00082F66"/>
    <w:rsid w:val="00087AEE"/>
    <w:rsid w:val="00090734"/>
    <w:rsid w:val="0009194E"/>
    <w:rsid w:val="0009420E"/>
    <w:rsid w:val="00094B97"/>
    <w:rsid w:val="000953DA"/>
    <w:rsid w:val="000977CC"/>
    <w:rsid w:val="000A3CB5"/>
    <w:rsid w:val="000A6BF6"/>
    <w:rsid w:val="000B69C0"/>
    <w:rsid w:val="000C034E"/>
    <w:rsid w:val="000C1DC0"/>
    <w:rsid w:val="000C2D11"/>
    <w:rsid w:val="000C30B7"/>
    <w:rsid w:val="000C31D7"/>
    <w:rsid w:val="000C673B"/>
    <w:rsid w:val="000C753E"/>
    <w:rsid w:val="000C7D5C"/>
    <w:rsid w:val="000E1074"/>
    <w:rsid w:val="000E1DF3"/>
    <w:rsid w:val="000E298A"/>
    <w:rsid w:val="000E4DEA"/>
    <w:rsid w:val="000E6B4D"/>
    <w:rsid w:val="000E746B"/>
    <w:rsid w:val="000E74CC"/>
    <w:rsid w:val="000F3233"/>
    <w:rsid w:val="000F52C7"/>
    <w:rsid w:val="001002C9"/>
    <w:rsid w:val="00100B5B"/>
    <w:rsid w:val="00101954"/>
    <w:rsid w:val="001041E5"/>
    <w:rsid w:val="00104D6C"/>
    <w:rsid w:val="00110B4B"/>
    <w:rsid w:val="001132EB"/>
    <w:rsid w:val="00116892"/>
    <w:rsid w:val="00117701"/>
    <w:rsid w:val="00120C22"/>
    <w:rsid w:val="00122FEE"/>
    <w:rsid w:val="001246E2"/>
    <w:rsid w:val="001329E5"/>
    <w:rsid w:val="0013518F"/>
    <w:rsid w:val="001356E1"/>
    <w:rsid w:val="00137008"/>
    <w:rsid w:val="001409DD"/>
    <w:rsid w:val="00141DA7"/>
    <w:rsid w:val="00142A0D"/>
    <w:rsid w:val="00144241"/>
    <w:rsid w:val="00144602"/>
    <w:rsid w:val="00146D4D"/>
    <w:rsid w:val="00150E00"/>
    <w:rsid w:val="0015199C"/>
    <w:rsid w:val="00152EF6"/>
    <w:rsid w:val="001546D1"/>
    <w:rsid w:val="00160750"/>
    <w:rsid w:val="00160873"/>
    <w:rsid w:val="001620D1"/>
    <w:rsid w:val="00163AF5"/>
    <w:rsid w:val="00164727"/>
    <w:rsid w:val="001649E8"/>
    <w:rsid w:val="0017017D"/>
    <w:rsid w:val="001707E1"/>
    <w:rsid w:val="001723A2"/>
    <w:rsid w:val="00172A27"/>
    <w:rsid w:val="00175D78"/>
    <w:rsid w:val="00176DAD"/>
    <w:rsid w:val="0018595E"/>
    <w:rsid w:val="001866F7"/>
    <w:rsid w:val="00195A95"/>
    <w:rsid w:val="001A0161"/>
    <w:rsid w:val="001A2591"/>
    <w:rsid w:val="001A3243"/>
    <w:rsid w:val="001A36A0"/>
    <w:rsid w:val="001A4B5C"/>
    <w:rsid w:val="001A703A"/>
    <w:rsid w:val="001B0BD0"/>
    <w:rsid w:val="001B7BAF"/>
    <w:rsid w:val="001C2AAD"/>
    <w:rsid w:val="001C3653"/>
    <w:rsid w:val="001C4D12"/>
    <w:rsid w:val="001C6F5F"/>
    <w:rsid w:val="001C7CA2"/>
    <w:rsid w:val="001D2AE4"/>
    <w:rsid w:val="001D44F2"/>
    <w:rsid w:val="001D6900"/>
    <w:rsid w:val="001D7B3A"/>
    <w:rsid w:val="001E1FFB"/>
    <w:rsid w:val="001E3299"/>
    <w:rsid w:val="001E3697"/>
    <w:rsid w:val="001E5556"/>
    <w:rsid w:val="001E5E04"/>
    <w:rsid w:val="001E6A20"/>
    <w:rsid w:val="001E70DD"/>
    <w:rsid w:val="001E7AEB"/>
    <w:rsid w:val="001F0679"/>
    <w:rsid w:val="001F1C62"/>
    <w:rsid w:val="001F21B4"/>
    <w:rsid w:val="001F23AF"/>
    <w:rsid w:val="001F4854"/>
    <w:rsid w:val="00200511"/>
    <w:rsid w:val="0020180D"/>
    <w:rsid w:val="0020331C"/>
    <w:rsid w:val="00203A35"/>
    <w:rsid w:val="00204029"/>
    <w:rsid w:val="002044BE"/>
    <w:rsid w:val="0021150B"/>
    <w:rsid w:val="00211D2B"/>
    <w:rsid w:val="0021301B"/>
    <w:rsid w:val="00213F14"/>
    <w:rsid w:val="00214E5B"/>
    <w:rsid w:val="002178EA"/>
    <w:rsid w:val="00223F1B"/>
    <w:rsid w:val="002308D8"/>
    <w:rsid w:val="002314AB"/>
    <w:rsid w:val="002315A4"/>
    <w:rsid w:val="00231684"/>
    <w:rsid w:val="002354AD"/>
    <w:rsid w:val="0023592F"/>
    <w:rsid w:val="00237243"/>
    <w:rsid w:val="00242B5E"/>
    <w:rsid w:val="0024327B"/>
    <w:rsid w:val="0024367A"/>
    <w:rsid w:val="00244C09"/>
    <w:rsid w:val="00245865"/>
    <w:rsid w:val="00245A59"/>
    <w:rsid w:val="00245A85"/>
    <w:rsid w:val="00245E6B"/>
    <w:rsid w:val="00246BE4"/>
    <w:rsid w:val="00252512"/>
    <w:rsid w:val="002553E6"/>
    <w:rsid w:val="002558B6"/>
    <w:rsid w:val="0025774D"/>
    <w:rsid w:val="002718F5"/>
    <w:rsid w:val="00272DFC"/>
    <w:rsid w:val="00275F26"/>
    <w:rsid w:val="00277001"/>
    <w:rsid w:val="002777A4"/>
    <w:rsid w:val="00280EA8"/>
    <w:rsid w:val="00281FA3"/>
    <w:rsid w:val="00282D73"/>
    <w:rsid w:val="00282E99"/>
    <w:rsid w:val="0028797B"/>
    <w:rsid w:val="00290F2B"/>
    <w:rsid w:val="00291042"/>
    <w:rsid w:val="00291623"/>
    <w:rsid w:val="002A1776"/>
    <w:rsid w:val="002A385F"/>
    <w:rsid w:val="002A396F"/>
    <w:rsid w:val="002A3A32"/>
    <w:rsid w:val="002A494A"/>
    <w:rsid w:val="002A5BBB"/>
    <w:rsid w:val="002A6548"/>
    <w:rsid w:val="002A7F58"/>
    <w:rsid w:val="002B1752"/>
    <w:rsid w:val="002B2135"/>
    <w:rsid w:val="002B3277"/>
    <w:rsid w:val="002B4F5A"/>
    <w:rsid w:val="002B5B23"/>
    <w:rsid w:val="002B6E84"/>
    <w:rsid w:val="002B6F38"/>
    <w:rsid w:val="002B729E"/>
    <w:rsid w:val="002C0DD0"/>
    <w:rsid w:val="002C7323"/>
    <w:rsid w:val="002D05AA"/>
    <w:rsid w:val="002D361D"/>
    <w:rsid w:val="002D694D"/>
    <w:rsid w:val="002E00B1"/>
    <w:rsid w:val="002E12DC"/>
    <w:rsid w:val="002E1E82"/>
    <w:rsid w:val="002E5DC1"/>
    <w:rsid w:val="002E65FB"/>
    <w:rsid w:val="002E77CB"/>
    <w:rsid w:val="002E7D2F"/>
    <w:rsid w:val="002F004A"/>
    <w:rsid w:val="002F10DC"/>
    <w:rsid w:val="002F2A3A"/>
    <w:rsid w:val="002F3B4B"/>
    <w:rsid w:val="002F3B88"/>
    <w:rsid w:val="002F42D4"/>
    <w:rsid w:val="002F5492"/>
    <w:rsid w:val="002F62B4"/>
    <w:rsid w:val="002F630F"/>
    <w:rsid w:val="0030061E"/>
    <w:rsid w:val="00301AFB"/>
    <w:rsid w:val="00306765"/>
    <w:rsid w:val="003125FE"/>
    <w:rsid w:val="00315589"/>
    <w:rsid w:val="00317C64"/>
    <w:rsid w:val="00322110"/>
    <w:rsid w:val="00325983"/>
    <w:rsid w:val="00326879"/>
    <w:rsid w:val="00326916"/>
    <w:rsid w:val="00327676"/>
    <w:rsid w:val="003313E4"/>
    <w:rsid w:val="00333CA0"/>
    <w:rsid w:val="00335C6A"/>
    <w:rsid w:val="0034240F"/>
    <w:rsid w:val="00343CF2"/>
    <w:rsid w:val="0034417E"/>
    <w:rsid w:val="00345A60"/>
    <w:rsid w:val="003465BD"/>
    <w:rsid w:val="00352E05"/>
    <w:rsid w:val="0035334D"/>
    <w:rsid w:val="00353995"/>
    <w:rsid w:val="00353C20"/>
    <w:rsid w:val="00353E25"/>
    <w:rsid w:val="003543D1"/>
    <w:rsid w:val="003551F5"/>
    <w:rsid w:val="003559A9"/>
    <w:rsid w:val="00357052"/>
    <w:rsid w:val="003633A3"/>
    <w:rsid w:val="003726B5"/>
    <w:rsid w:val="00372BEB"/>
    <w:rsid w:val="003737EF"/>
    <w:rsid w:val="00374628"/>
    <w:rsid w:val="00374B0E"/>
    <w:rsid w:val="003770F3"/>
    <w:rsid w:val="003807E9"/>
    <w:rsid w:val="00384AED"/>
    <w:rsid w:val="00384F40"/>
    <w:rsid w:val="003874DB"/>
    <w:rsid w:val="00390605"/>
    <w:rsid w:val="0039076B"/>
    <w:rsid w:val="003922B8"/>
    <w:rsid w:val="003925AF"/>
    <w:rsid w:val="003935FE"/>
    <w:rsid w:val="00393F4D"/>
    <w:rsid w:val="00394D5B"/>
    <w:rsid w:val="003A0150"/>
    <w:rsid w:val="003A1AB4"/>
    <w:rsid w:val="003A2CB7"/>
    <w:rsid w:val="003A3A4F"/>
    <w:rsid w:val="003A505F"/>
    <w:rsid w:val="003A6CE7"/>
    <w:rsid w:val="003A6EB4"/>
    <w:rsid w:val="003A7D29"/>
    <w:rsid w:val="003B27F5"/>
    <w:rsid w:val="003B2E04"/>
    <w:rsid w:val="003B497B"/>
    <w:rsid w:val="003B5DF1"/>
    <w:rsid w:val="003B5FC6"/>
    <w:rsid w:val="003B6BCD"/>
    <w:rsid w:val="003B6C34"/>
    <w:rsid w:val="003C155D"/>
    <w:rsid w:val="003C21FB"/>
    <w:rsid w:val="003D39B8"/>
    <w:rsid w:val="003D4935"/>
    <w:rsid w:val="003D5AE6"/>
    <w:rsid w:val="003D63F0"/>
    <w:rsid w:val="003E2B10"/>
    <w:rsid w:val="003E53EF"/>
    <w:rsid w:val="003F36AB"/>
    <w:rsid w:val="003F3F02"/>
    <w:rsid w:val="003F4BA4"/>
    <w:rsid w:val="003F5C4A"/>
    <w:rsid w:val="003F5F66"/>
    <w:rsid w:val="003F65BA"/>
    <w:rsid w:val="00403831"/>
    <w:rsid w:val="00404073"/>
    <w:rsid w:val="00404C6A"/>
    <w:rsid w:val="0040529B"/>
    <w:rsid w:val="00406435"/>
    <w:rsid w:val="00406CCA"/>
    <w:rsid w:val="00410263"/>
    <w:rsid w:val="00411A71"/>
    <w:rsid w:val="00412212"/>
    <w:rsid w:val="00412D3B"/>
    <w:rsid w:val="00414CD6"/>
    <w:rsid w:val="00416521"/>
    <w:rsid w:val="00420D8C"/>
    <w:rsid w:val="00423C10"/>
    <w:rsid w:val="00424911"/>
    <w:rsid w:val="00424D61"/>
    <w:rsid w:val="00424EC2"/>
    <w:rsid w:val="00425779"/>
    <w:rsid w:val="00425B2F"/>
    <w:rsid w:val="00427677"/>
    <w:rsid w:val="00427E6D"/>
    <w:rsid w:val="00430417"/>
    <w:rsid w:val="004309E7"/>
    <w:rsid w:val="00431032"/>
    <w:rsid w:val="0043340B"/>
    <w:rsid w:val="004373F5"/>
    <w:rsid w:val="004400FA"/>
    <w:rsid w:val="00440498"/>
    <w:rsid w:val="00440C91"/>
    <w:rsid w:val="00440C98"/>
    <w:rsid w:val="00441931"/>
    <w:rsid w:val="00441E1C"/>
    <w:rsid w:val="004427D6"/>
    <w:rsid w:val="004427F9"/>
    <w:rsid w:val="00445FF8"/>
    <w:rsid w:val="004470A6"/>
    <w:rsid w:val="00447257"/>
    <w:rsid w:val="00450166"/>
    <w:rsid w:val="00452E12"/>
    <w:rsid w:val="00454B90"/>
    <w:rsid w:val="004557EB"/>
    <w:rsid w:val="0045610D"/>
    <w:rsid w:val="004561D8"/>
    <w:rsid w:val="00457173"/>
    <w:rsid w:val="00460873"/>
    <w:rsid w:val="00460CFF"/>
    <w:rsid w:val="00461573"/>
    <w:rsid w:val="004619B0"/>
    <w:rsid w:val="00461FF0"/>
    <w:rsid w:val="00461FF1"/>
    <w:rsid w:val="00464B05"/>
    <w:rsid w:val="0046722E"/>
    <w:rsid w:val="00467280"/>
    <w:rsid w:val="00467E64"/>
    <w:rsid w:val="00471293"/>
    <w:rsid w:val="00471DB9"/>
    <w:rsid w:val="004736AB"/>
    <w:rsid w:val="00482428"/>
    <w:rsid w:val="00482AB5"/>
    <w:rsid w:val="00483A9C"/>
    <w:rsid w:val="00486A37"/>
    <w:rsid w:val="00486E77"/>
    <w:rsid w:val="004944C9"/>
    <w:rsid w:val="004A0F9E"/>
    <w:rsid w:val="004A1D49"/>
    <w:rsid w:val="004A1F8F"/>
    <w:rsid w:val="004A352F"/>
    <w:rsid w:val="004A39A8"/>
    <w:rsid w:val="004A5E75"/>
    <w:rsid w:val="004A6D83"/>
    <w:rsid w:val="004B02C4"/>
    <w:rsid w:val="004B634B"/>
    <w:rsid w:val="004B69C8"/>
    <w:rsid w:val="004B76F2"/>
    <w:rsid w:val="004C05A2"/>
    <w:rsid w:val="004C0A70"/>
    <w:rsid w:val="004C1760"/>
    <w:rsid w:val="004C25B6"/>
    <w:rsid w:val="004C3749"/>
    <w:rsid w:val="004C5108"/>
    <w:rsid w:val="004C54F8"/>
    <w:rsid w:val="004C5BD6"/>
    <w:rsid w:val="004C6210"/>
    <w:rsid w:val="004D138D"/>
    <w:rsid w:val="004D1E16"/>
    <w:rsid w:val="004D63C6"/>
    <w:rsid w:val="004D6B41"/>
    <w:rsid w:val="004E1D5D"/>
    <w:rsid w:val="004E5A03"/>
    <w:rsid w:val="004E5B53"/>
    <w:rsid w:val="004E6AF4"/>
    <w:rsid w:val="004F3E84"/>
    <w:rsid w:val="004F76FA"/>
    <w:rsid w:val="004F7D9D"/>
    <w:rsid w:val="005006B4"/>
    <w:rsid w:val="00500DF7"/>
    <w:rsid w:val="00502E02"/>
    <w:rsid w:val="00503900"/>
    <w:rsid w:val="0050403B"/>
    <w:rsid w:val="00504503"/>
    <w:rsid w:val="00504517"/>
    <w:rsid w:val="00504BC2"/>
    <w:rsid w:val="0050683D"/>
    <w:rsid w:val="00506849"/>
    <w:rsid w:val="0051386E"/>
    <w:rsid w:val="005223B9"/>
    <w:rsid w:val="00522826"/>
    <w:rsid w:val="00522EBB"/>
    <w:rsid w:val="0053338C"/>
    <w:rsid w:val="0053453E"/>
    <w:rsid w:val="00535A20"/>
    <w:rsid w:val="00535CDC"/>
    <w:rsid w:val="00536E39"/>
    <w:rsid w:val="00540CEC"/>
    <w:rsid w:val="005427F1"/>
    <w:rsid w:val="005435A0"/>
    <w:rsid w:val="0054731C"/>
    <w:rsid w:val="00553479"/>
    <w:rsid w:val="00554CDD"/>
    <w:rsid w:val="0055585F"/>
    <w:rsid w:val="005577D5"/>
    <w:rsid w:val="00561B4B"/>
    <w:rsid w:val="005620A0"/>
    <w:rsid w:val="0056321A"/>
    <w:rsid w:val="00563231"/>
    <w:rsid w:val="00564958"/>
    <w:rsid w:val="005673C4"/>
    <w:rsid w:val="00570623"/>
    <w:rsid w:val="00572A97"/>
    <w:rsid w:val="00572D86"/>
    <w:rsid w:val="00572E1C"/>
    <w:rsid w:val="00573C56"/>
    <w:rsid w:val="00577520"/>
    <w:rsid w:val="005858C0"/>
    <w:rsid w:val="005877A8"/>
    <w:rsid w:val="00587B42"/>
    <w:rsid w:val="00590198"/>
    <w:rsid w:val="00590659"/>
    <w:rsid w:val="00591DD9"/>
    <w:rsid w:val="00592609"/>
    <w:rsid w:val="00595CA1"/>
    <w:rsid w:val="0059682C"/>
    <w:rsid w:val="00596C17"/>
    <w:rsid w:val="00597E26"/>
    <w:rsid w:val="005A05D8"/>
    <w:rsid w:val="005A0B2D"/>
    <w:rsid w:val="005A26A2"/>
    <w:rsid w:val="005A388F"/>
    <w:rsid w:val="005B2F5C"/>
    <w:rsid w:val="005B5656"/>
    <w:rsid w:val="005B7620"/>
    <w:rsid w:val="005C02DF"/>
    <w:rsid w:val="005C03FC"/>
    <w:rsid w:val="005C04AD"/>
    <w:rsid w:val="005C39FA"/>
    <w:rsid w:val="005C4C5D"/>
    <w:rsid w:val="005C5950"/>
    <w:rsid w:val="005C6206"/>
    <w:rsid w:val="005C79D8"/>
    <w:rsid w:val="005D1DA2"/>
    <w:rsid w:val="005D2655"/>
    <w:rsid w:val="005D376C"/>
    <w:rsid w:val="005D3BBE"/>
    <w:rsid w:val="005F062B"/>
    <w:rsid w:val="005F09A7"/>
    <w:rsid w:val="005F294D"/>
    <w:rsid w:val="005F3AF3"/>
    <w:rsid w:val="005F66B0"/>
    <w:rsid w:val="00600DD2"/>
    <w:rsid w:val="006019D2"/>
    <w:rsid w:val="00603977"/>
    <w:rsid w:val="00604A60"/>
    <w:rsid w:val="006059E7"/>
    <w:rsid w:val="00610574"/>
    <w:rsid w:val="0061646A"/>
    <w:rsid w:val="006206DA"/>
    <w:rsid w:val="00621610"/>
    <w:rsid w:val="00621B23"/>
    <w:rsid w:val="00622E27"/>
    <w:rsid w:val="00623F09"/>
    <w:rsid w:val="00624238"/>
    <w:rsid w:val="0062517E"/>
    <w:rsid w:val="006311E9"/>
    <w:rsid w:val="00631290"/>
    <w:rsid w:val="00632612"/>
    <w:rsid w:val="00632CE7"/>
    <w:rsid w:val="006339EC"/>
    <w:rsid w:val="00634171"/>
    <w:rsid w:val="00634555"/>
    <w:rsid w:val="0063459B"/>
    <w:rsid w:val="0063672B"/>
    <w:rsid w:val="00636C82"/>
    <w:rsid w:val="00637A55"/>
    <w:rsid w:val="00640E75"/>
    <w:rsid w:val="006451AF"/>
    <w:rsid w:val="0064763F"/>
    <w:rsid w:val="00647D91"/>
    <w:rsid w:val="0065083F"/>
    <w:rsid w:val="0065169C"/>
    <w:rsid w:val="006545DA"/>
    <w:rsid w:val="00656079"/>
    <w:rsid w:val="00656569"/>
    <w:rsid w:val="0065759C"/>
    <w:rsid w:val="00660AC4"/>
    <w:rsid w:val="00664297"/>
    <w:rsid w:val="00664D1E"/>
    <w:rsid w:val="00670370"/>
    <w:rsid w:val="00671D12"/>
    <w:rsid w:val="006735B0"/>
    <w:rsid w:val="006748B9"/>
    <w:rsid w:val="00675701"/>
    <w:rsid w:val="00680E95"/>
    <w:rsid w:val="0068161E"/>
    <w:rsid w:val="00694B7D"/>
    <w:rsid w:val="006965A4"/>
    <w:rsid w:val="00696BFC"/>
    <w:rsid w:val="006A2B34"/>
    <w:rsid w:val="006A480F"/>
    <w:rsid w:val="006A63DA"/>
    <w:rsid w:val="006A6877"/>
    <w:rsid w:val="006A74A7"/>
    <w:rsid w:val="006B1342"/>
    <w:rsid w:val="006B2D3F"/>
    <w:rsid w:val="006B4F43"/>
    <w:rsid w:val="006B59BA"/>
    <w:rsid w:val="006B7BE3"/>
    <w:rsid w:val="006C0C16"/>
    <w:rsid w:val="006C14B5"/>
    <w:rsid w:val="006C454D"/>
    <w:rsid w:val="006C46EA"/>
    <w:rsid w:val="006C560C"/>
    <w:rsid w:val="006D0276"/>
    <w:rsid w:val="006D1D41"/>
    <w:rsid w:val="006D239E"/>
    <w:rsid w:val="006E176B"/>
    <w:rsid w:val="006E4AB2"/>
    <w:rsid w:val="006F04B5"/>
    <w:rsid w:val="006F0F64"/>
    <w:rsid w:val="006F4DB7"/>
    <w:rsid w:val="006F6D9E"/>
    <w:rsid w:val="00702834"/>
    <w:rsid w:val="00704ADD"/>
    <w:rsid w:val="00706630"/>
    <w:rsid w:val="007066B5"/>
    <w:rsid w:val="00713B81"/>
    <w:rsid w:val="007140CC"/>
    <w:rsid w:val="00715D30"/>
    <w:rsid w:val="00721665"/>
    <w:rsid w:val="00722F39"/>
    <w:rsid w:val="007278FE"/>
    <w:rsid w:val="0073039E"/>
    <w:rsid w:val="00730E0D"/>
    <w:rsid w:val="00731752"/>
    <w:rsid w:val="00734950"/>
    <w:rsid w:val="00741A96"/>
    <w:rsid w:val="0074339B"/>
    <w:rsid w:val="00744753"/>
    <w:rsid w:val="00744E2C"/>
    <w:rsid w:val="0074758E"/>
    <w:rsid w:val="0075209C"/>
    <w:rsid w:val="007537F8"/>
    <w:rsid w:val="00756E7B"/>
    <w:rsid w:val="0076000E"/>
    <w:rsid w:val="00764290"/>
    <w:rsid w:val="00766056"/>
    <w:rsid w:val="007714C1"/>
    <w:rsid w:val="00773130"/>
    <w:rsid w:val="0077386E"/>
    <w:rsid w:val="0077538A"/>
    <w:rsid w:val="0077611D"/>
    <w:rsid w:val="00782C26"/>
    <w:rsid w:val="0078356F"/>
    <w:rsid w:val="00783876"/>
    <w:rsid w:val="00786D84"/>
    <w:rsid w:val="00790235"/>
    <w:rsid w:val="00791182"/>
    <w:rsid w:val="00796CAB"/>
    <w:rsid w:val="007A130B"/>
    <w:rsid w:val="007A57E9"/>
    <w:rsid w:val="007A5F5D"/>
    <w:rsid w:val="007A7EDC"/>
    <w:rsid w:val="007B0A55"/>
    <w:rsid w:val="007B19FA"/>
    <w:rsid w:val="007B346A"/>
    <w:rsid w:val="007B3958"/>
    <w:rsid w:val="007B4552"/>
    <w:rsid w:val="007B5F84"/>
    <w:rsid w:val="007B667C"/>
    <w:rsid w:val="007C1AD0"/>
    <w:rsid w:val="007C6662"/>
    <w:rsid w:val="007C6961"/>
    <w:rsid w:val="007C7E2C"/>
    <w:rsid w:val="007D16CE"/>
    <w:rsid w:val="007D1BDF"/>
    <w:rsid w:val="007D2FEF"/>
    <w:rsid w:val="007D3320"/>
    <w:rsid w:val="007D3456"/>
    <w:rsid w:val="007D4570"/>
    <w:rsid w:val="007D4C78"/>
    <w:rsid w:val="007D52D0"/>
    <w:rsid w:val="007D5A2D"/>
    <w:rsid w:val="007D5A8A"/>
    <w:rsid w:val="007E379E"/>
    <w:rsid w:val="007E3810"/>
    <w:rsid w:val="007E7169"/>
    <w:rsid w:val="007F1EE1"/>
    <w:rsid w:val="007F2C6E"/>
    <w:rsid w:val="007F3D56"/>
    <w:rsid w:val="007F6F2E"/>
    <w:rsid w:val="00800A8A"/>
    <w:rsid w:val="00806808"/>
    <w:rsid w:val="00806F1E"/>
    <w:rsid w:val="00807A8D"/>
    <w:rsid w:val="0081173D"/>
    <w:rsid w:val="00812878"/>
    <w:rsid w:val="00812C96"/>
    <w:rsid w:val="00813BC4"/>
    <w:rsid w:val="008160AB"/>
    <w:rsid w:val="0081664B"/>
    <w:rsid w:val="008174A4"/>
    <w:rsid w:val="00823865"/>
    <w:rsid w:val="00830BF2"/>
    <w:rsid w:val="008320A0"/>
    <w:rsid w:val="00832CAA"/>
    <w:rsid w:val="0083302E"/>
    <w:rsid w:val="008341E0"/>
    <w:rsid w:val="00835402"/>
    <w:rsid w:val="00837595"/>
    <w:rsid w:val="00841915"/>
    <w:rsid w:val="00841DF7"/>
    <w:rsid w:val="00844983"/>
    <w:rsid w:val="008519CE"/>
    <w:rsid w:val="00851AD2"/>
    <w:rsid w:val="00851D96"/>
    <w:rsid w:val="00852487"/>
    <w:rsid w:val="00854251"/>
    <w:rsid w:val="00856ADE"/>
    <w:rsid w:val="00860A38"/>
    <w:rsid w:val="00862E9C"/>
    <w:rsid w:val="0086497A"/>
    <w:rsid w:val="0087004F"/>
    <w:rsid w:val="008725AE"/>
    <w:rsid w:val="00873801"/>
    <w:rsid w:val="008743BF"/>
    <w:rsid w:val="0087571F"/>
    <w:rsid w:val="00875770"/>
    <w:rsid w:val="0087668C"/>
    <w:rsid w:val="008770C4"/>
    <w:rsid w:val="00877913"/>
    <w:rsid w:val="00877D04"/>
    <w:rsid w:val="00880466"/>
    <w:rsid w:val="00881119"/>
    <w:rsid w:val="008811A3"/>
    <w:rsid w:val="00884063"/>
    <w:rsid w:val="008858F0"/>
    <w:rsid w:val="00885D28"/>
    <w:rsid w:val="0088767B"/>
    <w:rsid w:val="008878D3"/>
    <w:rsid w:val="00896453"/>
    <w:rsid w:val="00896EC4"/>
    <w:rsid w:val="008A1968"/>
    <w:rsid w:val="008A1EC0"/>
    <w:rsid w:val="008A1F85"/>
    <w:rsid w:val="008A212F"/>
    <w:rsid w:val="008A3E25"/>
    <w:rsid w:val="008A4112"/>
    <w:rsid w:val="008A49F8"/>
    <w:rsid w:val="008A75A2"/>
    <w:rsid w:val="008A76AA"/>
    <w:rsid w:val="008B160B"/>
    <w:rsid w:val="008B33F4"/>
    <w:rsid w:val="008B5D2A"/>
    <w:rsid w:val="008B702D"/>
    <w:rsid w:val="008B74EF"/>
    <w:rsid w:val="008B7F2A"/>
    <w:rsid w:val="008C05F9"/>
    <w:rsid w:val="008C40D6"/>
    <w:rsid w:val="008C6472"/>
    <w:rsid w:val="008D15F6"/>
    <w:rsid w:val="008D2037"/>
    <w:rsid w:val="008D5499"/>
    <w:rsid w:val="008D5B13"/>
    <w:rsid w:val="008E1400"/>
    <w:rsid w:val="008E43BF"/>
    <w:rsid w:val="008E7C05"/>
    <w:rsid w:val="008F0C90"/>
    <w:rsid w:val="008F3BA3"/>
    <w:rsid w:val="008F7170"/>
    <w:rsid w:val="009040D7"/>
    <w:rsid w:val="00910CA5"/>
    <w:rsid w:val="00915FCE"/>
    <w:rsid w:val="009163A9"/>
    <w:rsid w:val="00921158"/>
    <w:rsid w:val="00921578"/>
    <w:rsid w:val="009226D0"/>
    <w:rsid w:val="00922F18"/>
    <w:rsid w:val="009235DD"/>
    <w:rsid w:val="00925D18"/>
    <w:rsid w:val="00930314"/>
    <w:rsid w:val="00933F01"/>
    <w:rsid w:val="00935FB4"/>
    <w:rsid w:val="009373E4"/>
    <w:rsid w:val="009406E2"/>
    <w:rsid w:val="00947111"/>
    <w:rsid w:val="0095159D"/>
    <w:rsid w:val="00951896"/>
    <w:rsid w:val="0096015C"/>
    <w:rsid w:val="00960CF9"/>
    <w:rsid w:val="00961FB0"/>
    <w:rsid w:val="009655B6"/>
    <w:rsid w:val="009669EB"/>
    <w:rsid w:val="00967C32"/>
    <w:rsid w:val="009707BF"/>
    <w:rsid w:val="009709F1"/>
    <w:rsid w:val="00974B01"/>
    <w:rsid w:val="009772D1"/>
    <w:rsid w:val="00977921"/>
    <w:rsid w:val="009819F5"/>
    <w:rsid w:val="009838A4"/>
    <w:rsid w:val="009846DF"/>
    <w:rsid w:val="00992BAF"/>
    <w:rsid w:val="009A05C0"/>
    <w:rsid w:val="009A3EA0"/>
    <w:rsid w:val="009A4F8E"/>
    <w:rsid w:val="009B0ED8"/>
    <w:rsid w:val="009B1E87"/>
    <w:rsid w:val="009B37F5"/>
    <w:rsid w:val="009B4275"/>
    <w:rsid w:val="009B6221"/>
    <w:rsid w:val="009B6566"/>
    <w:rsid w:val="009C18D9"/>
    <w:rsid w:val="009C2183"/>
    <w:rsid w:val="009C322C"/>
    <w:rsid w:val="009C5541"/>
    <w:rsid w:val="009D2589"/>
    <w:rsid w:val="009D49DD"/>
    <w:rsid w:val="009D4EE7"/>
    <w:rsid w:val="009D4FFD"/>
    <w:rsid w:val="009D5E15"/>
    <w:rsid w:val="009E0661"/>
    <w:rsid w:val="009E1BE2"/>
    <w:rsid w:val="009E271C"/>
    <w:rsid w:val="009E4CF3"/>
    <w:rsid w:val="009E5550"/>
    <w:rsid w:val="009E5999"/>
    <w:rsid w:val="009E5CCA"/>
    <w:rsid w:val="009E733A"/>
    <w:rsid w:val="009E751E"/>
    <w:rsid w:val="009F1FA3"/>
    <w:rsid w:val="009F6675"/>
    <w:rsid w:val="00A02C93"/>
    <w:rsid w:val="00A06523"/>
    <w:rsid w:val="00A1084D"/>
    <w:rsid w:val="00A109E2"/>
    <w:rsid w:val="00A118F0"/>
    <w:rsid w:val="00A1487E"/>
    <w:rsid w:val="00A149B3"/>
    <w:rsid w:val="00A15D5A"/>
    <w:rsid w:val="00A16E85"/>
    <w:rsid w:val="00A177FA"/>
    <w:rsid w:val="00A17EA5"/>
    <w:rsid w:val="00A21470"/>
    <w:rsid w:val="00A2395E"/>
    <w:rsid w:val="00A24103"/>
    <w:rsid w:val="00A25103"/>
    <w:rsid w:val="00A26B20"/>
    <w:rsid w:val="00A3186E"/>
    <w:rsid w:val="00A326BB"/>
    <w:rsid w:val="00A33D92"/>
    <w:rsid w:val="00A355A3"/>
    <w:rsid w:val="00A3776C"/>
    <w:rsid w:val="00A42646"/>
    <w:rsid w:val="00A44539"/>
    <w:rsid w:val="00A44B6F"/>
    <w:rsid w:val="00A45325"/>
    <w:rsid w:val="00A4634D"/>
    <w:rsid w:val="00A46939"/>
    <w:rsid w:val="00A46D34"/>
    <w:rsid w:val="00A47669"/>
    <w:rsid w:val="00A47E87"/>
    <w:rsid w:val="00A529A5"/>
    <w:rsid w:val="00A53D16"/>
    <w:rsid w:val="00A567C1"/>
    <w:rsid w:val="00A613BE"/>
    <w:rsid w:val="00A61B8E"/>
    <w:rsid w:val="00A71A62"/>
    <w:rsid w:val="00A80802"/>
    <w:rsid w:val="00A81A97"/>
    <w:rsid w:val="00A834EA"/>
    <w:rsid w:val="00A83AE0"/>
    <w:rsid w:val="00A84F73"/>
    <w:rsid w:val="00A85578"/>
    <w:rsid w:val="00A90095"/>
    <w:rsid w:val="00A90EB3"/>
    <w:rsid w:val="00A92C5E"/>
    <w:rsid w:val="00A92D5F"/>
    <w:rsid w:val="00AA2074"/>
    <w:rsid w:val="00AA28A6"/>
    <w:rsid w:val="00AA5067"/>
    <w:rsid w:val="00AA583E"/>
    <w:rsid w:val="00AB000E"/>
    <w:rsid w:val="00AB6E20"/>
    <w:rsid w:val="00AC08E3"/>
    <w:rsid w:val="00AC26AF"/>
    <w:rsid w:val="00AC574F"/>
    <w:rsid w:val="00AC6B82"/>
    <w:rsid w:val="00AC6F0D"/>
    <w:rsid w:val="00AC7734"/>
    <w:rsid w:val="00AD3BBE"/>
    <w:rsid w:val="00AD3F84"/>
    <w:rsid w:val="00AE066A"/>
    <w:rsid w:val="00AE0C57"/>
    <w:rsid w:val="00AE2AE7"/>
    <w:rsid w:val="00AE566F"/>
    <w:rsid w:val="00AE5ED9"/>
    <w:rsid w:val="00AE600C"/>
    <w:rsid w:val="00AE6319"/>
    <w:rsid w:val="00AE6EA3"/>
    <w:rsid w:val="00AF07EA"/>
    <w:rsid w:val="00AF1F3E"/>
    <w:rsid w:val="00AF2485"/>
    <w:rsid w:val="00AF25D3"/>
    <w:rsid w:val="00AF3ED0"/>
    <w:rsid w:val="00AF4EF6"/>
    <w:rsid w:val="00AF58B5"/>
    <w:rsid w:val="00AF6BE6"/>
    <w:rsid w:val="00AF758D"/>
    <w:rsid w:val="00AF7976"/>
    <w:rsid w:val="00B14EC6"/>
    <w:rsid w:val="00B15E9B"/>
    <w:rsid w:val="00B16F71"/>
    <w:rsid w:val="00B17F1C"/>
    <w:rsid w:val="00B21A47"/>
    <w:rsid w:val="00B23761"/>
    <w:rsid w:val="00B256ED"/>
    <w:rsid w:val="00B261EB"/>
    <w:rsid w:val="00B272DF"/>
    <w:rsid w:val="00B30DC2"/>
    <w:rsid w:val="00B31E71"/>
    <w:rsid w:val="00B31F82"/>
    <w:rsid w:val="00B35A3D"/>
    <w:rsid w:val="00B4000C"/>
    <w:rsid w:val="00B402E0"/>
    <w:rsid w:val="00B40BAE"/>
    <w:rsid w:val="00B4247F"/>
    <w:rsid w:val="00B451F3"/>
    <w:rsid w:val="00B472CB"/>
    <w:rsid w:val="00B473A6"/>
    <w:rsid w:val="00B474F0"/>
    <w:rsid w:val="00B50103"/>
    <w:rsid w:val="00B5108B"/>
    <w:rsid w:val="00B6071B"/>
    <w:rsid w:val="00B63EAA"/>
    <w:rsid w:val="00B66252"/>
    <w:rsid w:val="00B70879"/>
    <w:rsid w:val="00B753D5"/>
    <w:rsid w:val="00B75772"/>
    <w:rsid w:val="00B76325"/>
    <w:rsid w:val="00B77B8A"/>
    <w:rsid w:val="00B817B4"/>
    <w:rsid w:val="00B8403B"/>
    <w:rsid w:val="00B8626A"/>
    <w:rsid w:val="00B8671E"/>
    <w:rsid w:val="00B87D91"/>
    <w:rsid w:val="00B87FFD"/>
    <w:rsid w:val="00B908FE"/>
    <w:rsid w:val="00B91647"/>
    <w:rsid w:val="00B9278B"/>
    <w:rsid w:val="00B92956"/>
    <w:rsid w:val="00B929EE"/>
    <w:rsid w:val="00B95997"/>
    <w:rsid w:val="00B9678D"/>
    <w:rsid w:val="00BA1FF2"/>
    <w:rsid w:val="00BA40AA"/>
    <w:rsid w:val="00BA454B"/>
    <w:rsid w:val="00BA4A5F"/>
    <w:rsid w:val="00BA62C4"/>
    <w:rsid w:val="00BA71D7"/>
    <w:rsid w:val="00BA7D82"/>
    <w:rsid w:val="00BB03A1"/>
    <w:rsid w:val="00BB11BF"/>
    <w:rsid w:val="00BB155D"/>
    <w:rsid w:val="00BB16E2"/>
    <w:rsid w:val="00BB1AFB"/>
    <w:rsid w:val="00BB64F5"/>
    <w:rsid w:val="00BB773D"/>
    <w:rsid w:val="00BC3DD1"/>
    <w:rsid w:val="00BC408B"/>
    <w:rsid w:val="00BC4744"/>
    <w:rsid w:val="00BD53AF"/>
    <w:rsid w:val="00BD5400"/>
    <w:rsid w:val="00BD67B1"/>
    <w:rsid w:val="00BE04BD"/>
    <w:rsid w:val="00BE217C"/>
    <w:rsid w:val="00BE376F"/>
    <w:rsid w:val="00BE49BC"/>
    <w:rsid w:val="00BE56C3"/>
    <w:rsid w:val="00BE5AC5"/>
    <w:rsid w:val="00BE6A8B"/>
    <w:rsid w:val="00BE729B"/>
    <w:rsid w:val="00BF0171"/>
    <w:rsid w:val="00BF0849"/>
    <w:rsid w:val="00BF0AAC"/>
    <w:rsid w:val="00BF3A52"/>
    <w:rsid w:val="00BF40B5"/>
    <w:rsid w:val="00C012AB"/>
    <w:rsid w:val="00C039E9"/>
    <w:rsid w:val="00C047A1"/>
    <w:rsid w:val="00C04916"/>
    <w:rsid w:val="00C06EEB"/>
    <w:rsid w:val="00C0716B"/>
    <w:rsid w:val="00C10046"/>
    <w:rsid w:val="00C121DC"/>
    <w:rsid w:val="00C2184E"/>
    <w:rsid w:val="00C21864"/>
    <w:rsid w:val="00C245FD"/>
    <w:rsid w:val="00C315DE"/>
    <w:rsid w:val="00C3271F"/>
    <w:rsid w:val="00C33672"/>
    <w:rsid w:val="00C357BA"/>
    <w:rsid w:val="00C36CBD"/>
    <w:rsid w:val="00C40C39"/>
    <w:rsid w:val="00C422C8"/>
    <w:rsid w:val="00C4244D"/>
    <w:rsid w:val="00C42ECC"/>
    <w:rsid w:val="00C4533D"/>
    <w:rsid w:val="00C456E4"/>
    <w:rsid w:val="00C459FE"/>
    <w:rsid w:val="00C45AB0"/>
    <w:rsid w:val="00C5022D"/>
    <w:rsid w:val="00C52DA9"/>
    <w:rsid w:val="00C60A79"/>
    <w:rsid w:val="00C639A3"/>
    <w:rsid w:val="00C63E44"/>
    <w:rsid w:val="00C64E97"/>
    <w:rsid w:val="00C652F3"/>
    <w:rsid w:val="00C65949"/>
    <w:rsid w:val="00C67AA7"/>
    <w:rsid w:val="00C742E7"/>
    <w:rsid w:val="00C74F70"/>
    <w:rsid w:val="00C75430"/>
    <w:rsid w:val="00C77A3E"/>
    <w:rsid w:val="00C81B9B"/>
    <w:rsid w:val="00C81EE6"/>
    <w:rsid w:val="00C859C2"/>
    <w:rsid w:val="00C85AD1"/>
    <w:rsid w:val="00C901E7"/>
    <w:rsid w:val="00C90CDE"/>
    <w:rsid w:val="00C91616"/>
    <w:rsid w:val="00C92924"/>
    <w:rsid w:val="00C92B6C"/>
    <w:rsid w:val="00C93FC3"/>
    <w:rsid w:val="00CA025D"/>
    <w:rsid w:val="00CA0A6F"/>
    <w:rsid w:val="00CA3C79"/>
    <w:rsid w:val="00CA4C70"/>
    <w:rsid w:val="00CA5B9F"/>
    <w:rsid w:val="00CA602B"/>
    <w:rsid w:val="00CA6715"/>
    <w:rsid w:val="00CA6B49"/>
    <w:rsid w:val="00CB17FC"/>
    <w:rsid w:val="00CB261B"/>
    <w:rsid w:val="00CB74DA"/>
    <w:rsid w:val="00CC162B"/>
    <w:rsid w:val="00CC2E41"/>
    <w:rsid w:val="00CC36FF"/>
    <w:rsid w:val="00CC514B"/>
    <w:rsid w:val="00CC73C0"/>
    <w:rsid w:val="00CD4446"/>
    <w:rsid w:val="00CD55EF"/>
    <w:rsid w:val="00CE0248"/>
    <w:rsid w:val="00CE118A"/>
    <w:rsid w:val="00CE50CA"/>
    <w:rsid w:val="00CF0525"/>
    <w:rsid w:val="00CF3AC0"/>
    <w:rsid w:val="00D005DC"/>
    <w:rsid w:val="00D01ECA"/>
    <w:rsid w:val="00D03323"/>
    <w:rsid w:val="00D035F8"/>
    <w:rsid w:val="00D052CB"/>
    <w:rsid w:val="00D06432"/>
    <w:rsid w:val="00D0696D"/>
    <w:rsid w:val="00D12740"/>
    <w:rsid w:val="00D1649D"/>
    <w:rsid w:val="00D17DC2"/>
    <w:rsid w:val="00D214C4"/>
    <w:rsid w:val="00D217D6"/>
    <w:rsid w:val="00D22693"/>
    <w:rsid w:val="00D22BA4"/>
    <w:rsid w:val="00D2570C"/>
    <w:rsid w:val="00D266DA"/>
    <w:rsid w:val="00D271A5"/>
    <w:rsid w:val="00D30015"/>
    <w:rsid w:val="00D31659"/>
    <w:rsid w:val="00D4347B"/>
    <w:rsid w:val="00D43829"/>
    <w:rsid w:val="00D44084"/>
    <w:rsid w:val="00D46E32"/>
    <w:rsid w:val="00D47AF5"/>
    <w:rsid w:val="00D47FBE"/>
    <w:rsid w:val="00D5025C"/>
    <w:rsid w:val="00D50505"/>
    <w:rsid w:val="00D514B9"/>
    <w:rsid w:val="00D541A6"/>
    <w:rsid w:val="00D60D41"/>
    <w:rsid w:val="00D60E1E"/>
    <w:rsid w:val="00D62F9C"/>
    <w:rsid w:val="00D63768"/>
    <w:rsid w:val="00D65605"/>
    <w:rsid w:val="00D67BFF"/>
    <w:rsid w:val="00D7399D"/>
    <w:rsid w:val="00D76858"/>
    <w:rsid w:val="00D77CDD"/>
    <w:rsid w:val="00D81535"/>
    <w:rsid w:val="00D81AE0"/>
    <w:rsid w:val="00D82981"/>
    <w:rsid w:val="00D856FA"/>
    <w:rsid w:val="00D86A94"/>
    <w:rsid w:val="00D935B8"/>
    <w:rsid w:val="00D93613"/>
    <w:rsid w:val="00D950E5"/>
    <w:rsid w:val="00D961E1"/>
    <w:rsid w:val="00D97243"/>
    <w:rsid w:val="00DA694F"/>
    <w:rsid w:val="00DA7AD0"/>
    <w:rsid w:val="00DB2689"/>
    <w:rsid w:val="00DB29FC"/>
    <w:rsid w:val="00DB34E7"/>
    <w:rsid w:val="00DB3B07"/>
    <w:rsid w:val="00DB5128"/>
    <w:rsid w:val="00DB539A"/>
    <w:rsid w:val="00DB5E34"/>
    <w:rsid w:val="00DB62A7"/>
    <w:rsid w:val="00DC1A4B"/>
    <w:rsid w:val="00DC5C19"/>
    <w:rsid w:val="00DD28A2"/>
    <w:rsid w:val="00DE1D68"/>
    <w:rsid w:val="00DE26E1"/>
    <w:rsid w:val="00DE509A"/>
    <w:rsid w:val="00DE53E7"/>
    <w:rsid w:val="00DF1C85"/>
    <w:rsid w:val="00DF2409"/>
    <w:rsid w:val="00DF2AFA"/>
    <w:rsid w:val="00DF2B00"/>
    <w:rsid w:val="00DF32B3"/>
    <w:rsid w:val="00DF52D9"/>
    <w:rsid w:val="00DF5557"/>
    <w:rsid w:val="00E0001A"/>
    <w:rsid w:val="00E00151"/>
    <w:rsid w:val="00E0020B"/>
    <w:rsid w:val="00E04B28"/>
    <w:rsid w:val="00E04CC4"/>
    <w:rsid w:val="00E0538B"/>
    <w:rsid w:val="00E05458"/>
    <w:rsid w:val="00E1485F"/>
    <w:rsid w:val="00E15814"/>
    <w:rsid w:val="00E16910"/>
    <w:rsid w:val="00E17F6E"/>
    <w:rsid w:val="00E20906"/>
    <w:rsid w:val="00E25E2C"/>
    <w:rsid w:val="00E261A8"/>
    <w:rsid w:val="00E301A4"/>
    <w:rsid w:val="00E3344C"/>
    <w:rsid w:val="00E3356F"/>
    <w:rsid w:val="00E345EC"/>
    <w:rsid w:val="00E366D1"/>
    <w:rsid w:val="00E44315"/>
    <w:rsid w:val="00E4627A"/>
    <w:rsid w:val="00E4786B"/>
    <w:rsid w:val="00E51D81"/>
    <w:rsid w:val="00E52941"/>
    <w:rsid w:val="00E57611"/>
    <w:rsid w:val="00E60B81"/>
    <w:rsid w:val="00E61A3B"/>
    <w:rsid w:val="00E62391"/>
    <w:rsid w:val="00E62446"/>
    <w:rsid w:val="00E63909"/>
    <w:rsid w:val="00E644A4"/>
    <w:rsid w:val="00E645B0"/>
    <w:rsid w:val="00E64E62"/>
    <w:rsid w:val="00E66B9E"/>
    <w:rsid w:val="00E70D18"/>
    <w:rsid w:val="00E71C7F"/>
    <w:rsid w:val="00E72A8C"/>
    <w:rsid w:val="00E73D5C"/>
    <w:rsid w:val="00E73E35"/>
    <w:rsid w:val="00E80C64"/>
    <w:rsid w:val="00E81B5F"/>
    <w:rsid w:val="00E82602"/>
    <w:rsid w:val="00E830BF"/>
    <w:rsid w:val="00E8503D"/>
    <w:rsid w:val="00E851BF"/>
    <w:rsid w:val="00E864FD"/>
    <w:rsid w:val="00E867E2"/>
    <w:rsid w:val="00E87EE7"/>
    <w:rsid w:val="00E90D75"/>
    <w:rsid w:val="00E91590"/>
    <w:rsid w:val="00E9238A"/>
    <w:rsid w:val="00E932D4"/>
    <w:rsid w:val="00E969C1"/>
    <w:rsid w:val="00E97524"/>
    <w:rsid w:val="00EA01B7"/>
    <w:rsid w:val="00EA1208"/>
    <w:rsid w:val="00EA160F"/>
    <w:rsid w:val="00EA3D81"/>
    <w:rsid w:val="00EA5758"/>
    <w:rsid w:val="00EA5D0A"/>
    <w:rsid w:val="00EA7780"/>
    <w:rsid w:val="00EA7A98"/>
    <w:rsid w:val="00EB1DFE"/>
    <w:rsid w:val="00EB5C64"/>
    <w:rsid w:val="00EC309A"/>
    <w:rsid w:val="00ED040A"/>
    <w:rsid w:val="00ED28E5"/>
    <w:rsid w:val="00ED4C18"/>
    <w:rsid w:val="00ED7068"/>
    <w:rsid w:val="00ED7AF9"/>
    <w:rsid w:val="00EE0D32"/>
    <w:rsid w:val="00EE3361"/>
    <w:rsid w:val="00EE3457"/>
    <w:rsid w:val="00EE44B5"/>
    <w:rsid w:val="00EF135D"/>
    <w:rsid w:val="00EF5BDE"/>
    <w:rsid w:val="00EF63A7"/>
    <w:rsid w:val="00EF6805"/>
    <w:rsid w:val="00EF6915"/>
    <w:rsid w:val="00EF6A53"/>
    <w:rsid w:val="00F00251"/>
    <w:rsid w:val="00F0050E"/>
    <w:rsid w:val="00F03B9E"/>
    <w:rsid w:val="00F03CB2"/>
    <w:rsid w:val="00F077EE"/>
    <w:rsid w:val="00F10467"/>
    <w:rsid w:val="00F111FE"/>
    <w:rsid w:val="00F11E65"/>
    <w:rsid w:val="00F1227D"/>
    <w:rsid w:val="00F14E3B"/>
    <w:rsid w:val="00F15549"/>
    <w:rsid w:val="00F15DF2"/>
    <w:rsid w:val="00F17215"/>
    <w:rsid w:val="00F17C89"/>
    <w:rsid w:val="00F220AE"/>
    <w:rsid w:val="00F243DA"/>
    <w:rsid w:val="00F30DFB"/>
    <w:rsid w:val="00F3235F"/>
    <w:rsid w:val="00F326E0"/>
    <w:rsid w:val="00F33DB8"/>
    <w:rsid w:val="00F36C2C"/>
    <w:rsid w:val="00F36DAA"/>
    <w:rsid w:val="00F36F77"/>
    <w:rsid w:val="00F37335"/>
    <w:rsid w:val="00F37DD6"/>
    <w:rsid w:val="00F407BD"/>
    <w:rsid w:val="00F40F5C"/>
    <w:rsid w:val="00F43125"/>
    <w:rsid w:val="00F462B3"/>
    <w:rsid w:val="00F46AF1"/>
    <w:rsid w:val="00F46B6F"/>
    <w:rsid w:val="00F5449A"/>
    <w:rsid w:val="00F567ED"/>
    <w:rsid w:val="00F5784B"/>
    <w:rsid w:val="00F65294"/>
    <w:rsid w:val="00F66ECD"/>
    <w:rsid w:val="00F716C0"/>
    <w:rsid w:val="00F72EC5"/>
    <w:rsid w:val="00F74D0A"/>
    <w:rsid w:val="00F74D56"/>
    <w:rsid w:val="00F80691"/>
    <w:rsid w:val="00F82090"/>
    <w:rsid w:val="00F824EB"/>
    <w:rsid w:val="00F82D68"/>
    <w:rsid w:val="00F83438"/>
    <w:rsid w:val="00F90CA8"/>
    <w:rsid w:val="00F91AEC"/>
    <w:rsid w:val="00F94C00"/>
    <w:rsid w:val="00F97AB9"/>
    <w:rsid w:val="00FA0059"/>
    <w:rsid w:val="00FA1AE9"/>
    <w:rsid w:val="00FA22EE"/>
    <w:rsid w:val="00FA4B42"/>
    <w:rsid w:val="00FA4E15"/>
    <w:rsid w:val="00FA5D8C"/>
    <w:rsid w:val="00FA6D84"/>
    <w:rsid w:val="00FB0A2E"/>
    <w:rsid w:val="00FB1F81"/>
    <w:rsid w:val="00FC07B3"/>
    <w:rsid w:val="00FC1040"/>
    <w:rsid w:val="00FC2D43"/>
    <w:rsid w:val="00FD0A6C"/>
    <w:rsid w:val="00FD2F7A"/>
    <w:rsid w:val="00FD6B54"/>
    <w:rsid w:val="00FE5151"/>
    <w:rsid w:val="00FE5A44"/>
    <w:rsid w:val="00FF00FC"/>
    <w:rsid w:val="00FF27A5"/>
    <w:rsid w:val="00FF4827"/>
    <w:rsid w:val="01E76F64"/>
    <w:rsid w:val="023F73BB"/>
    <w:rsid w:val="02557D55"/>
    <w:rsid w:val="02BC09A8"/>
    <w:rsid w:val="032862CB"/>
    <w:rsid w:val="069C38C4"/>
    <w:rsid w:val="07014534"/>
    <w:rsid w:val="07DD06F4"/>
    <w:rsid w:val="0BAD176A"/>
    <w:rsid w:val="0CB92E16"/>
    <w:rsid w:val="102649C6"/>
    <w:rsid w:val="114D5803"/>
    <w:rsid w:val="117C5A56"/>
    <w:rsid w:val="12CB731E"/>
    <w:rsid w:val="13900BDD"/>
    <w:rsid w:val="13AF73DF"/>
    <w:rsid w:val="152E3DBA"/>
    <w:rsid w:val="1A8D57A6"/>
    <w:rsid w:val="1B292433"/>
    <w:rsid w:val="1C4E2603"/>
    <w:rsid w:val="1E6A0239"/>
    <w:rsid w:val="201C52E7"/>
    <w:rsid w:val="22CA5DFE"/>
    <w:rsid w:val="24B47989"/>
    <w:rsid w:val="25AD3140"/>
    <w:rsid w:val="25CD076B"/>
    <w:rsid w:val="25EE0915"/>
    <w:rsid w:val="26613ABB"/>
    <w:rsid w:val="26AE044E"/>
    <w:rsid w:val="27C35CAE"/>
    <w:rsid w:val="29450007"/>
    <w:rsid w:val="2AC26C2A"/>
    <w:rsid w:val="2C6D24A0"/>
    <w:rsid w:val="2CB500EA"/>
    <w:rsid w:val="2D5543B5"/>
    <w:rsid w:val="2E20143B"/>
    <w:rsid w:val="2EA47164"/>
    <w:rsid w:val="2EC83B98"/>
    <w:rsid w:val="2F8608AE"/>
    <w:rsid w:val="2FA42B41"/>
    <w:rsid w:val="316472DE"/>
    <w:rsid w:val="3216586A"/>
    <w:rsid w:val="32BA3988"/>
    <w:rsid w:val="34DD198E"/>
    <w:rsid w:val="351C04D8"/>
    <w:rsid w:val="35316DF0"/>
    <w:rsid w:val="36835F3C"/>
    <w:rsid w:val="36EA0394"/>
    <w:rsid w:val="3735177B"/>
    <w:rsid w:val="3920128B"/>
    <w:rsid w:val="39B27D33"/>
    <w:rsid w:val="3A1E48C4"/>
    <w:rsid w:val="3BC001B9"/>
    <w:rsid w:val="3C6E45E9"/>
    <w:rsid w:val="3EB167A9"/>
    <w:rsid w:val="3EF81E0B"/>
    <w:rsid w:val="3F8A50CE"/>
    <w:rsid w:val="3FE227B5"/>
    <w:rsid w:val="40041D17"/>
    <w:rsid w:val="40290972"/>
    <w:rsid w:val="40585D46"/>
    <w:rsid w:val="4100454C"/>
    <w:rsid w:val="42B93F85"/>
    <w:rsid w:val="454950E4"/>
    <w:rsid w:val="45860634"/>
    <w:rsid w:val="459501B8"/>
    <w:rsid w:val="45B06BD9"/>
    <w:rsid w:val="47DD0C84"/>
    <w:rsid w:val="48F23F8D"/>
    <w:rsid w:val="4B421F40"/>
    <w:rsid w:val="4C6B698F"/>
    <w:rsid w:val="4CCD0DE4"/>
    <w:rsid w:val="4D3A5070"/>
    <w:rsid w:val="4D7468F0"/>
    <w:rsid w:val="4DB62E8F"/>
    <w:rsid w:val="4E2956E1"/>
    <w:rsid w:val="4E353B77"/>
    <w:rsid w:val="4E5A0F42"/>
    <w:rsid w:val="4EB65811"/>
    <w:rsid w:val="4F07346A"/>
    <w:rsid w:val="4F9F1CCA"/>
    <w:rsid w:val="51404999"/>
    <w:rsid w:val="51561935"/>
    <w:rsid w:val="52021B05"/>
    <w:rsid w:val="522706E2"/>
    <w:rsid w:val="5358269B"/>
    <w:rsid w:val="53797395"/>
    <w:rsid w:val="53C55FF2"/>
    <w:rsid w:val="56867FD3"/>
    <w:rsid w:val="595F469F"/>
    <w:rsid w:val="59767FBF"/>
    <w:rsid w:val="599D481D"/>
    <w:rsid w:val="5AD060B0"/>
    <w:rsid w:val="5B21577B"/>
    <w:rsid w:val="5B2813C6"/>
    <w:rsid w:val="5B836A83"/>
    <w:rsid w:val="5B8615BC"/>
    <w:rsid w:val="5B8F46B9"/>
    <w:rsid w:val="5C29162D"/>
    <w:rsid w:val="5D372F8E"/>
    <w:rsid w:val="5D906398"/>
    <w:rsid w:val="5FB6670A"/>
    <w:rsid w:val="601112D4"/>
    <w:rsid w:val="60B94B37"/>
    <w:rsid w:val="611F7A26"/>
    <w:rsid w:val="63BE2CD0"/>
    <w:rsid w:val="6498224F"/>
    <w:rsid w:val="64DA0688"/>
    <w:rsid w:val="656410CC"/>
    <w:rsid w:val="65CE4B44"/>
    <w:rsid w:val="66165FB7"/>
    <w:rsid w:val="664A3539"/>
    <w:rsid w:val="666D5C23"/>
    <w:rsid w:val="686B595C"/>
    <w:rsid w:val="699D7EEC"/>
    <w:rsid w:val="6A117123"/>
    <w:rsid w:val="6B0C4E05"/>
    <w:rsid w:val="6C8357F6"/>
    <w:rsid w:val="6C847D37"/>
    <w:rsid w:val="6D1271FA"/>
    <w:rsid w:val="6D70360C"/>
    <w:rsid w:val="6FAA4506"/>
    <w:rsid w:val="7016177F"/>
    <w:rsid w:val="705F20BA"/>
    <w:rsid w:val="71D15664"/>
    <w:rsid w:val="732E668A"/>
    <w:rsid w:val="76744039"/>
    <w:rsid w:val="76BC0A2B"/>
    <w:rsid w:val="77EF0BAE"/>
    <w:rsid w:val="795819FE"/>
    <w:rsid w:val="799B4FEF"/>
    <w:rsid w:val="7A000E02"/>
    <w:rsid w:val="7A1B6743"/>
    <w:rsid w:val="7B9A372A"/>
    <w:rsid w:val="7C0A4972"/>
    <w:rsid w:val="7E550D58"/>
    <w:rsid w:val="7F116996"/>
    <w:rsid w:val="7F8660E5"/>
    <w:rsid w:val="7FAA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spacing w:before="70" w:beforeAutospacing="1" w:afterAutospacing="1"/>
      <w:jc w:val="center"/>
      <w:outlineLvl w:val="0"/>
    </w:pPr>
    <w:rPr>
      <w:rFonts w:hint="eastAsia" w:ascii="宋体" w:hAnsi="宋体" w:eastAsia="方正小标宋简体" w:cs="Times New Roman"/>
      <w:kern w:val="44"/>
      <w:sz w:val="44"/>
      <w:szCs w:val="48"/>
    </w:rPr>
  </w:style>
  <w:style w:type="paragraph" w:styleId="3">
    <w:name w:val="heading 2"/>
    <w:basedOn w:val="1"/>
    <w:next w:val="1"/>
    <w:link w:val="34"/>
    <w:unhideWhenUsed/>
    <w:qFormat/>
    <w:uiPriority w:val="9"/>
    <w:pPr>
      <w:jc w:val="left"/>
      <w:outlineLvl w:val="1"/>
    </w:pPr>
    <w:rPr>
      <w:rFonts w:hint="eastAsia" w:ascii="宋体" w:hAnsi="宋体" w:eastAsia="黑体" w:cs="Times New Roman"/>
      <w:kern w:val="0"/>
      <w:szCs w:val="36"/>
    </w:rPr>
  </w:style>
  <w:style w:type="paragraph" w:styleId="4">
    <w:name w:val="heading 3"/>
    <w:basedOn w:val="1"/>
    <w:next w:val="1"/>
    <w:link w:val="35"/>
    <w:unhideWhenUsed/>
    <w:qFormat/>
    <w:uiPriority w:val="9"/>
    <w:pPr>
      <w:keepNext/>
      <w:keepLines/>
      <w:spacing w:line="596" w:lineRule="exact"/>
      <w:outlineLvl w:val="2"/>
    </w:pPr>
    <w:rPr>
      <w:rFonts w:eastAsia="楷体"/>
      <w:b/>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index 5"/>
    <w:basedOn w:val="1"/>
    <w:next w:val="1"/>
    <w:qFormat/>
    <w:uiPriority w:val="0"/>
    <w:pPr>
      <w:ind w:left="1680"/>
    </w:pPr>
  </w:style>
  <w:style w:type="paragraph" w:styleId="7">
    <w:name w:val="annotation text"/>
    <w:basedOn w:val="1"/>
    <w:link w:val="38"/>
    <w:unhideWhenUsed/>
    <w:qFormat/>
    <w:uiPriority w:val="99"/>
    <w:pPr>
      <w:jc w:val="left"/>
    </w:pPr>
  </w:style>
  <w:style w:type="paragraph" w:styleId="8">
    <w:name w:val="Body Text"/>
    <w:basedOn w:val="1"/>
    <w:link w:val="36"/>
    <w:unhideWhenUsed/>
    <w:qFormat/>
    <w:uiPriority w:val="99"/>
    <w:pPr>
      <w:spacing w:after="120"/>
    </w:p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Date"/>
    <w:basedOn w:val="1"/>
    <w:next w:val="1"/>
    <w:link w:val="39"/>
    <w:unhideWhenUsed/>
    <w:qFormat/>
    <w:uiPriority w:val="99"/>
    <w:pPr>
      <w:ind w:left="100" w:leftChars="2500"/>
    </w:pPr>
  </w:style>
  <w:style w:type="paragraph" w:styleId="13">
    <w:name w:val="endnote text"/>
    <w:basedOn w:val="1"/>
    <w:link w:val="40"/>
    <w:qFormat/>
    <w:uiPriority w:val="0"/>
    <w:pPr>
      <w:snapToGrid w:val="0"/>
      <w:jc w:val="left"/>
    </w:pPr>
    <w:rPr>
      <w:rFonts w:ascii="Calibri" w:hAnsi="Calibri" w:eastAsia="宋体" w:cs="Times New Roman"/>
      <w:szCs w:val="24"/>
    </w:rPr>
  </w:style>
  <w:style w:type="paragraph" w:styleId="14">
    <w:name w:val="Balloon Text"/>
    <w:basedOn w:val="1"/>
    <w:link w:val="31"/>
    <w:qFormat/>
    <w:uiPriority w:val="99"/>
    <w:rPr>
      <w:sz w:val="18"/>
      <w:szCs w:val="18"/>
    </w:rPr>
  </w:style>
  <w:style w:type="paragraph" w:styleId="15">
    <w:name w:val="footer"/>
    <w:basedOn w:val="1"/>
    <w:link w:val="41"/>
    <w:unhideWhenUsed/>
    <w:qFormat/>
    <w:uiPriority w:val="99"/>
    <w:pPr>
      <w:tabs>
        <w:tab w:val="center" w:pos="4153"/>
        <w:tab w:val="right" w:pos="8306"/>
      </w:tabs>
      <w:snapToGrid w:val="0"/>
      <w:jc w:val="left"/>
    </w:pPr>
    <w:rPr>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footnote text"/>
    <w:basedOn w:val="1"/>
    <w:link w:val="42"/>
    <w:unhideWhenUsed/>
    <w:qFormat/>
    <w:uiPriority w:val="99"/>
    <w:pPr>
      <w:snapToGrid w:val="0"/>
      <w:jc w:val="left"/>
    </w:pPr>
    <w:rPr>
      <w:sz w:val="18"/>
      <w:szCs w:val="18"/>
    </w:r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99"/>
    <w:pPr>
      <w:spacing w:before="100" w:beforeAutospacing="1" w:after="100" w:afterAutospacing="1"/>
      <w:jc w:val="left"/>
    </w:pPr>
    <w:rPr>
      <w:rFonts w:ascii="Calibri" w:hAnsi="Calibri" w:eastAsia="宋体" w:cs="黑体"/>
      <w:kern w:val="0"/>
      <w:sz w:val="24"/>
    </w:rPr>
  </w:style>
  <w:style w:type="paragraph" w:styleId="24">
    <w:name w:val="Body Text First Indent"/>
    <w:basedOn w:val="8"/>
    <w:link w:val="37"/>
    <w:unhideWhenUsed/>
    <w:qFormat/>
    <w:uiPriority w:val="99"/>
    <w:pPr>
      <w:ind w:firstLine="420" w:firstLineChars="100"/>
    </w:pPr>
  </w:style>
  <w:style w:type="table" w:styleId="26">
    <w:name w:val="Table Grid"/>
    <w:basedOn w:val="2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Emphasis"/>
    <w:basedOn w:val="27"/>
    <w:qFormat/>
    <w:uiPriority w:val="2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批注框文本 Char"/>
    <w:basedOn w:val="27"/>
    <w:link w:val="14"/>
    <w:qFormat/>
    <w:uiPriority w:val="99"/>
    <w:rPr>
      <w:kern w:val="2"/>
      <w:sz w:val="18"/>
      <w:szCs w:val="18"/>
    </w:rPr>
  </w:style>
  <w:style w:type="character" w:customStyle="1" w:styleId="32">
    <w:name w:val="页眉 Char"/>
    <w:basedOn w:val="27"/>
    <w:link w:val="16"/>
    <w:qFormat/>
    <w:uiPriority w:val="0"/>
    <w:rPr>
      <w:kern w:val="2"/>
      <w:sz w:val="18"/>
      <w:szCs w:val="18"/>
    </w:rPr>
  </w:style>
  <w:style w:type="character" w:customStyle="1" w:styleId="33">
    <w:name w:val="标题 1 Char"/>
    <w:basedOn w:val="27"/>
    <w:link w:val="2"/>
    <w:qFormat/>
    <w:uiPriority w:val="9"/>
    <w:rPr>
      <w:rFonts w:ascii="宋体" w:hAnsi="宋体" w:eastAsia="方正小标宋简体" w:cs="Times New Roman"/>
      <w:kern w:val="44"/>
      <w:sz w:val="44"/>
      <w:szCs w:val="48"/>
    </w:rPr>
  </w:style>
  <w:style w:type="character" w:customStyle="1" w:styleId="34">
    <w:name w:val="标题 2 Char"/>
    <w:basedOn w:val="27"/>
    <w:link w:val="3"/>
    <w:qFormat/>
    <w:uiPriority w:val="9"/>
    <w:rPr>
      <w:rFonts w:ascii="宋体" w:hAnsi="宋体" w:eastAsia="黑体" w:cs="Times New Roman"/>
      <w:sz w:val="21"/>
      <w:szCs w:val="36"/>
    </w:rPr>
  </w:style>
  <w:style w:type="character" w:customStyle="1" w:styleId="35">
    <w:name w:val="标题 3 Char"/>
    <w:basedOn w:val="27"/>
    <w:link w:val="4"/>
    <w:qFormat/>
    <w:uiPriority w:val="9"/>
    <w:rPr>
      <w:rFonts w:eastAsia="楷体"/>
      <w:b/>
      <w:kern w:val="2"/>
      <w:sz w:val="21"/>
      <w:szCs w:val="22"/>
    </w:rPr>
  </w:style>
  <w:style w:type="character" w:customStyle="1" w:styleId="36">
    <w:name w:val="正文文本 Char"/>
    <w:basedOn w:val="27"/>
    <w:link w:val="8"/>
    <w:qFormat/>
    <w:uiPriority w:val="99"/>
    <w:rPr>
      <w:kern w:val="2"/>
      <w:sz w:val="21"/>
      <w:szCs w:val="22"/>
    </w:rPr>
  </w:style>
  <w:style w:type="character" w:customStyle="1" w:styleId="37">
    <w:name w:val="正文首行缩进 Char"/>
    <w:basedOn w:val="36"/>
    <w:link w:val="24"/>
    <w:qFormat/>
    <w:uiPriority w:val="99"/>
    <w:rPr>
      <w:kern w:val="2"/>
      <w:sz w:val="21"/>
      <w:szCs w:val="22"/>
    </w:rPr>
  </w:style>
  <w:style w:type="character" w:customStyle="1" w:styleId="38">
    <w:name w:val="批注文字 Char"/>
    <w:basedOn w:val="27"/>
    <w:link w:val="7"/>
    <w:qFormat/>
    <w:uiPriority w:val="99"/>
    <w:rPr>
      <w:kern w:val="2"/>
      <w:sz w:val="21"/>
      <w:szCs w:val="22"/>
    </w:rPr>
  </w:style>
  <w:style w:type="character" w:customStyle="1" w:styleId="39">
    <w:name w:val="日期 Char"/>
    <w:basedOn w:val="27"/>
    <w:link w:val="12"/>
    <w:qFormat/>
    <w:uiPriority w:val="99"/>
    <w:rPr>
      <w:kern w:val="2"/>
      <w:sz w:val="21"/>
      <w:szCs w:val="22"/>
    </w:rPr>
  </w:style>
  <w:style w:type="character" w:customStyle="1" w:styleId="40">
    <w:name w:val="尾注文本 Char"/>
    <w:basedOn w:val="27"/>
    <w:link w:val="13"/>
    <w:qFormat/>
    <w:uiPriority w:val="0"/>
    <w:rPr>
      <w:rFonts w:ascii="Calibri" w:hAnsi="Calibri" w:eastAsia="宋体" w:cs="Times New Roman"/>
      <w:kern w:val="2"/>
      <w:sz w:val="21"/>
      <w:szCs w:val="24"/>
    </w:rPr>
  </w:style>
  <w:style w:type="character" w:customStyle="1" w:styleId="41">
    <w:name w:val="页脚 Char"/>
    <w:basedOn w:val="27"/>
    <w:link w:val="15"/>
    <w:qFormat/>
    <w:uiPriority w:val="99"/>
    <w:rPr>
      <w:kern w:val="2"/>
      <w:sz w:val="18"/>
      <w:szCs w:val="18"/>
    </w:rPr>
  </w:style>
  <w:style w:type="character" w:customStyle="1" w:styleId="42">
    <w:name w:val="脚注文本 Char"/>
    <w:basedOn w:val="27"/>
    <w:link w:val="19"/>
    <w:qFormat/>
    <w:uiPriority w:val="99"/>
    <w:rPr>
      <w:kern w:val="2"/>
      <w:sz w:val="18"/>
      <w:szCs w:val="18"/>
    </w:rPr>
  </w:style>
  <w:style w:type="character" w:customStyle="1" w:styleId="43">
    <w:name w:val="NormalCharacter"/>
    <w:qFormat/>
    <w:uiPriority w:val="0"/>
    <w:rPr>
      <w:rFonts w:asciiTheme="minorHAnsi" w:hAnsiTheme="minorHAnsi" w:eastAsiaTheme="minorEastAsia" w:cstheme="minorBidi"/>
      <w:kern w:val="2"/>
      <w:sz w:val="21"/>
      <w:szCs w:val="22"/>
      <w:lang w:val="en-US" w:eastAsia="zh-CN" w:bidi="ar-SA"/>
    </w:rPr>
  </w:style>
  <w:style w:type="paragraph" w:customStyle="1" w:styleId="44">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45">
    <w:name w:val="_Style 1"/>
    <w:qFormat/>
    <w:uiPriority w:val="99"/>
    <w:pPr>
      <w:widowControl w:val="0"/>
      <w:ind w:firstLine="200" w:firstLineChars="200"/>
      <w:jc w:val="both"/>
    </w:pPr>
    <w:rPr>
      <w:rFonts w:ascii="Calibri" w:hAnsi="Calibri" w:eastAsia="仿宋_GB2312" w:cs="Times New Roman"/>
      <w:kern w:val="2"/>
      <w:sz w:val="24"/>
      <w:szCs w:val="24"/>
      <w:lang w:val="en-US" w:eastAsia="zh-CN" w:bidi="ar-SA"/>
    </w:rPr>
  </w:style>
  <w:style w:type="table" w:customStyle="1" w:styleId="46">
    <w:name w:val="网格型11"/>
    <w:basedOn w:val="2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正文文本 + 间距 0 pt"/>
    <w:basedOn w:val="27"/>
    <w:qFormat/>
    <w:uiPriority w:val="0"/>
    <w:rPr>
      <w:rFonts w:ascii="MingLiU" w:hAnsi="MingLiU" w:eastAsia="MingLiU" w:cs="MingLiU"/>
      <w:color w:val="000000"/>
      <w:spacing w:val="-10"/>
      <w:w w:val="100"/>
      <w:position w:val="0"/>
      <w:sz w:val="29"/>
      <w:szCs w:val="29"/>
      <w:u w:val="none"/>
      <w:lang w:val="zh-TW"/>
    </w:rPr>
  </w:style>
  <w:style w:type="character" w:customStyle="1" w:styleId="48">
    <w:name w:val="font41"/>
    <w:basedOn w:val="27"/>
    <w:qFormat/>
    <w:uiPriority w:val="0"/>
    <w:rPr>
      <w:rFonts w:hint="eastAsia" w:ascii="宋体" w:hAnsi="宋体" w:eastAsia="宋体" w:cs="宋体"/>
      <w:color w:val="000000"/>
      <w:sz w:val="30"/>
      <w:szCs w:val="30"/>
      <w:u w:val="none"/>
    </w:rPr>
  </w:style>
  <w:style w:type="character" w:customStyle="1" w:styleId="49">
    <w:name w:val="页脚 Char1"/>
    <w:basedOn w:val="27"/>
    <w:qFormat/>
    <w:uiPriority w:val="99"/>
    <w:rPr>
      <w:kern w:val="2"/>
      <w:sz w:val="18"/>
      <w:szCs w:val="18"/>
    </w:rPr>
  </w:style>
  <w:style w:type="paragraph" w:customStyle="1" w:styleId="50">
    <w:name w:val="列出段落1"/>
    <w:basedOn w:val="1"/>
    <w:qFormat/>
    <w:uiPriority w:val="34"/>
    <w:pPr>
      <w:ind w:firstLine="420" w:firstLineChars="200"/>
    </w:pPr>
  </w:style>
  <w:style w:type="paragraph" w:customStyle="1" w:styleId="5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页脚 字符"/>
    <w:qFormat/>
    <w:uiPriority w:val="99"/>
    <w:rPr>
      <w:rFonts w:ascii="Calibri" w:hAnsi="Calibri"/>
      <w:kern w:val="2"/>
      <w:sz w:val="18"/>
      <w:szCs w:val="18"/>
    </w:rPr>
  </w:style>
  <w:style w:type="character" w:customStyle="1" w:styleId="53">
    <w:name w:val="font51"/>
    <w:basedOn w:val="27"/>
    <w:qFormat/>
    <w:uiPriority w:val="0"/>
    <w:rPr>
      <w:rFonts w:hint="eastAsia" w:ascii="宋体" w:hAnsi="宋体" w:eastAsia="宋体" w:cs="宋体"/>
      <w:color w:val="000000"/>
      <w:sz w:val="30"/>
      <w:szCs w:val="30"/>
      <w:u w:val="none"/>
    </w:rPr>
  </w:style>
  <w:style w:type="character" w:customStyle="1" w:styleId="54">
    <w:name w:val="font91"/>
    <w:basedOn w:val="27"/>
    <w:qFormat/>
    <w:uiPriority w:val="0"/>
    <w:rPr>
      <w:rFonts w:hint="eastAsia" w:ascii="宋体" w:hAnsi="宋体" w:eastAsia="宋体" w:cs="宋体"/>
      <w:b/>
      <w:color w:val="000000"/>
      <w:sz w:val="30"/>
      <w:szCs w:val="30"/>
      <w:u w:val="none"/>
    </w:rPr>
  </w:style>
  <w:style w:type="character" w:customStyle="1" w:styleId="55">
    <w:name w:val="font31"/>
    <w:basedOn w:val="27"/>
    <w:qFormat/>
    <w:uiPriority w:val="0"/>
    <w:rPr>
      <w:rFonts w:hint="eastAsia" w:ascii="宋体" w:hAnsi="宋体" w:eastAsia="宋体" w:cs="宋体"/>
      <w:color w:val="000000"/>
      <w:sz w:val="30"/>
      <w:szCs w:val="30"/>
      <w:u w:val="single"/>
    </w:rPr>
  </w:style>
  <w:style w:type="character" w:customStyle="1" w:styleId="56">
    <w:name w:val="font61"/>
    <w:basedOn w:val="27"/>
    <w:qFormat/>
    <w:uiPriority w:val="0"/>
    <w:rPr>
      <w:rFonts w:hint="eastAsia" w:ascii="宋体" w:hAnsi="宋体" w:eastAsia="宋体" w:cs="宋体"/>
      <w:color w:val="FF0000"/>
      <w:sz w:val="30"/>
      <w:szCs w:val="30"/>
      <w:u w:val="none"/>
    </w:rPr>
  </w:style>
  <w:style w:type="character" w:customStyle="1" w:styleId="57">
    <w:name w:val="font21"/>
    <w:basedOn w:val="27"/>
    <w:qFormat/>
    <w:uiPriority w:val="0"/>
    <w:rPr>
      <w:rFonts w:hint="eastAsia" w:ascii="宋体" w:hAnsi="宋体" w:eastAsia="宋体" w:cs="宋体"/>
      <w:color w:val="FF0000"/>
      <w:sz w:val="30"/>
      <w:szCs w:val="30"/>
      <w:u w:val="single"/>
    </w:rPr>
  </w:style>
  <w:style w:type="character" w:customStyle="1" w:styleId="58">
    <w:name w:val="font71"/>
    <w:basedOn w:val="27"/>
    <w:qFormat/>
    <w:uiPriority w:val="0"/>
    <w:rPr>
      <w:rFonts w:hint="eastAsia" w:ascii="仿宋_GB2312" w:eastAsia="仿宋_GB2312" w:cs="仿宋_GB2312"/>
      <w:color w:val="000000"/>
      <w:sz w:val="32"/>
      <w:szCs w:val="32"/>
      <w:u w:val="none"/>
    </w:rPr>
  </w:style>
  <w:style w:type="character" w:customStyle="1" w:styleId="59">
    <w:name w:val="font141"/>
    <w:basedOn w:val="27"/>
    <w:qFormat/>
    <w:uiPriority w:val="0"/>
    <w:rPr>
      <w:rFonts w:hint="default" w:ascii="Times New Roman" w:hAnsi="Times New Roman" w:cs="Times New Roman"/>
      <w:color w:val="000000"/>
      <w:sz w:val="32"/>
      <w:szCs w:val="32"/>
      <w:u w:val="none"/>
    </w:rPr>
  </w:style>
  <w:style w:type="character" w:customStyle="1" w:styleId="60">
    <w:name w:val="font131"/>
    <w:basedOn w:val="27"/>
    <w:qFormat/>
    <w:uiPriority w:val="0"/>
    <w:rPr>
      <w:rFonts w:hint="eastAsia" w:ascii="仿宋_GB2312" w:eastAsia="仿宋_GB2312" w:cs="仿宋_GB2312"/>
      <w:color w:val="000000"/>
      <w:sz w:val="32"/>
      <w:szCs w:val="32"/>
      <w:u w:val="double"/>
    </w:rPr>
  </w:style>
  <w:style w:type="character" w:customStyle="1" w:styleId="61">
    <w:name w:val="font121"/>
    <w:basedOn w:val="27"/>
    <w:qFormat/>
    <w:uiPriority w:val="0"/>
    <w:rPr>
      <w:rFonts w:hint="default" w:ascii="Times New Roman" w:hAnsi="Times New Roman" w:cs="Times New Roman"/>
      <w:color w:val="000000"/>
      <w:sz w:val="32"/>
      <w:szCs w:val="32"/>
      <w:u w:val="double"/>
    </w:rPr>
  </w:style>
  <w:style w:type="character" w:customStyle="1" w:styleId="62">
    <w:name w:val="font81"/>
    <w:basedOn w:val="27"/>
    <w:qFormat/>
    <w:uiPriority w:val="0"/>
    <w:rPr>
      <w:rFonts w:hint="eastAsia" w:ascii="仿宋_GB2312" w:eastAsia="仿宋_GB2312" w:cs="仿宋_GB2312"/>
      <w:color w:val="FF0000"/>
      <w:sz w:val="32"/>
      <w:szCs w:val="32"/>
      <w:u w:val="none"/>
    </w:rPr>
  </w:style>
  <w:style w:type="character" w:customStyle="1" w:styleId="63">
    <w:name w:val="font11"/>
    <w:basedOn w:val="27"/>
    <w:qFormat/>
    <w:uiPriority w:val="0"/>
    <w:rPr>
      <w:rFonts w:hint="default" w:ascii="Times New Roman" w:hAnsi="Times New Roman" w:cs="Times New Roman"/>
      <w:color w:val="FF0000"/>
      <w:sz w:val="32"/>
      <w:szCs w:val="32"/>
      <w:u w:val="none"/>
    </w:rPr>
  </w:style>
  <w:style w:type="character" w:customStyle="1" w:styleId="64">
    <w:name w:val="font112"/>
    <w:basedOn w:val="27"/>
    <w:qFormat/>
    <w:uiPriority w:val="0"/>
    <w:rPr>
      <w:rFonts w:hint="eastAsia" w:ascii="仿宋_GB2312" w:eastAsia="仿宋_GB2312" w:cs="仿宋_GB2312"/>
      <w:color w:val="FF0000"/>
      <w:sz w:val="32"/>
      <w:szCs w:val="32"/>
      <w:u w:val="double"/>
    </w:rPr>
  </w:style>
  <w:style w:type="character" w:customStyle="1" w:styleId="65">
    <w:name w:val="font101"/>
    <w:basedOn w:val="27"/>
    <w:qFormat/>
    <w:uiPriority w:val="0"/>
    <w:rPr>
      <w:rFonts w:hint="default" w:ascii="Times New Roman" w:hAnsi="Times New Roman" w:cs="Times New Roman"/>
      <w:color w:val="FF0000"/>
      <w:sz w:val="32"/>
      <w:szCs w:val="32"/>
      <w:u w:val="double"/>
    </w:rPr>
  </w:style>
  <w:style w:type="character" w:customStyle="1" w:styleId="66">
    <w:name w:val="font01"/>
    <w:basedOn w:val="27"/>
    <w:qFormat/>
    <w:uiPriority w:val="0"/>
    <w:rPr>
      <w:rFonts w:hint="eastAsia" w:ascii="宋体" w:hAnsi="宋体" w:eastAsia="宋体" w:cs="宋体"/>
      <w:b/>
      <w:color w:val="000000"/>
      <w:sz w:val="30"/>
      <w:szCs w:val="30"/>
      <w:u w:val="none"/>
    </w:rPr>
  </w:style>
  <w:style w:type="character" w:styleId="67">
    <w:name w:val="Placeholder Text"/>
    <w:basedOn w:val="27"/>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201</Pages>
  <Words>18600</Words>
  <Characters>106026</Characters>
  <Lines>883</Lines>
  <Paragraphs>248</Paragraphs>
  <TotalTime>774</TotalTime>
  <ScaleCrop>false</ScaleCrop>
  <LinksUpToDate>false</LinksUpToDate>
  <CharactersWithSpaces>124378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2021-01-22T18:19:00Z</dcterms:created>
  <dc:creator>ZW</dc:creator>
  <cp:lastModifiedBy>greatwall</cp:lastModifiedBy>
  <cp:lastPrinted>2021-03-24T16:21:00Z</cp:lastPrinted>
  <dcterms:modified xsi:type="dcterms:W3CDTF">2023-02-27T10:39:39Z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