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outlineLvl w:val="0"/>
        <w:rPr>
          <w:rFonts w:ascii="Times New Roman" w:hAnsi="Times New Roman" w:eastAsia="黑体"/>
        </w:rPr>
      </w:pPr>
      <w:r>
        <w:rPr>
          <w:rFonts w:ascii="Times New Roman" w:hAnsi="Times New Roman" w:eastAsia="黑体"/>
        </w:rPr>
        <w:t>附件2</w:t>
      </w:r>
    </w:p>
    <w:p>
      <w:pPr>
        <w:widowControl w:val="0"/>
        <w:snapToGrid w:val="0"/>
        <w:spacing w:beforeLines="50" w:afterLines="100" w:line="600" w:lineRule="exact"/>
        <w:jc w:val="center"/>
        <w:outlineLvl w:val="0"/>
        <w:rPr>
          <w:rFonts w:ascii="Times New Roman" w:hAnsi="Times New Roman" w:eastAsia="方正小标宋简体"/>
          <w:sz w:val="44"/>
          <w:szCs w:val="44"/>
        </w:rPr>
      </w:pPr>
      <w:bookmarkStart w:id="0" w:name="_GoBack"/>
      <w:r>
        <w:rPr>
          <w:rFonts w:ascii="Times New Roman" w:hAnsi="Times New Roman" w:eastAsia="方正小标宋简体"/>
          <w:sz w:val="44"/>
          <w:szCs w:val="44"/>
        </w:rPr>
        <w:t>服务业扩能提质重点任务清单</w:t>
      </w:r>
    </w:p>
    <w:bookmarkEnd w:id="0"/>
    <w:tbl>
      <w:tblPr>
        <w:tblStyle w:val="8"/>
        <w:tblW w:w="0" w:type="auto"/>
        <w:jc w:val="center"/>
        <w:tblLayout w:type="fixed"/>
        <w:tblCellMar>
          <w:top w:w="0" w:type="dxa"/>
          <w:left w:w="108" w:type="dxa"/>
          <w:bottom w:w="0" w:type="dxa"/>
          <w:right w:w="108" w:type="dxa"/>
        </w:tblCellMar>
      </w:tblPr>
      <w:tblGrid>
        <w:gridCol w:w="671"/>
        <w:gridCol w:w="5752"/>
        <w:gridCol w:w="2670"/>
      </w:tblGrid>
      <w:tr>
        <w:tblPrEx>
          <w:tblCellMar>
            <w:top w:w="0" w:type="dxa"/>
            <w:left w:w="108" w:type="dxa"/>
            <w:bottom w:w="0" w:type="dxa"/>
            <w:right w:w="108" w:type="dxa"/>
          </w:tblCellMar>
        </w:tblPrEx>
        <w:trPr>
          <w:trHeight w:val="850" w:hRule="atLeast"/>
          <w:tblHeader/>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黑体" w:hAnsi="黑体" w:eastAsia="黑体" w:cs="黑体"/>
                <w:sz w:val="28"/>
                <w:szCs w:val="28"/>
              </w:rPr>
            </w:pPr>
            <w:r>
              <w:rPr>
                <w:rFonts w:hint="eastAsia" w:ascii="黑体" w:hAnsi="黑体" w:eastAsia="黑体" w:cs="黑体"/>
                <w:sz w:val="28"/>
                <w:szCs w:val="28"/>
              </w:rPr>
              <w:t>序号</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黑体" w:hAnsi="黑体" w:eastAsia="黑体" w:cs="黑体"/>
                <w:sz w:val="28"/>
                <w:szCs w:val="28"/>
              </w:rPr>
            </w:pPr>
            <w:r>
              <w:rPr>
                <w:rFonts w:hint="eastAsia" w:ascii="黑体" w:hAnsi="黑体" w:eastAsia="黑体" w:cs="黑体"/>
                <w:sz w:val="28"/>
                <w:szCs w:val="28"/>
              </w:rPr>
              <w:t>重点任务</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黑体" w:hAnsi="黑体" w:eastAsia="黑体" w:cs="黑体"/>
                <w:sz w:val="28"/>
                <w:szCs w:val="28"/>
              </w:rPr>
            </w:pPr>
            <w:r>
              <w:rPr>
                <w:rFonts w:hint="eastAsia" w:ascii="黑体" w:hAnsi="黑体" w:eastAsia="黑体" w:cs="黑体"/>
                <w:sz w:val="28"/>
                <w:szCs w:val="28"/>
              </w:rPr>
              <w:t>责任单位（排第一</w:t>
            </w:r>
          </w:p>
          <w:p>
            <w:pPr>
              <w:adjustRightInd w:val="0"/>
              <w:snapToGrid w:val="0"/>
              <w:jc w:val="center"/>
              <w:textAlignment w:val="center"/>
              <w:rPr>
                <w:rFonts w:ascii="黑体" w:hAnsi="黑体" w:eastAsia="黑体" w:cs="黑体"/>
                <w:sz w:val="28"/>
                <w:szCs w:val="28"/>
              </w:rPr>
            </w:pPr>
            <w:r>
              <w:rPr>
                <w:rFonts w:hint="eastAsia" w:ascii="黑体" w:hAnsi="黑体" w:eastAsia="黑体" w:cs="黑体"/>
                <w:sz w:val="28"/>
                <w:szCs w:val="28"/>
              </w:rPr>
              <w:t>的为牵头单位）</w:t>
            </w:r>
          </w:p>
        </w:tc>
      </w:tr>
      <w:tr>
        <w:tblPrEx>
          <w:tblCellMar>
            <w:top w:w="0" w:type="dxa"/>
            <w:left w:w="108" w:type="dxa"/>
            <w:bottom w:w="0" w:type="dxa"/>
            <w:right w:w="108" w:type="dxa"/>
          </w:tblCellMar>
        </w:tblPrEx>
        <w:trPr>
          <w:trHeight w:val="567" w:hRule="atLeast"/>
          <w:jc w:val="center"/>
        </w:trPr>
        <w:tc>
          <w:tcPr>
            <w:tcW w:w="9093" w:type="dxa"/>
            <w:gridSpan w:val="3"/>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textAlignment w:val="center"/>
              <w:rPr>
                <w:rFonts w:ascii="黑体" w:hAnsi="黑体" w:eastAsia="黑体" w:cs="黑体"/>
                <w:sz w:val="28"/>
                <w:szCs w:val="28"/>
              </w:rPr>
            </w:pPr>
            <w:r>
              <w:rPr>
                <w:rFonts w:hint="eastAsia" w:ascii="黑体" w:hAnsi="黑体" w:eastAsia="黑体" w:cs="黑体"/>
                <w:sz w:val="28"/>
                <w:szCs w:val="28"/>
              </w:rPr>
              <w:t>生产性服务业</w:t>
            </w:r>
          </w:p>
        </w:tc>
      </w:tr>
      <w:tr>
        <w:tblPrEx>
          <w:tblCellMar>
            <w:top w:w="0" w:type="dxa"/>
            <w:left w:w="108" w:type="dxa"/>
            <w:bottom w:w="0" w:type="dxa"/>
            <w:right w:w="108" w:type="dxa"/>
          </w:tblCellMar>
        </w:tblPrEx>
        <w:trPr>
          <w:trHeight w:val="56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1</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布局建设</w:t>
            </w:r>
            <w:r>
              <w:rPr>
                <w:rFonts w:hint="eastAsia" w:ascii="Times New Roman" w:hAnsi="Times New Roman" w:eastAsia="仿宋_GB2312" w:cs="仿宋_GB2312"/>
                <w:sz w:val="28"/>
                <w:szCs w:val="28"/>
              </w:rPr>
              <w:t>30</w:t>
            </w:r>
            <w:r>
              <w:rPr>
                <w:rFonts w:hint="eastAsia" w:ascii="仿宋_GB2312" w:hAnsi="仿宋_GB2312" w:eastAsia="仿宋_GB2312" w:cs="仿宋_GB2312"/>
                <w:sz w:val="28"/>
                <w:szCs w:val="28"/>
              </w:rPr>
              <w:t>家概念验证中心。</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tc>
      </w:tr>
      <w:tr>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2</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pacing w:val="-4"/>
                <w:sz w:val="28"/>
                <w:szCs w:val="28"/>
              </w:rPr>
              <w:t>布局建设</w:t>
            </w:r>
            <w:r>
              <w:rPr>
                <w:rFonts w:hint="eastAsia" w:ascii="Times New Roman" w:hAnsi="Times New Roman" w:eastAsia="仿宋_GB2312" w:cs="仿宋_GB2312"/>
                <w:spacing w:val="-4"/>
                <w:sz w:val="28"/>
                <w:szCs w:val="28"/>
              </w:rPr>
              <w:t>100</w:t>
            </w:r>
            <w:r>
              <w:rPr>
                <w:rFonts w:hint="eastAsia" w:ascii="仿宋_GB2312" w:hAnsi="仿宋_GB2312" w:eastAsia="仿宋_GB2312" w:cs="仿宋_GB2312"/>
                <w:spacing w:val="-4"/>
                <w:sz w:val="28"/>
                <w:szCs w:val="28"/>
              </w:rPr>
              <w:t>家中试验证基地和共性技术平台。</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3</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实施场景驱动创新工程，打造</w:t>
            </w:r>
            <w:r>
              <w:rPr>
                <w:rFonts w:hint="eastAsia" w:ascii="Times New Roman" w:hAnsi="Times New Roman" w:eastAsia="仿宋_GB2312" w:cs="仿宋_GB2312"/>
                <w:sz w:val="28"/>
                <w:szCs w:val="28"/>
              </w:rPr>
              <w:t>200</w:t>
            </w:r>
            <w:r>
              <w:rPr>
                <w:rFonts w:hint="eastAsia" w:ascii="仿宋_GB2312" w:hAnsi="仿宋_GB2312" w:eastAsia="仿宋_GB2312" w:cs="仿宋_GB2312"/>
                <w:sz w:val="28"/>
                <w:szCs w:val="28"/>
              </w:rPr>
              <w:t>个典型应用场景。</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4</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kern w:val="2"/>
                <w:sz w:val="28"/>
                <w:szCs w:val="28"/>
              </w:rPr>
            </w:pPr>
            <w:r>
              <w:rPr>
                <w:rFonts w:hint="eastAsia" w:ascii="仿宋_GB2312" w:hAnsi="仿宋_GB2312" w:eastAsia="仿宋_GB2312" w:cs="仿宋_GB2312"/>
                <w:sz w:val="28"/>
                <w:szCs w:val="28"/>
              </w:rPr>
              <w:t>优化完善科技成果进场交易平台，积极创建国家科技成果转移转化示范区。</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仿宋_GB2312" w:hAnsi="仿宋_GB2312" w:eastAsia="仿宋_GB2312" w:cs="仿宋_GB2312"/>
                <w:sz w:val="28"/>
                <w:szCs w:val="28"/>
              </w:rPr>
              <w:t>省科技厅</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5</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加快建设国家级产业知识产权运营中心和国家技术转移人才培养基地(湖南)。</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省市场监管局</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6</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梯度培育一批质量标准实验室、产业计量测试中心、质检中心等高能级平台。</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省市场监管局</w:t>
            </w:r>
          </w:p>
        </w:tc>
      </w:tr>
      <w:tr>
        <w:tblPrEx>
          <w:tblCellMar>
            <w:top w:w="0" w:type="dxa"/>
            <w:left w:w="108" w:type="dxa"/>
            <w:bottom w:w="0" w:type="dxa"/>
            <w:right w:w="108" w:type="dxa"/>
          </w:tblCellMar>
        </w:tblPrEx>
        <w:trPr>
          <w:trHeight w:val="198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7</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统筹推进算力资源优化布局，力争到</w:t>
            </w:r>
            <w:r>
              <w:rPr>
                <w:rFonts w:hint="eastAsia" w:ascii="Times New Roman" w:hAnsi="Times New Roman" w:eastAsia="仿宋_GB2312" w:cs="仿宋_GB2312"/>
                <w:sz w:val="28"/>
                <w:szCs w:val="28"/>
              </w:rPr>
              <w:t>2028</w:t>
            </w:r>
            <w:r>
              <w:rPr>
                <w:rFonts w:hint="eastAsia" w:ascii="仿宋_GB2312" w:hAnsi="仿宋_GB2312" w:eastAsia="仿宋_GB2312" w:cs="仿宋_GB2312"/>
                <w:sz w:val="28"/>
                <w:szCs w:val="28"/>
              </w:rPr>
              <w:t>年全省智能算力规模达到</w:t>
            </w:r>
            <w:r>
              <w:rPr>
                <w:rFonts w:hint="eastAsia" w:ascii="Times New Roman" w:hAnsi="Times New Roman" w:eastAsia="仿宋_GB2312" w:cs="仿宋_GB2312"/>
                <w:sz w:val="28"/>
                <w:szCs w:val="28"/>
              </w:rPr>
              <w:t>8EFLOPS</w:t>
            </w:r>
            <w:r>
              <w:rPr>
                <w:rFonts w:hint="eastAsia" w:ascii="仿宋_GB2312" w:hAnsi="仿宋_GB2312" w:eastAsia="仿宋_GB2312" w:cs="仿宋_GB2312"/>
                <w:sz w:val="28"/>
                <w:szCs w:val="28"/>
              </w:rPr>
              <w:t>。</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省数据局</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省通信管理局</w:t>
            </w:r>
          </w:p>
        </w:tc>
      </w:tr>
      <w:tr>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8</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加快人工智能大模型、智能体等技术落地应用，培育一批行业大模型、人工智能应用服务商和示范场景。</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省科技厅</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9</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大力发展基础软件、工业软件，打造具有核心竞争力的数字产业集群。</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10</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大力推动企业上云、上平台，培育一批面</w:t>
            </w:r>
            <w:r>
              <w:rPr>
                <w:rFonts w:hint="eastAsia" w:ascii="仿宋_GB2312" w:hAnsi="仿宋_GB2312" w:eastAsia="仿宋_GB2312" w:cs="仿宋_GB2312"/>
                <w:spacing w:val="-4"/>
                <w:sz w:val="28"/>
                <w:szCs w:val="28"/>
              </w:rPr>
              <w:t>向全国输出服务的工业软件和数字化服务企业。</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11</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支持建设长株潭产业互联网平台，培育一</w:t>
            </w:r>
            <w:r>
              <w:rPr>
                <w:rFonts w:hint="eastAsia" w:ascii="仿宋_GB2312" w:hAnsi="仿宋_GB2312" w:eastAsia="仿宋_GB2312" w:cs="仿宋_GB2312"/>
                <w:spacing w:val="-4"/>
                <w:sz w:val="28"/>
                <w:szCs w:val="28"/>
              </w:rPr>
              <w:t>批具有湖南特色和竞争优势的产业互联网企业。</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12</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积极推进重点行业能效诊断，完善省重点用能单位能耗在线监测系统。</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tblPrEx>
          <w:tblCellMar>
            <w:top w:w="0" w:type="dxa"/>
            <w:left w:w="108" w:type="dxa"/>
            <w:bottom w:w="0" w:type="dxa"/>
            <w:right w:w="108" w:type="dxa"/>
          </w:tblCellMar>
        </w:tblPrEx>
        <w:trPr>
          <w:trHeight w:val="1709" w:hRule="exac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13</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开展公共机构和大型公共建筑节能降碳改造；实施零碳工厂、零碳园区培育计划，到</w:t>
            </w:r>
            <w:r>
              <w:rPr>
                <w:rFonts w:hint="eastAsia" w:ascii="Times New Roman" w:hAnsi="Times New Roman" w:eastAsia="仿宋_GB2312" w:cs="仿宋_GB2312"/>
                <w:sz w:val="28"/>
                <w:szCs w:val="28"/>
              </w:rPr>
              <w:t>2028</w:t>
            </w:r>
            <w:r>
              <w:rPr>
                <w:rFonts w:hint="eastAsia" w:ascii="仿宋_GB2312" w:hAnsi="仿宋_GB2312" w:eastAsia="仿宋_GB2312" w:cs="仿宋_GB2312"/>
                <w:sz w:val="28"/>
                <w:szCs w:val="28"/>
              </w:rPr>
              <w:t>年力争建成</w:t>
            </w:r>
            <w:r>
              <w:rPr>
                <w:rFonts w:hint="eastAsia" w:ascii="Times New Roman" w:hAnsi="Times New Roman" w:eastAsia="仿宋_GB2312" w:cs="仿宋_GB2312"/>
                <w:sz w:val="28"/>
                <w:szCs w:val="28"/>
              </w:rPr>
              <w:t>1</w:t>
            </w:r>
            <w:r>
              <w:rPr>
                <w:rFonts w:hint="eastAsia" w:ascii="仿宋_GB2312" w:hAnsi="仿宋_GB2312" w:eastAsia="仿宋_GB2312" w:cs="仿宋_GB2312"/>
                <w:sz w:val="28"/>
                <w:szCs w:val="28"/>
              </w:rPr>
              <w:t>—</w:t>
            </w:r>
            <w:r>
              <w:rPr>
                <w:rFonts w:hint="eastAsia" w:ascii="Times New Roman" w:hAnsi="Times New Roman" w:eastAsia="仿宋_GB2312" w:cs="仿宋_GB2312"/>
                <w:sz w:val="28"/>
                <w:szCs w:val="28"/>
              </w:rPr>
              <w:t>2</w:t>
            </w:r>
            <w:r>
              <w:rPr>
                <w:rFonts w:hint="eastAsia" w:ascii="仿宋_GB2312" w:hAnsi="仿宋_GB2312" w:eastAsia="仿宋_GB2312" w:cs="仿宋_GB2312"/>
                <w:sz w:val="28"/>
                <w:szCs w:val="28"/>
              </w:rPr>
              <w:t>家零碳园区和一批零碳工厂。</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省生态环境厅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省机关事务局</w:t>
            </w:r>
          </w:p>
        </w:tc>
      </w:tr>
      <w:tr>
        <w:tblPrEx>
          <w:tblCellMar>
            <w:top w:w="0" w:type="dxa"/>
            <w:left w:w="108" w:type="dxa"/>
            <w:bottom w:w="0" w:type="dxa"/>
            <w:right w:w="108" w:type="dxa"/>
          </w:tblCellMar>
        </w:tblPrEx>
        <w:trPr>
          <w:trHeight w:val="2010" w:hRule="exac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14</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合理布局再生资源回收网点，健全“换新+回收”物流体系。支持重点行业发展再制造服务。</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省生态环境厅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省商务厅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省住房城乡建设厅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省市场监管局</w:t>
            </w:r>
          </w:p>
        </w:tc>
      </w:tr>
      <w:tr>
        <w:tblPrEx>
          <w:tblCellMar>
            <w:top w:w="0" w:type="dxa"/>
            <w:left w:w="108" w:type="dxa"/>
            <w:bottom w:w="0" w:type="dxa"/>
            <w:right w:w="108" w:type="dxa"/>
          </w:tblCellMar>
        </w:tblPrEx>
        <w:trPr>
          <w:trHeight w:val="1605" w:hRule="exac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15</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积极发展科技金融、绿色金融、普惠金融、养老金融、数字金融等。</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省委金融办</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人民银行湖南省分行</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湖南金融监管局</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湖南证监局</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16</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全力打造具有湖南标识度的金芙蓉基金矩阵。</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省财政厅</w:t>
            </w:r>
          </w:p>
        </w:tc>
      </w:tr>
      <w:tr>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17</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36"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培育“疆煤入湘”“北粮南运”“湘品出海”等铁水联运精品线路，扩大“一单制”“一箱制”试点。</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省交通运输厅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18</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搭建全省物流信息平台，鼓励发展智慧物流、无人物流、低空物流等创新模式。</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省交通运输厅</w:t>
            </w:r>
          </w:p>
        </w:tc>
      </w:tr>
      <w:tr>
        <w:tblPrEx>
          <w:tblCellMar>
            <w:top w:w="0" w:type="dxa"/>
            <w:left w:w="108" w:type="dxa"/>
            <w:bottom w:w="0" w:type="dxa"/>
            <w:right w:w="108" w:type="dxa"/>
          </w:tblCellMar>
        </w:tblPrEx>
        <w:trPr>
          <w:trHeight w:val="1654" w:hRule="exac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19</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加快建设长株潭都市圈快捷物流配送体系；健全县乡村三级物流配送体系，加快交通、物流、商贸、邮政、供销等设施共建共享，推动农村客货邮融合发展。</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省交通运输厅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省邮政管理局</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20</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深化与国内头部平台合作，鼓励在湘设立研发中心、运营中心、结算中心等。</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省商务厅</w:t>
            </w:r>
          </w:p>
        </w:tc>
      </w:tr>
      <w:tr>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21</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发展“跨境电商+产业带”模式，积极培育进口型供应链“链主”企业、出口型第三方服务平台。</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省商务厅</w:t>
            </w:r>
          </w:p>
        </w:tc>
      </w:tr>
      <w:tr>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22</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加大人力资源服务产业园、专业性人才市场等服务平台建设；打造“湖湘工匠”人力资源品牌。</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省人力资源社会</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保障厅</w:t>
            </w:r>
          </w:p>
        </w:tc>
      </w:tr>
      <w:tr>
        <w:tblPrEx>
          <w:tblCellMar>
            <w:top w:w="0" w:type="dxa"/>
            <w:left w:w="108" w:type="dxa"/>
            <w:bottom w:w="0" w:type="dxa"/>
            <w:right w:w="108" w:type="dxa"/>
          </w:tblCellMar>
        </w:tblPrEx>
        <w:trPr>
          <w:trHeight w:val="850"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23</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36"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深入实施“智赋万企”“人工智能+”行动。</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省工业和信息化厅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24</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深入实施“数据要素×”行动，培育壮大专业化数据服务机构，推动公共数据、产业数据依法合规开发利用。</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省数据局</w:t>
            </w:r>
          </w:p>
        </w:tc>
      </w:tr>
      <w:tr>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25</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持续开展“两业融合共进”行动；扎实推进国家级“两业融合”区域试点工作，建成省级“两业融合”试点单位</w:t>
            </w:r>
            <w:r>
              <w:rPr>
                <w:rFonts w:hint="eastAsia" w:ascii="Times New Roman" w:hAnsi="Times New Roman" w:eastAsia="仿宋_GB2312" w:cs="仿宋_GB2312"/>
                <w:sz w:val="28"/>
                <w:szCs w:val="28"/>
              </w:rPr>
              <w:t>500</w:t>
            </w:r>
            <w:r>
              <w:rPr>
                <w:rFonts w:hint="eastAsia" w:ascii="仿宋_GB2312" w:hAnsi="仿宋_GB2312" w:eastAsia="仿宋_GB2312" w:cs="仿宋_GB2312"/>
                <w:sz w:val="28"/>
                <w:szCs w:val="28"/>
              </w:rPr>
              <w:t>家以上。</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tblPrEx>
          <w:tblCellMar>
            <w:top w:w="0" w:type="dxa"/>
            <w:left w:w="108" w:type="dxa"/>
            <w:bottom w:w="0" w:type="dxa"/>
            <w:right w:w="108" w:type="dxa"/>
          </w:tblCellMar>
        </w:tblPrEx>
        <w:trPr>
          <w:trHeight w:val="23"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26</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开展省级服务业标准化试点，推出一批具有引领性的地方标准和行业标准。建立健全品牌管理体系，打造具有较强影响力的“湖湘服务”品牌。</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省市场监管局及相关行业主管部门</w:t>
            </w:r>
          </w:p>
        </w:tc>
      </w:tr>
      <w:tr>
        <w:tblPrEx>
          <w:tblCellMar>
            <w:top w:w="0" w:type="dxa"/>
            <w:left w:w="108" w:type="dxa"/>
            <w:bottom w:w="0" w:type="dxa"/>
            <w:right w:w="108" w:type="dxa"/>
          </w:tblCellMar>
        </w:tblPrEx>
        <w:trPr>
          <w:trHeight w:val="1247" w:hRule="atLeast"/>
          <w:jc w:val="center"/>
        </w:trPr>
        <w:tc>
          <w:tcPr>
            <w:tcW w:w="671"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27</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推进湖南自贸试验区制度创新，完善服务贸易便利化政策；推动跨境电商综试区扩围升级。</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省商务厅</w:t>
            </w:r>
          </w:p>
        </w:tc>
      </w:tr>
      <w:tr>
        <w:tblPrEx>
          <w:tblCellMar>
            <w:top w:w="0" w:type="dxa"/>
            <w:left w:w="108" w:type="dxa"/>
            <w:bottom w:w="0" w:type="dxa"/>
            <w:right w:w="108" w:type="dxa"/>
          </w:tblCellMar>
        </w:tblPrEx>
        <w:trPr>
          <w:trHeight w:val="567" w:hRule="atLeast"/>
          <w:jc w:val="center"/>
        </w:trPr>
        <w:tc>
          <w:tcPr>
            <w:tcW w:w="9093" w:type="dxa"/>
            <w:gridSpan w:val="3"/>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textAlignment w:val="center"/>
              <w:rPr>
                <w:rFonts w:ascii="黑体" w:hAnsi="黑体" w:eastAsia="黑体" w:cs="黑体"/>
                <w:sz w:val="28"/>
                <w:szCs w:val="28"/>
              </w:rPr>
            </w:pPr>
            <w:r>
              <w:rPr>
                <w:rFonts w:hint="eastAsia" w:ascii="黑体" w:hAnsi="黑体" w:eastAsia="黑体" w:cs="黑体"/>
                <w:sz w:val="28"/>
                <w:szCs w:val="28"/>
              </w:rPr>
              <w:t>生活性服务业</w:t>
            </w:r>
          </w:p>
        </w:tc>
      </w:tr>
      <w:tr>
        <w:tblPrEx>
          <w:tblCellMar>
            <w:top w:w="0" w:type="dxa"/>
            <w:left w:w="108" w:type="dxa"/>
            <w:bottom w:w="0" w:type="dxa"/>
            <w:right w:w="108" w:type="dxa"/>
          </w:tblCellMar>
        </w:tblPrEx>
        <w:trPr>
          <w:trHeight w:val="124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28</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推进嵌入式养老服务综合体建设，发展“物业+”“家政+”等新型养老服务模式，打造“三湘怡养”养老服务品牌。</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省民政厅</w:t>
            </w:r>
          </w:p>
        </w:tc>
      </w:tr>
      <w:tr>
        <w:tblPrEx>
          <w:tblCellMar>
            <w:top w:w="0" w:type="dxa"/>
            <w:left w:w="108" w:type="dxa"/>
            <w:bottom w:w="0" w:type="dxa"/>
            <w:right w:w="108" w:type="dxa"/>
          </w:tblCellMar>
        </w:tblPrEx>
        <w:trPr>
          <w:trHeight w:val="850"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29</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加强社区嵌入式托育服务网络建设，提供多种形式的托育服务，打造托育服务湖南品牌。</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省卫生健康委</w:t>
            </w:r>
          </w:p>
        </w:tc>
      </w:tr>
      <w:tr>
        <w:tblPrEx>
          <w:tblCellMar>
            <w:top w:w="0" w:type="dxa"/>
            <w:left w:w="108" w:type="dxa"/>
            <w:bottom w:w="0" w:type="dxa"/>
            <w:right w:w="108" w:type="dxa"/>
          </w:tblCellMar>
        </w:tblPrEx>
        <w:trPr>
          <w:trHeight w:val="124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30</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实施家政服务职业技能专项培训行动，开展家政服务制度和模式创新，打造家政服务区域品牌。</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省商务厅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省人力资源社会</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保障厅</w:t>
            </w:r>
          </w:p>
        </w:tc>
      </w:tr>
      <w:tr>
        <w:tblPrEx>
          <w:tblCellMar>
            <w:top w:w="0" w:type="dxa"/>
            <w:left w:w="108" w:type="dxa"/>
            <w:bottom w:w="0" w:type="dxa"/>
            <w:right w:w="108" w:type="dxa"/>
          </w:tblCellMar>
        </w:tblPrEx>
        <w:trPr>
          <w:trHeight w:val="124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31</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实施存量项目和传统景区焕新工程，打造一批高品质旅游景区景点；推进全省数智文旅“一张网”建设。</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w:t>
            </w:r>
          </w:p>
        </w:tc>
      </w:tr>
      <w:tr>
        <w:tblPrEx>
          <w:tblCellMar>
            <w:top w:w="0" w:type="dxa"/>
            <w:left w:w="108" w:type="dxa"/>
            <w:bottom w:w="0" w:type="dxa"/>
            <w:right w:w="108" w:type="dxa"/>
          </w:tblCellMar>
        </w:tblPrEx>
        <w:trPr>
          <w:trHeight w:val="850"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32</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打造“大张家界”国际旅游区。</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w:t>
            </w:r>
          </w:p>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省发展改革委</w:t>
            </w:r>
          </w:p>
        </w:tc>
      </w:tr>
      <w:tr>
        <w:tblPrEx>
          <w:tblCellMar>
            <w:top w:w="0" w:type="dxa"/>
            <w:left w:w="108" w:type="dxa"/>
            <w:bottom w:w="0" w:type="dxa"/>
            <w:right w:w="108" w:type="dxa"/>
          </w:tblCellMar>
        </w:tblPrEx>
        <w:trPr>
          <w:trHeight w:val="124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33</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大力发展音视频（微短剧）、动漫电竞、数字演艺、数字出版、数字文博等数字文化产业，支持长沙打造“电竞之都”。</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w:t>
            </w:r>
          </w:p>
        </w:tc>
      </w:tr>
      <w:tr>
        <w:tblPrEx>
          <w:tblCellMar>
            <w:top w:w="0" w:type="dxa"/>
            <w:left w:w="108" w:type="dxa"/>
            <w:bottom w:w="0" w:type="dxa"/>
            <w:right w:w="108" w:type="dxa"/>
          </w:tblCellMar>
        </w:tblPrEx>
        <w:trPr>
          <w:trHeight w:val="124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34</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高质量办好“湘超”“龙超”“村</w:t>
            </w:r>
            <w:r>
              <w:rPr>
                <w:rFonts w:hint="eastAsia" w:ascii="Times New Roman" w:hAnsi="Times New Roman" w:eastAsia="仿宋_GB2312" w:cs="仿宋_GB2312"/>
                <w:sz w:val="28"/>
                <w:szCs w:val="28"/>
              </w:rPr>
              <w:t>BA</w:t>
            </w:r>
            <w:r>
              <w:rPr>
                <w:rFonts w:hint="eastAsia" w:ascii="仿宋_GB2312" w:hAnsi="仿宋_GB2312" w:eastAsia="仿宋_GB2312" w:cs="仿宋_GB2312"/>
                <w:sz w:val="28"/>
                <w:szCs w:val="28"/>
              </w:rPr>
              <w:t>”等湖南特色体育赛事，积极培育湘江马拉松、环洞庭湖骑行等品牌赛事。</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省体育局</w:t>
            </w:r>
          </w:p>
        </w:tc>
      </w:tr>
      <w:tr>
        <w:tblPrEx>
          <w:tblCellMar>
            <w:top w:w="0" w:type="dxa"/>
            <w:left w:w="108" w:type="dxa"/>
            <w:bottom w:w="0" w:type="dxa"/>
            <w:right w:w="108" w:type="dxa"/>
          </w:tblCellMar>
        </w:tblPrEx>
        <w:trPr>
          <w:trHeight w:val="850"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kern w:val="2"/>
                <w:sz w:val="28"/>
                <w:szCs w:val="28"/>
              </w:rPr>
            </w:pPr>
            <w:r>
              <w:rPr>
                <w:rFonts w:hint="eastAsia" w:ascii="Times New Roman" w:hAnsi="Times New Roman" w:eastAsia="仿宋_GB2312" w:cs="仿宋_GB2312"/>
                <w:sz w:val="28"/>
                <w:szCs w:val="28"/>
              </w:rPr>
              <w:t>35</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60"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完善高质量户外运动目的地配套设施，培育房车露营、低空飞行等新业态。</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省体育局</w:t>
            </w:r>
          </w:p>
        </w:tc>
      </w:tr>
      <w:tr>
        <w:tblPrEx>
          <w:tblCellMar>
            <w:top w:w="0" w:type="dxa"/>
            <w:left w:w="108" w:type="dxa"/>
            <w:bottom w:w="0" w:type="dxa"/>
            <w:right w:w="108" w:type="dxa"/>
          </w:tblCellMar>
        </w:tblPrEx>
        <w:trPr>
          <w:trHeight w:val="567" w:hRule="atLeast"/>
          <w:jc w:val="center"/>
        </w:trPr>
        <w:tc>
          <w:tcPr>
            <w:tcW w:w="671" w:type="dxa"/>
            <w:tcBorders>
              <w:top w:val="nil"/>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Times New Roman" w:hAnsi="Times New Roman" w:eastAsia="仿宋_GB2312" w:cs="仿宋_GB2312"/>
                <w:sz w:val="28"/>
                <w:szCs w:val="28"/>
              </w:rPr>
              <w:t>36</w:t>
            </w:r>
          </w:p>
        </w:tc>
        <w:tc>
          <w:tcPr>
            <w:tcW w:w="5752"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ind w:firstLine="536" w:firstLineChars="200"/>
              <w:jc w:val="both"/>
              <w:textAlignment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发展健康体检、健康咨询、健康管理等服务。</w:t>
            </w:r>
          </w:p>
        </w:tc>
        <w:tc>
          <w:tcPr>
            <w:tcW w:w="2670" w:type="dxa"/>
            <w:tcBorders>
              <w:top w:val="single" w:color="000000" w:sz="4" w:space="0"/>
              <w:left w:val="single" w:color="000000" w:sz="4" w:space="0"/>
              <w:bottom w:val="single" w:color="000000" w:sz="4" w:space="0"/>
              <w:right w:val="single" w:color="000000" w:sz="4" w:space="0"/>
            </w:tcBorders>
            <w:tcMar>
              <w:top w:w="0" w:type="dxa"/>
              <w:left w:w="51" w:type="dxa"/>
              <w:bottom w:w="0" w:type="dxa"/>
              <w:right w:w="51" w:type="dxa"/>
            </w:tcMar>
            <w:vAlign w:val="center"/>
          </w:tcPr>
          <w:p>
            <w:pPr>
              <w:adjustRightInd w:val="0"/>
              <w:snapToGrid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省卫生健康委</w:t>
            </w:r>
          </w:p>
        </w:tc>
      </w:tr>
    </w:tbl>
    <w:p>
      <w:pPr>
        <w:pStyle w:val="7"/>
        <w:rPr>
          <w:rFonts w:ascii="Times New Roman" w:hAnsi="Times New Roman"/>
        </w:rPr>
      </w:pPr>
    </w:p>
    <w:p>
      <w:pPr>
        <w:pStyle w:val="7"/>
        <w:widowControl w:val="0"/>
        <w:spacing w:line="600" w:lineRule="exact"/>
        <w:ind w:left="2612" w:leftChars="760" w:hanging="180" w:hangingChars="100"/>
        <w:jc w:val="both"/>
      </w:pPr>
    </w:p>
    <w:p>
      <w:pPr>
        <w:widowControl w:val="0"/>
        <w:spacing w:line="600" w:lineRule="exact"/>
        <w:jc w:val="both"/>
        <w:rPr>
          <w:rFonts w:ascii="Times New Roman" w:hAnsi="Times New Roman"/>
          <w:sz w:val="44"/>
          <w:szCs w:val="44"/>
        </w:rPr>
      </w:pPr>
    </w:p>
    <w:p/>
    <w:sectPr>
      <w:footerReference r:id="rId3" w:type="default"/>
      <w:pgSz w:w="11906" w:h="16838"/>
      <w:pgMar w:top="2098" w:right="1247" w:bottom="1417" w:left="1587" w:header="964" w:footer="79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EU-BZ">
    <w:altName w:val="华文仿宋"/>
    <w:panose1 w:val="02010600010101010101"/>
    <w:charset w:val="86"/>
    <w:family w:val="auto"/>
    <w:pitch w:val="default"/>
    <w:sig w:usb0="00000000" w:usb1="00000000" w:usb2="05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6"/>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rPr>
                            <w:t>14</w:t>
                          </w:r>
                          <w:r>
                            <w:rPr>
                              <w:rFonts w:ascii="Times New Roman" w:hAnsi="Times New Roman"/>
                              <w:sz w:val="32"/>
                            </w:rP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1jqRLsMBAAB5AwAADgAAAAAAAAABACAA&#10;AAA0AQAAZHJzL2Uyb0RvYy54bWxQSwUGAAAAAAYABgBZAQAAaQUAAAAA&#10;">
              <v:fill on="f" focussize="0,0"/>
              <v:stroke on="f"/>
              <v:imagedata o:title=""/>
              <o:lock v:ext="edit" aspectratio="f"/>
              <v:textbox inset="0mm,0mm,0mm,0mm" style="mso-fit-shape-to-text:t;">
                <w:txbxContent>
                  <w:p>
                    <w:pPr>
                      <w:pStyle w:val="6"/>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rPr>
                      <w:t>14</w:t>
                    </w:r>
                    <w:r>
                      <w:rPr>
                        <w:rFonts w:ascii="Times New Roman" w:hAnsi="Times New Roman"/>
                        <w:sz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14F05"/>
    <w:rsid w:val="15614F05"/>
    <w:rsid w:val="7A7FB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NEU-BZ" w:hAnsi="NEU-BZ" w:eastAsia="方正仿宋_GBK" w:cs="Times New Roman"/>
      <w:color w:val="000000"/>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index 5"/>
    <w:basedOn w:val="1"/>
    <w:next w:val="1"/>
    <w:qFormat/>
    <w:uiPriority w:val="0"/>
    <w:pPr>
      <w:ind w:left="1680"/>
    </w:pPr>
  </w:style>
  <w:style w:type="paragraph" w:styleId="6">
    <w:name w:val="footer"/>
    <w:basedOn w:val="1"/>
    <w:next w:val="5"/>
    <w:qFormat/>
    <w:uiPriority w:val="99"/>
    <w:pPr>
      <w:tabs>
        <w:tab w:val="center" w:pos="4153"/>
        <w:tab w:val="right" w:pos="8306"/>
      </w:tabs>
      <w:snapToGrid w:val="0"/>
    </w:pPr>
    <w:rPr>
      <w:sz w:val="18"/>
    </w:rPr>
  </w:style>
  <w:style w:type="paragraph" w:styleId="7">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2026-06-25T10:50:00Z</dcterms:created>
  <dc:creator>唐媛</dc:creator>
  <cp:lastModifiedBy>greatwall</cp:lastModifiedBy>
  <dcterms:modified xsi:type="dcterms:W3CDTF">2026-06-29T08:32:53Z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34F8EDA9E80D4073B4A468667000ADDC_11</vt:lpwstr>
  </property>
  <property fmtid="{D5CDD505-2E9C-101B-9397-08002B2CF9AE}" pid="4" name="KSOTemplateDocerSaveRecord">
    <vt:lpwstr>eyJoZGlkIjoiZTc3MTdjZGFiODU1ZTBlZGZlOGVlMDFjNTkwM2IwNzciLCJ1c2VySWQiOiIxNjk3MDc5NDkwIn0=</vt:lpwstr>
  </property>
</Properties>
</file>