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A8" w:rsidRPr="002D33F6" w:rsidRDefault="009162A8" w:rsidP="009162A8">
      <w:pPr>
        <w:widowControl/>
        <w:jc w:val="left"/>
        <w:rPr>
          <w:rFonts w:eastAsia="仿宋_GB2312"/>
          <w:sz w:val="32"/>
          <w:szCs w:val="32"/>
        </w:rPr>
      </w:pPr>
      <w:r w:rsidRPr="002D33F6">
        <w:rPr>
          <w:rFonts w:eastAsia="仿宋_GB2312" w:hint="eastAsia"/>
          <w:sz w:val="32"/>
          <w:szCs w:val="32"/>
        </w:rPr>
        <w:t>附件：</w:t>
      </w:r>
    </w:p>
    <w:p w:rsidR="009162A8" w:rsidRPr="002D33F6" w:rsidRDefault="009162A8" w:rsidP="009162A8">
      <w:pPr>
        <w:widowControl/>
        <w:spacing w:line="400" w:lineRule="exact"/>
        <w:jc w:val="left"/>
        <w:rPr>
          <w:rFonts w:eastAsia="仿宋_GB2312"/>
          <w:sz w:val="32"/>
          <w:szCs w:val="32"/>
        </w:rPr>
      </w:pPr>
    </w:p>
    <w:p w:rsidR="009162A8" w:rsidRPr="002D33F6" w:rsidRDefault="009162A8" w:rsidP="009162A8">
      <w:pPr>
        <w:tabs>
          <w:tab w:val="left" w:pos="1665"/>
        </w:tabs>
        <w:jc w:val="center"/>
        <w:rPr>
          <w:rFonts w:eastAsia="方正小标宋_GBK"/>
          <w:sz w:val="42"/>
          <w:szCs w:val="42"/>
        </w:rPr>
      </w:pPr>
      <w:bookmarkStart w:id="0" w:name="_GoBack"/>
      <w:r w:rsidRPr="002D33F6">
        <w:rPr>
          <w:rFonts w:eastAsia="方正小标宋_GBK" w:hint="eastAsia"/>
          <w:sz w:val="42"/>
          <w:szCs w:val="42"/>
        </w:rPr>
        <w:t>湖南省高速公路救援服务收费标准</w:t>
      </w:r>
    </w:p>
    <w:bookmarkEnd w:id="0"/>
    <w:p w:rsidR="009162A8" w:rsidRPr="002D33F6" w:rsidRDefault="009162A8" w:rsidP="009162A8">
      <w:pPr>
        <w:tabs>
          <w:tab w:val="left" w:pos="1665"/>
        </w:tabs>
        <w:spacing w:line="20" w:lineRule="exact"/>
      </w:pPr>
    </w:p>
    <w:tbl>
      <w:tblPr>
        <w:tblW w:w="966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1223"/>
        <w:gridCol w:w="1248"/>
        <w:gridCol w:w="4900"/>
      </w:tblGrid>
      <w:tr w:rsidR="009162A8" w:rsidRPr="002D33F6" w:rsidTr="003F37AB">
        <w:trPr>
          <w:trHeight w:val="465"/>
          <w:tblHeader/>
          <w:jc w:val="center"/>
        </w:trPr>
        <w:tc>
          <w:tcPr>
            <w:tcW w:w="4761" w:type="dxa"/>
            <w:gridSpan w:val="3"/>
            <w:shd w:val="clear" w:color="auto" w:fill="auto"/>
            <w:vAlign w:val="center"/>
          </w:tcPr>
          <w:p w:rsidR="009162A8" w:rsidRPr="002D33F6" w:rsidRDefault="009162A8" w:rsidP="003F37AB">
            <w:pPr>
              <w:widowControl/>
              <w:jc w:val="center"/>
              <w:rPr>
                <w:rFonts w:eastAsia="黑体"/>
                <w:kern w:val="0"/>
                <w:sz w:val="22"/>
                <w:szCs w:val="22"/>
              </w:rPr>
            </w:pPr>
            <w:r w:rsidRPr="002D33F6">
              <w:rPr>
                <w:rFonts w:eastAsia="黑体" w:hint="eastAsia"/>
                <w:kern w:val="0"/>
                <w:sz w:val="22"/>
                <w:szCs w:val="22"/>
              </w:rPr>
              <w:t>项目</w:t>
            </w:r>
          </w:p>
        </w:tc>
        <w:tc>
          <w:tcPr>
            <w:tcW w:w="4900" w:type="dxa"/>
            <w:shd w:val="clear" w:color="auto" w:fill="auto"/>
            <w:vAlign w:val="center"/>
          </w:tcPr>
          <w:p w:rsidR="009162A8" w:rsidRPr="002D33F6" w:rsidRDefault="009162A8" w:rsidP="003F37AB">
            <w:pPr>
              <w:widowControl/>
              <w:jc w:val="center"/>
              <w:rPr>
                <w:rFonts w:eastAsia="黑体"/>
                <w:kern w:val="0"/>
                <w:sz w:val="22"/>
                <w:szCs w:val="22"/>
              </w:rPr>
            </w:pPr>
            <w:r w:rsidRPr="002D33F6">
              <w:rPr>
                <w:rFonts w:eastAsia="黑体" w:hint="eastAsia"/>
                <w:kern w:val="0"/>
                <w:sz w:val="22"/>
                <w:szCs w:val="22"/>
              </w:rPr>
              <w:t>说</w:t>
            </w:r>
            <w:r w:rsidRPr="002D33F6">
              <w:rPr>
                <w:rFonts w:eastAsia="黑体"/>
                <w:kern w:val="0"/>
                <w:sz w:val="22"/>
                <w:szCs w:val="22"/>
              </w:rPr>
              <w:t xml:space="preserve">     </w:t>
            </w:r>
            <w:r w:rsidRPr="002D33F6">
              <w:rPr>
                <w:rFonts w:eastAsia="黑体" w:hint="eastAsia"/>
                <w:kern w:val="0"/>
                <w:sz w:val="22"/>
                <w:szCs w:val="22"/>
              </w:rPr>
              <w:t>明</w:t>
            </w:r>
          </w:p>
        </w:tc>
      </w:tr>
      <w:tr w:rsidR="009162A8" w:rsidRPr="002D33F6" w:rsidTr="003F37AB">
        <w:trPr>
          <w:trHeight w:val="480"/>
          <w:jc w:val="center"/>
        </w:trPr>
        <w:tc>
          <w:tcPr>
            <w:tcW w:w="4761" w:type="dxa"/>
            <w:gridSpan w:val="3"/>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一、拖车费</w:t>
            </w:r>
          </w:p>
        </w:tc>
        <w:tc>
          <w:tcPr>
            <w:tcW w:w="4900" w:type="dxa"/>
            <w:vMerge w:val="restart"/>
            <w:shd w:val="clear" w:color="auto" w:fill="auto"/>
            <w:vAlign w:val="center"/>
          </w:tcPr>
          <w:p w:rsidR="009162A8" w:rsidRPr="002D33F6" w:rsidRDefault="009162A8" w:rsidP="003F37AB">
            <w:pPr>
              <w:widowControl/>
              <w:jc w:val="left"/>
              <w:rPr>
                <w:rFonts w:eastAsiaTheme="minorEastAsia"/>
                <w:kern w:val="0"/>
                <w:sz w:val="22"/>
                <w:szCs w:val="22"/>
              </w:rPr>
            </w:pPr>
            <w:r w:rsidRPr="002D33F6">
              <w:rPr>
                <w:rFonts w:eastAsiaTheme="minorEastAsia"/>
                <w:kern w:val="0"/>
                <w:sz w:val="22"/>
                <w:szCs w:val="22"/>
              </w:rPr>
              <w:t>1</w:t>
            </w:r>
            <w:r w:rsidRPr="002D33F6">
              <w:rPr>
                <w:rFonts w:eastAsiaTheme="minorEastAsia" w:hint="eastAsia"/>
                <w:kern w:val="0"/>
                <w:sz w:val="22"/>
                <w:szCs w:val="22"/>
              </w:rPr>
              <w:t>、基价计费公里为</w:t>
            </w:r>
            <w:r w:rsidRPr="002D33F6">
              <w:rPr>
                <w:rFonts w:eastAsiaTheme="minorEastAsia"/>
                <w:kern w:val="0"/>
                <w:sz w:val="22"/>
                <w:szCs w:val="22"/>
              </w:rPr>
              <w:t>10</w:t>
            </w:r>
            <w:r w:rsidRPr="002D33F6">
              <w:rPr>
                <w:rFonts w:eastAsiaTheme="minorEastAsia" w:hint="eastAsia"/>
                <w:kern w:val="0"/>
                <w:sz w:val="22"/>
                <w:szCs w:val="22"/>
              </w:rPr>
              <w:t>公里，基价公里数从实施拖车开始计算，超过基价公里数不足</w:t>
            </w:r>
            <w:r w:rsidRPr="002D33F6">
              <w:rPr>
                <w:rFonts w:eastAsiaTheme="minorEastAsia"/>
                <w:kern w:val="0"/>
                <w:sz w:val="22"/>
                <w:szCs w:val="22"/>
              </w:rPr>
              <w:t>1</w:t>
            </w:r>
            <w:r w:rsidRPr="002D33F6">
              <w:rPr>
                <w:rFonts w:eastAsiaTheme="minorEastAsia" w:hint="eastAsia"/>
                <w:kern w:val="0"/>
                <w:sz w:val="22"/>
                <w:szCs w:val="22"/>
              </w:rPr>
              <w:t>公里，按</w:t>
            </w:r>
            <w:r w:rsidRPr="002D33F6">
              <w:rPr>
                <w:rFonts w:eastAsiaTheme="minorEastAsia"/>
                <w:kern w:val="0"/>
                <w:sz w:val="22"/>
                <w:szCs w:val="22"/>
              </w:rPr>
              <w:t>1</w:t>
            </w:r>
            <w:r w:rsidRPr="002D33F6">
              <w:rPr>
                <w:rFonts w:eastAsiaTheme="minorEastAsia" w:hint="eastAsia"/>
                <w:kern w:val="0"/>
                <w:sz w:val="22"/>
                <w:szCs w:val="22"/>
              </w:rPr>
              <w:t>公里计算。</w:t>
            </w:r>
            <w:r w:rsidRPr="002D33F6">
              <w:rPr>
                <w:rFonts w:eastAsiaTheme="minorEastAsia"/>
                <w:kern w:val="0"/>
                <w:sz w:val="22"/>
                <w:szCs w:val="22"/>
              </w:rPr>
              <w:br/>
              <w:t>2</w:t>
            </w:r>
            <w:r w:rsidRPr="002D33F6">
              <w:rPr>
                <w:rFonts w:eastAsiaTheme="minorEastAsia" w:hint="eastAsia"/>
                <w:kern w:val="0"/>
                <w:sz w:val="22"/>
                <w:szCs w:val="22"/>
              </w:rPr>
              <w:t>、放空费是指</w:t>
            </w:r>
            <w:proofErr w:type="gramStart"/>
            <w:r w:rsidRPr="002D33F6">
              <w:rPr>
                <w:rFonts w:eastAsiaTheme="minorEastAsia" w:hint="eastAsia"/>
                <w:kern w:val="0"/>
                <w:sz w:val="22"/>
                <w:szCs w:val="22"/>
              </w:rPr>
              <w:t>施救车</w:t>
            </w:r>
            <w:proofErr w:type="gramEnd"/>
            <w:r w:rsidRPr="002D33F6">
              <w:rPr>
                <w:rFonts w:eastAsiaTheme="minorEastAsia" w:hint="eastAsia"/>
                <w:kern w:val="0"/>
                <w:sz w:val="22"/>
                <w:szCs w:val="22"/>
              </w:rPr>
              <w:t>因事故（或故障）车辆车主或驾驶员要求赶到现场，因事故（或故障）车辆车主或驾驶员的原因不需施救收取的费用。</w:t>
            </w:r>
            <w:r w:rsidRPr="002D33F6">
              <w:rPr>
                <w:rFonts w:eastAsiaTheme="minorEastAsia"/>
                <w:kern w:val="0"/>
                <w:sz w:val="22"/>
                <w:szCs w:val="22"/>
              </w:rPr>
              <w:br/>
              <w:t>3</w:t>
            </w:r>
            <w:r w:rsidRPr="002D33F6">
              <w:rPr>
                <w:rFonts w:eastAsiaTheme="minorEastAsia" w:hint="eastAsia"/>
                <w:kern w:val="0"/>
                <w:sz w:val="22"/>
                <w:szCs w:val="22"/>
              </w:rPr>
              <w:t>、拖车的距离</w:t>
            </w:r>
            <w:r w:rsidRPr="002D33F6">
              <w:rPr>
                <w:rFonts w:eastAsiaTheme="minorEastAsia"/>
                <w:kern w:val="0"/>
                <w:sz w:val="22"/>
                <w:szCs w:val="22"/>
              </w:rPr>
              <w:t>:</w:t>
            </w:r>
            <w:r w:rsidRPr="002D33F6">
              <w:rPr>
                <w:rFonts w:eastAsiaTheme="minorEastAsia" w:hint="eastAsia"/>
                <w:kern w:val="0"/>
                <w:sz w:val="22"/>
                <w:szCs w:val="22"/>
              </w:rPr>
              <w:t>事故车为起拖点至公安交通管理部门指定地点；故障车为就近高速公路出口或服务区。拖至目的地后，被拖方要求继续拖行，费用由双方协商。</w:t>
            </w:r>
            <w:r w:rsidRPr="002D33F6">
              <w:rPr>
                <w:rFonts w:eastAsiaTheme="minorEastAsia"/>
                <w:kern w:val="0"/>
                <w:sz w:val="22"/>
                <w:szCs w:val="22"/>
              </w:rPr>
              <w:br/>
              <w:t>4</w:t>
            </w:r>
            <w:r w:rsidRPr="002D33F6">
              <w:rPr>
                <w:rFonts w:eastAsiaTheme="minorEastAsia" w:hint="eastAsia"/>
                <w:kern w:val="0"/>
                <w:sz w:val="22"/>
                <w:szCs w:val="22"/>
              </w:rPr>
              <w:t>、事故（或故障）车辆不能拖行，需动用其它运输工具转运的，按拖车标准加收</w:t>
            </w:r>
            <w:r w:rsidRPr="002D33F6">
              <w:rPr>
                <w:rFonts w:eastAsiaTheme="minorEastAsia"/>
                <w:kern w:val="0"/>
                <w:sz w:val="22"/>
                <w:szCs w:val="22"/>
              </w:rPr>
              <w:t>20%</w:t>
            </w:r>
            <w:r w:rsidRPr="002D33F6">
              <w:rPr>
                <w:rFonts w:eastAsiaTheme="minorEastAsia" w:hint="eastAsia"/>
                <w:kern w:val="0"/>
                <w:sz w:val="22"/>
                <w:szCs w:val="22"/>
              </w:rPr>
              <w:t>。</w:t>
            </w:r>
            <w:r w:rsidRPr="002D33F6">
              <w:rPr>
                <w:rFonts w:eastAsiaTheme="minorEastAsia"/>
                <w:kern w:val="0"/>
                <w:sz w:val="22"/>
                <w:szCs w:val="22"/>
              </w:rPr>
              <w:br/>
              <w:t>5</w:t>
            </w:r>
            <w:r w:rsidRPr="002D33F6">
              <w:rPr>
                <w:rFonts w:eastAsiaTheme="minorEastAsia" w:hint="eastAsia"/>
                <w:kern w:val="0"/>
                <w:sz w:val="22"/>
                <w:szCs w:val="22"/>
              </w:rPr>
              <w:t>、在行车（包括救援）道上的故障车辆，应立即拖走，在停车带上的故障车辆，白天在</w:t>
            </w:r>
            <w:r w:rsidRPr="002D33F6">
              <w:rPr>
                <w:rFonts w:eastAsiaTheme="minorEastAsia"/>
                <w:kern w:val="0"/>
                <w:sz w:val="22"/>
                <w:szCs w:val="22"/>
              </w:rPr>
              <w:t>2</w:t>
            </w:r>
            <w:r w:rsidRPr="002D33F6">
              <w:rPr>
                <w:rFonts w:eastAsiaTheme="minorEastAsia" w:hint="eastAsia"/>
                <w:kern w:val="0"/>
                <w:sz w:val="22"/>
                <w:szCs w:val="22"/>
              </w:rPr>
              <w:t>小时以内（夜间</w:t>
            </w:r>
            <w:r w:rsidRPr="002D33F6">
              <w:rPr>
                <w:rFonts w:eastAsiaTheme="minorEastAsia"/>
                <w:kern w:val="0"/>
                <w:sz w:val="22"/>
                <w:szCs w:val="22"/>
              </w:rPr>
              <w:t>30</w:t>
            </w:r>
            <w:r w:rsidRPr="002D33F6">
              <w:rPr>
                <w:rFonts w:eastAsiaTheme="minorEastAsia" w:hint="eastAsia"/>
                <w:kern w:val="0"/>
                <w:sz w:val="22"/>
                <w:szCs w:val="22"/>
              </w:rPr>
              <w:t>分钟），能自行排除故障的，不得拖车收费。超过规定时间的，应予拖走，并按标准收费。</w:t>
            </w:r>
            <w:r w:rsidRPr="002D33F6">
              <w:rPr>
                <w:rFonts w:eastAsiaTheme="minorEastAsia"/>
                <w:kern w:val="0"/>
                <w:sz w:val="22"/>
                <w:szCs w:val="22"/>
              </w:rPr>
              <w:br/>
              <w:t>6</w:t>
            </w:r>
            <w:r w:rsidRPr="002D33F6">
              <w:rPr>
                <w:rFonts w:eastAsiaTheme="minorEastAsia" w:hint="eastAsia"/>
                <w:kern w:val="0"/>
                <w:sz w:val="22"/>
                <w:szCs w:val="22"/>
              </w:rPr>
              <w:t>、货车</w:t>
            </w:r>
            <w:proofErr w:type="gramStart"/>
            <w:r w:rsidRPr="002D33F6">
              <w:rPr>
                <w:rFonts w:eastAsiaTheme="minorEastAsia" w:hint="eastAsia"/>
                <w:kern w:val="0"/>
                <w:sz w:val="22"/>
                <w:szCs w:val="22"/>
              </w:rPr>
              <w:t>车</w:t>
            </w:r>
            <w:proofErr w:type="gramEnd"/>
            <w:r w:rsidRPr="002D33F6">
              <w:rPr>
                <w:rFonts w:eastAsiaTheme="minorEastAsia" w:hint="eastAsia"/>
                <w:kern w:val="0"/>
                <w:sz w:val="22"/>
                <w:szCs w:val="22"/>
              </w:rPr>
              <w:t>货总重超过</w:t>
            </w:r>
            <w:r w:rsidRPr="002D33F6">
              <w:rPr>
                <w:rFonts w:eastAsiaTheme="minorEastAsia"/>
                <w:kern w:val="0"/>
                <w:sz w:val="22"/>
                <w:szCs w:val="22"/>
              </w:rPr>
              <w:t>30</w:t>
            </w:r>
            <w:r w:rsidRPr="002D33F6">
              <w:rPr>
                <w:rFonts w:eastAsiaTheme="minorEastAsia" w:hint="eastAsia"/>
                <w:kern w:val="0"/>
                <w:sz w:val="22"/>
                <w:szCs w:val="22"/>
              </w:rPr>
              <w:t>吨的拖车费；</w:t>
            </w:r>
            <w:r w:rsidRPr="002D33F6">
              <w:rPr>
                <w:rFonts w:eastAsiaTheme="minorEastAsia"/>
                <w:kern w:val="0"/>
                <w:sz w:val="22"/>
                <w:szCs w:val="22"/>
              </w:rPr>
              <w:t>31-55</w:t>
            </w:r>
            <w:r w:rsidRPr="002D33F6">
              <w:rPr>
                <w:rFonts w:eastAsiaTheme="minorEastAsia" w:hint="eastAsia"/>
                <w:kern w:val="0"/>
                <w:sz w:val="22"/>
                <w:szCs w:val="22"/>
              </w:rPr>
              <w:t>吨的车辆，在基价基础上每吨加收</w:t>
            </w:r>
            <w:r w:rsidRPr="002D33F6">
              <w:rPr>
                <w:rFonts w:eastAsiaTheme="minorEastAsia"/>
                <w:kern w:val="0"/>
                <w:sz w:val="22"/>
                <w:szCs w:val="22"/>
              </w:rPr>
              <w:t>20</w:t>
            </w:r>
            <w:r w:rsidRPr="002D33F6">
              <w:rPr>
                <w:rFonts w:eastAsiaTheme="minorEastAsia" w:hint="eastAsia"/>
                <w:kern w:val="0"/>
                <w:sz w:val="22"/>
                <w:szCs w:val="22"/>
              </w:rPr>
              <w:t>元，超过</w:t>
            </w:r>
            <w:r w:rsidRPr="002D33F6">
              <w:rPr>
                <w:rFonts w:eastAsiaTheme="minorEastAsia"/>
                <w:kern w:val="0"/>
                <w:sz w:val="22"/>
                <w:szCs w:val="22"/>
              </w:rPr>
              <w:t>55</w:t>
            </w:r>
            <w:r w:rsidRPr="002D33F6">
              <w:rPr>
                <w:rFonts w:eastAsiaTheme="minorEastAsia" w:hint="eastAsia"/>
                <w:kern w:val="0"/>
                <w:sz w:val="22"/>
                <w:szCs w:val="22"/>
              </w:rPr>
              <w:t>吨的车辆，超过部分每吨加收</w:t>
            </w:r>
            <w:r w:rsidRPr="002D33F6">
              <w:rPr>
                <w:rFonts w:eastAsiaTheme="minorEastAsia"/>
                <w:kern w:val="0"/>
                <w:sz w:val="22"/>
                <w:szCs w:val="22"/>
              </w:rPr>
              <w:t>40</w:t>
            </w:r>
            <w:r w:rsidRPr="002D33F6">
              <w:rPr>
                <w:rFonts w:eastAsiaTheme="minorEastAsia" w:hint="eastAsia"/>
                <w:kern w:val="0"/>
                <w:sz w:val="22"/>
                <w:szCs w:val="22"/>
              </w:rPr>
              <w:t>元。</w:t>
            </w:r>
          </w:p>
        </w:tc>
      </w:tr>
      <w:tr w:rsidR="009162A8" w:rsidRPr="002D33F6" w:rsidTr="003F37AB">
        <w:trPr>
          <w:trHeight w:val="615"/>
          <w:jc w:val="center"/>
        </w:trPr>
        <w:tc>
          <w:tcPr>
            <w:tcW w:w="2290" w:type="dxa"/>
            <w:vMerge w:val="restart"/>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收费项目</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收费标准</w:t>
            </w:r>
          </w:p>
        </w:tc>
        <w:tc>
          <w:tcPr>
            <w:tcW w:w="4900" w:type="dxa"/>
            <w:vMerge/>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00"/>
          <w:jc w:val="center"/>
        </w:trPr>
        <w:tc>
          <w:tcPr>
            <w:tcW w:w="2290" w:type="dxa"/>
            <w:vMerge/>
            <w:vAlign w:val="center"/>
          </w:tcPr>
          <w:p w:rsidR="009162A8" w:rsidRPr="002D33F6" w:rsidRDefault="009162A8" w:rsidP="003F37AB">
            <w:pPr>
              <w:widowControl/>
              <w:jc w:val="left"/>
              <w:rPr>
                <w:rFonts w:eastAsiaTheme="minorEastAsia"/>
                <w:kern w:val="0"/>
                <w:sz w:val="22"/>
                <w:szCs w:val="22"/>
              </w:rPr>
            </w:pPr>
          </w:p>
        </w:tc>
        <w:tc>
          <w:tcPr>
            <w:tcW w:w="1223"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基价</w:t>
            </w:r>
            <w:r w:rsidRPr="002D33F6">
              <w:rPr>
                <w:rFonts w:eastAsiaTheme="minorEastAsia"/>
                <w:kern w:val="0"/>
                <w:sz w:val="22"/>
                <w:szCs w:val="22"/>
              </w:rPr>
              <w:br/>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次）</w:t>
            </w:r>
          </w:p>
        </w:tc>
        <w:tc>
          <w:tcPr>
            <w:tcW w:w="1248"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每增加</w:t>
            </w:r>
            <w:r w:rsidRPr="002D33F6">
              <w:rPr>
                <w:rFonts w:eastAsiaTheme="minorEastAsia"/>
                <w:kern w:val="0"/>
                <w:sz w:val="22"/>
                <w:szCs w:val="22"/>
              </w:rPr>
              <w:t>1</w:t>
            </w:r>
            <w:r w:rsidRPr="002D33F6">
              <w:rPr>
                <w:rFonts w:eastAsiaTheme="minorEastAsia" w:hint="eastAsia"/>
                <w:kern w:val="0"/>
                <w:sz w:val="22"/>
                <w:szCs w:val="22"/>
              </w:rPr>
              <w:t>公里加收（元）</w:t>
            </w:r>
          </w:p>
        </w:tc>
        <w:tc>
          <w:tcPr>
            <w:tcW w:w="4900" w:type="dxa"/>
            <w:vMerge/>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780"/>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一型车</w:t>
            </w:r>
          </w:p>
        </w:tc>
        <w:tc>
          <w:tcPr>
            <w:tcW w:w="1223"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280</w:t>
            </w:r>
          </w:p>
        </w:tc>
        <w:tc>
          <w:tcPr>
            <w:tcW w:w="1248"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15</w:t>
            </w:r>
          </w:p>
        </w:tc>
        <w:tc>
          <w:tcPr>
            <w:tcW w:w="4900" w:type="dxa"/>
            <w:vMerge/>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780"/>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二型车</w:t>
            </w:r>
          </w:p>
        </w:tc>
        <w:tc>
          <w:tcPr>
            <w:tcW w:w="1223"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380</w:t>
            </w:r>
          </w:p>
        </w:tc>
        <w:tc>
          <w:tcPr>
            <w:tcW w:w="1248"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20</w:t>
            </w:r>
          </w:p>
        </w:tc>
        <w:tc>
          <w:tcPr>
            <w:tcW w:w="4900" w:type="dxa"/>
            <w:vMerge/>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780"/>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三型车</w:t>
            </w:r>
          </w:p>
        </w:tc>
        <w:tc>
          <w:tcPr>
            <w:tcW w:w="1223"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450</w:t>
            </w:r>
          </w:p>
        </w:tc>
        <w:tc>
          <w:tcPr>
            <w:tcW w:w="1248"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22</w:t>
            </w:r>
          </w:p>
        </w:tc>
        <w:tc>
          <w:tcPr>
            <w:tcW w:w="4900" w:type="dxa"/>
            <w:vMerge/>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780"/>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四型车</w:t>
            </w:r>
          </w:p>
        </w:tc>
        <w:tc>
          <w:tcPr>
            <w:tcW w:w="1223"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500</w:t>
            </w:r>
          </w:p>
        </w:tc>
        <w:tc>
          <w:tcPr>
            <w:tcW w:w="1248"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25</w:t>
            </w:r>
          </w:p>
        </w:tc>
        <w:tc>
          <w:tcPr>
            <w:tcW w:w="4900" w:type="dxa"/>
            <w:vMerge/>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810"/>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五型车</w:t>
            </w:r>
          </w:p>
        </w:tc>
        <w:tc>
          <w:tcPr>
            <w:tcW w:w="1223"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580</w:t>
            </w:r>
          </w:p>
        </w:tc>
        <w:tc>
          <w:tcPr>
            <w:tcW w:w="1248"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27</w:t>
            </w:r>
          </w:p>
        </w:tc>
        <w:tc>
          <w:tcPr>
            <w:tcW w:w="4900" w:type="dxa"/>
            <w:vMerge/>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82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放空费</w:t>
            </w:r>
          </w:p>
        </w:tc>
        <w:tc>
          <w:tcPr>
            <w:tcW w:w="2471" w:type="dxa"/>
            <w:gridSpan w:val="2"/>
            <w:shd w:val="clear" w:color="auto" w:fill="auto"/>
            <w:vAlign w:val="center"/>
          </w:tcPr>
          <w:p w:rsidR="009162A8" w:rsidRPr="002D33F6" w:rsidRDefault="009162A8" w:rsidP="003F37AB">
            <w:pPr>
              <w:widowControl/>
              <w:jc w:val="left"/>
              <w:rPr>
                <w:rFonts w:eastAsiaTheme="minorEastAsia"/>
                <w:kern w:val="0"/>
                <w:sz w:val="22"/>
                <w:szCs w:val="22"/>
              </w:rPr>
            </w:pPr>
            <w:r w:rsidRPr="002D33F6">
              <w:rPr>
                <w:rFonts w:eastAsiaTheme="minorEastAsia" w:hint="eastAsia"/>
                <w:kern w:val="0"/>
                <w:sz w:val="22"/>
                <w:szCs w:val="22"/>
              </w:rPr>
              <w:t>按被拖相应车型基价的</w:t>
            </w:r>
            <w:r w:rsidRPr="002D33F6">
              <w:rPr>
                <w:rFonts w:eastAsiaTheme="minorEastAsia"/>
                <w:kern w:val="0"/>
                <w:sz w:val="22"/>
                <w:szCs w:val="22"/>
              </w:rPr>
              <w:t>50%</w:t>
            </w:r>
            <w:r w:rsidRPr="002D33F6">
              <w:rPr>
                <w:rFonts w:eastAsiaTheme="minorEastAsia" w:hint="eastAsia"/>
                <w:kern w:val="0"/>
                <w:sz w:val="22"/>
                <w:szCs w:val="22"/>
              </w:rPr>
              <w:t>收取</w:t>
            </w:r>
            <w:r w:rsidRPr="002D33F6">
              <w:rPr>
                <w:rFonts w:eastAsiaTheme="minorEastAsia"/>
                <w:kern w:val="0"/>
                <w:sz w:val="22"/>
                <w:szCs w:val="22"/>
              </w:rPr>
              <w:t>,</w:t>
            </w:r>
            <w:r w:rsidRPr="002D33F6">
              <w:rPr>
                <w:rFonts w:eastAsiaTheme="minorEastAsia" w:hint="eastAsia"/>
                <w:kern w:val="0"/>
                <w:sz w:val="22"/>
                <w:szCs w:val="22"/>
              </w:rPr>
              <w:t>不足</w:t>
            </w:r>
            <w:r w:rsidRPr="002D33F6">
              <w:rPr>
                <w:rFonts w:eastAsiaTheme="minorEastAsia"/>
                <w:kern w:val="0"/>
                <w:sz w:val="22"/>
                <w:szCs w:val="22"/>
              </w:rPr>
              <w:t>200</w:t>
            </w:r>
            <w:r w:rsidRPr="002D33F6">
              <w:rPr>
                <w:rFonts w:eastAsiaTheme="minorEastAsia" w:hint="eastAsia"/>
                <w:kern w:val="0"/>
                <w:sz w:val="22"/>
                <w:szCs w:val="22"/>
              </w:rPr>
              <w:t>元按</w:t>
            </w:r>
            <w:r w:rsidRPr="002D33F6">
              <w:rPr>
                <w:rFonts w:eastAsiaTheme="minorEastAsia"/>
                <w:kern w:val="0"/>
                <w:sz w:val="22"/>
                <w:szCs w:val="22"/>
              </w:rPr>
              <w:t>200</w:t>
            </w:r>
            <w:r w:rsidRPr="002D33F6">
              <w:rPr>
                <w:rFonts w:eastAsiaTheme="minorEastAsia" w:hint="eastAsia"/>
                <w:kern w:val="0"/>
                <w:sz w:val="22"/>
                <w:szCs w:val="22"/>
              </w:rPr>
              <w:t>元收取。</w:t>
            </w:r>
          </w:p>
        </w:tc>
        <w:tc>
          <w:tcPr>
            <w:tcW w:w="4900" w:type="dxa"/>
            <w:vMerge/>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15"/>
          <w:jc w:val="center"/>
        </w:trPr>
        <w:tc>
          <w:tcPr>
            <w:tcW w:w="4761" w:type="dxa"/>
            <w:gridSpan w:val="3"/>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二、吊车费</w:t>
            </w:r>
          </w:p>
        </w:tc>
        <w:tc>
          <w:tcPr>
            <w:tcW w:w="4900" w:type="dxa"/>
            <w:vMerge w:val="restart"/>
            <w:shd w:val="clear" w:color="auto" w:fill="auto"/>
            <w:vAlign w:val="center"/>
          </w:tcPr>
          <w:p w:rsidR="009162A8" w:rsidRPr="002D33F6" w:rsidRDefault="009162A8" w:rsidP="003F37AB">
            <w:pPr>
              <w:widowControl/>
              <w:jc w:val="left"/>
              <w:rPr>
                <w:rFonts w:eastAsiaTheme="minorEastAsia"/>
                <w:kern w:val="0"/>
                <w:sz w:val="22"/>
                <w:szCs w:val="22"/>
              </w:rPr>
            </w:pPr>
            <w:r w:rsidRPr="002D33F6">
              <w:rPr>
                <w:rFonts w:eastAsiaTheme="minorEastAsia"/>
                <w:kern w:val="0"/>
                <w:sz w:val="22"/>
                <w:szCs w:val="22"/>
              </w:rPr>
              <w:t>1</w:t>
            </w:r>
            <w:r w:rsidRPr="002D33F6">
              <w:rPr>
                <w:rFonts w:eastAsiaTheme="minorEastAsia" w:hint="eastAsia"/>
                <w:kern w:val="0"/>
                <w:sz w:val="22"/>
                <w:szCs w:val="22"/>
              </w:rPr>
              <w:t>、吊车服务（包括车辆、货物吊装）作业，包括吊车从事故或故障现场将需调运的车辆或货物调运至转运车辆以及将需调运的车辆或货物从转运车辆调运至卸载场所的整个过程；在一次救援吊车作业中，无论出动几台吊车，对同一车主或同一件货物，吊车服务只能按规定标准收取费用，不得重复收费或分解作业收费。</w:t>
            </w:r>
          </w:p>
          <w:p w:rsidR="009162A8" w:rsidRPr="002D33F6" w:rsidRDefault="009162A8" w:rsidP="003F37AB">
            <w:pPr>
              <w:widowControl/>
              <w:jc w:val="left"/>
              <w:rPr>
                <w:rFonts w:eastAsiaTheme="minorEastAsia"/>
                <w:kern w:val="0"/>
                <w:sz w:val="22"/>
                <w:szCs w:val="22"/>
              </w:rPr>
            </w:pPr>
            <w:r w:rsidRPr="002D33F6">
              <w:rPr>
                <w:rFonts w:eastAsiaTheme="minorEastAsia"/>
                <w:kern w:val="0"/>
                <w:sz w:val="22"/>
                <w:szCs w:val="22"/>
              </w:rPr>
              <w:t>2</w:t>
            </w:r>
            <w:r w:rsidRPr="002D33F6">
              <w:rPr>
                <w:rFonts w:eastAsiaTheme="minorEastAsia" w:hint="eastAsia"/>
                <w:kern w:val="0"/>
                <w:sz w:val="22"/>
                <w:szCs w:val="22"/>
              </w:rPr>
              <w:t>、该收费标准适用于吊运（吊装）路基内的车辆或货物，路基以外或隧道内等特殊情况下作业确有困难的，收费由双方协商。</w:t>
            </w:r>
          </w:p>
          <w:p w:rsidR="009162A8" w:rsidRPr="002D33F6" w:rsidRDefault="009162A8" w:rsidP="003F37AB">
            <w:pPr>
              <w:widowControl/>
              <w:jc w:val="left"/>
              <w:rPr>
                <w:rFonts w:eastAsiaTheme="minorEastAsia"/>
                <w:kern w:val="0"/>
                <w:sz w:val="22"/>
                <w:szCs w:val="22"/>
              </w:rPr>
            </w:pPr>
            <w:r w:rsidRPr="002D33F6">
              <w:rPr>
                <w:rFonts w:eastAsiaTheme="minorEastAsia"/>
                <w:kern w:val="0"/>
                <w:sz w:val="22"/>
                <w:szCs w:val="22"/>
              </w:rPr>
              <w:t>3</w:t>
            </w:r>
            <w:r w:rsidRPr="002D33F6">
              <w:rPr>
                <w:rFonts w:eastAsiaTheme="minorEastAsia" w:hint="eastAsia"/>
                <w:kern w:val="0"/>
                <w:sz w:val="22"/>
                <w:szCs w:val="22"/>
              </w:rPr>
              <w:t>、翻落在路基内人工无法装卸的货物，需使用吊车吊装的，收费标准参照吊装货物重量对照相应</w:t>
            </w:r>
            <w:r w:rsidRPr="002D33F6">
              <w:rPr>
                <w:rFonts w:eastAsiaTheme="minorEastAsia" w:hint="eastAsia"/>
                <w:kern w:val="0"/>
                <w:sz w:val="22"/>
                <w:szCs w:val="22"/>
              </w:rPr>
              <w:lastRenderedPageBreak/>
              <w:t>车型重量核定。</w:t>
            </w:r>
          </w:p>
          <w:p w:rsidR="009162A8" w:rsidRPr="002D33F6" w:rsidRDefault="009162A8" w:rsidP="003F37AB">
            <w:pPr>
              <w:widowControl/>
              <w:jc w:val="left"/>
              <w:rPr>
                <w:rFonts w:eastAsiaTheme="minorEastAsia"/>
                <w:kern w:val="0"/>
                <w:sz w:val="22"/>
                <w:szCs w:val="22"/>
              </w:rPr>
            </w:pPr>
            <w:r w:rsidRPr="002D33F6">
              <w:rPr>
                <w:rFonts w:eastAsiaTheme="minorEastAsia"/>
                <w:kern w:val="0"/>
                <w:sz w:val="22"/>
                <w:szCs w:val="22"/>
              </w:rPr>
              <w:t>4</w:t>
            </w:r>
            <w:r w:rsidRPr="002D33F6">
              <w:rPr>
                <w:rFonts w:eastAsiaTheme="minorEastAsia" w:hint="eastAsia"/>
                <w:kern w:val="0"/>
                <w:sz w:val="22"/>
                <w:szCs w:val="22"/>
              </w:rPr>
              <w:t>、拖吊一体的救援车辆，未使用吊车的不得收取吊车费，拖、</w:t>
            </w:r>
            <w:proofErr w:type="gramStart"/>
            <w:r w:rsidRPr="002D33F6">
              <w:rPr>
                <w:rFonts w:eastAsiaTheme="minorEastAsia" w:hint="eastAsia"/>
                <w:kern w:val="0"/>
                <w:sz w:val="22"/>
                <w:szCs w:val="22"/>
              </w:rPr>
              <w:t>吊同时</w:t>
            </w:r>
            <w:proofErr w:type="gramEnd"/>
            <w:r w:rsidRPr="002D33F6">
              <w:rPr>
                <w:rFonts w:eastAsiaTheme="minorEastAsia" w:hint="eastAsia"/>
                <w:kern w:val="0"/>
                <w:sz w:val="22"/>
                <w:szCs w:val="22"/>
              </w:rPr>
              <w:t>使用的，吊车按</w:t>
            </w:r>
            <w:r w:rsidRPr="002D33F6">
              <w:rPr>
                <w:rFonts w:eastAsiaTheme="minorEastAsia"/>
                <w:kern w:val="0"/>
                <w:sz w:val="22"/>
                <w:szCs w:val="22"/>
              </w:rPr>
              <w:t>50%</w:t>
            </w:r>
            <w:r w:rsidRPr="002D33F6">
              <w:rPr>
                <w:rFonts w:eastAsiaTheme="minorEastAsia" w:hint="eastAsia"/>
                <w:kern w:val="0"/>
                <w:sz w:val="22"/>
                <w:szCs w:val="22"/>
              </w:rPr>
              <w:t>收取，拖车按实收取。</w:t>
            </w:r>
          </w:p>
          <w:p w:rsidR="009162A8" w:rsidRPr="002D33F6" w:rsidRDefault="009162A8" w:rsidP="003F37AB">
            <w:pPr>
              <w:widowControl/>
              <w:jc w:val="left"/>
              <w:rPr>
                <w:rFonts w:eastAsiaTheme="minorEastAsia"/>
                <w:kern w:val="0"/>
                <w:sz w:val="22"/>
                <w:szCs w:val="22"/>
              </w:rPr>
            </w:pPr>
            <w:r w:rsidRPr="002D33F6">
              <w:rPr>
                <w:rFonts w:eastAsiaTheme="minorEastAsia"/>
                <w:kern w:val="0"/>
                <w:sz w:val="22"/>
                <w:szCs w:val="22"/>
              </w:rPr>
              <w:t>5</w:t>
            </w:r>
            <w:r w:rsidRPr="002D33F6">
              <w:rPr>
                <w:rFonts w:eastAsiaTheme="minorEastAsia" w:hint="eastAsia"/>
                <w:kern w:val="0"/>
                <w:sz w:val="22"/>
                <w:szCs w:val="22"/>
              </w:rPr>
              <w:t>、一次救援使用吊车对同一车</w:t>
            </w:r>
            <w:r w:rsidRPr="002D33F6">
              <w:rPr>
                <w:rFonts w:eastAsiaTheme="minorEastAsia"/>
                <w:kern w:val="0"/>
                <w:sz w:val="22"/>
                <w:szCs w:val="22"/>
              </w:rPr>
              <w:t>(</w:t>
            </w:r>
            <w:r w:rsidRPr="002D33F6">
              <w:rPr>
                <w:rFonts w:eastAsiaTheme="minorEastAsia" w:hint="eastAsia"/>
                <w:kern w:val="0"/>
                <w:sz w:val="22"/>
                <w:szCs w:val="22"/>
              </w:rPr>
              <w:t>货</w:t>
            </w:r>
            <w:r w:rsidRPr="002D33F6">
              <w:rPr>
                <w:rFonts w:eastAsiaTheme="minorEastAsia"/>
                <w:kern w:val="0"/>
                <w:sz w:val="22"/>
                <w:szCs w:val="22"/>
              </w:rPr>
              <w:t>)</w:t>
            </w:r>
            <w:r w:rsidRPr="002D33F6">
              <w:rPr>
                <w:rFonts w:eastAsiaTheme="minorEastAsia" w:hint="eastAsia"/>
                <w:kern w:val="0"/>
                <w:sz w:val="22"/>
                <w:szCs w:val="22"/>
              </w:rPr>
              <w:t>主吊装多件货物，第二件货物按规定收费标准的</w:t>
            </w:r>
            <w:r w:rsidRPr="002D33F6">
              <w:rPr>
                <w:rFonts w:eastAsiaTheme="minorEastAsia"/>
                <w:kern w:val="0"/>
                <w:sz w:val="22"/>
                <w:szCs w:val="22"/>
              </w:rPr>
              <w:t>50%</w:t>
            </w:r>
            <w:r w:rsidRPr="002D33F6">
              <w:rPr>
                <w:rFonts w:eastAsiaTheme="minorEastAsia" w:hint="eastAsia"/>
                <w:kern w:val="0"/>
                <w:sz w:val="22"/>
                <w:szCs w:val="22"/>
              </w:rPr>
              <w:t>收取吊车服务费用，第三件开始由双方按照不高于规定收费标准</w:t>
            </w:r>
            <w:r w:rsidRPr="002D33F6">
              <w:rPr>
                <w:rFonts w:eastAsiaTheme="minorEastAsia"/>
                <w:kern w:val="0"/>
                <w:sz w:val="22"/>
                <w:szCs w:val="22"/>
              </w:rPr>
              <w:t>50%</w:t>
            </w:r>
            <w:r w:rsidRPr="002D33F6">
              <w:rPr>
                <w:rFonts w:eastAsiaTheme="minorEastAsia" w:hint="eastAsia"/>
                <w:kern w:val="0"/>
                <w:sz w:val="22"/>
                <w:szCs w:val="22"/>
              </w:rPr>
              <w:t>的原则协商确定吊车服务费用。</w:t>
            </w: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 xml:space="preserve">　</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收费标准</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一型车</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1000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二型车</w:t>
            </w:r>
            <w:r w:rsidRPr="002D33F6">
              <w:rPr>
                <w:rFonts w:eastAsiaTheme="minorEastAsia"/>
                <w:kern w:val="0"/>
                <w:sz w:val="22"/>
                <w:szCs w:val="22"/>
              </w:rPr>
              <w:t xml:space="preserve">/ </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1100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三型车</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1800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四型车</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2200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lastRenderedPageBreak/>
              <w:t>五型车</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2500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lastRenderedPageBreak/>
              <w:t>2</w:t>
            </w:r>
            <w:r w:rsidRPr="002D33F6">
              <w:rPr>
                <w:rFonts w:eastAsiaTheme="minorEastAsia" w:hint="eastAsia"/>
                <w:kern w:val="0"/>
                <w:sz w:val="22"/>
                <w:szCs w:val="22"/>
              </w:rPr>
              <w:t>吨（含</w:t>
            </w:r>
            <w:r w:rsidRPr="002D33F6">
              <w:rPr>
                <w:rFonts w:eastAsiaTheme="minorEastAsia"/>
                <w:kern w:val="0"/>
                <w:sz w:val="22"/>
                <w:szCs w:val="22"/>
              </w:rPr>
              <w:t>2</w:t>
            </w:r>
            <w:r w:rsidRPr="002D33F6">
              <w:rPr>
                <w:rFonts w:eastAsiaTheme="minorEastAsia" w:hint="eastAsia"/>
                <w:kern w:val="0"/>
                <w:sz w:val="22"/>
                <w:szCs w:val="22"/>
              </w:rPr>
              <w:t>吨）以下</w:t>
            </w:r>
          </w:p>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货物</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1000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2-5</w:t>
            </w:r>
            <w:r w:rsidRPr="002D33F6">
              <w:rPr>
                <w:rFonts w:eastAsiaTheme="minorEastAsia" w:hint="eastAsia"/>
                <w:kern w:val="0"/>
                <w:sz w:val="22"/>
                <w:szCs w:val="22"/>
              </w:rPr>
              <w:t>吨（含</w:t>
            </w:r>
            <w:r w:rsidRPr="002D33F6">
              <w:rPr>
                <w:rFonts w:eastAsiaTheme="minorEastAsia"/>
                <w:kern w:val="0"/>
                <w:sz w:val="22"/>
                <w:szCs w:val="22"/>
              </w:rPr>
              <w:t>5</w:t>
            </w:r>
            <w:r w:rsidRPr="002D33F6">
              <w:rPr>
                <w:rFonts w:eastAsiaTheme="minorEastAsia" w:hint="eastAsia"/>
                <w:kern w:val="0"/>
                <w:sz w:val="22"/>
                <w:szCs w:val="22"/>
              </w:rPr>
              <w:t>吨）货物</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1100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5-10</w:t>
            </w:r>
            <w:r w:rsidRPr="002D33F6">
              <w:rPr>
                <w:rFonts w:eastAsiaTheme="minorEastAsia" w:hint="eastAsia"/>
                <w:kern w:val="0"/>
                <w:sz w:val="22"/>
                <w:szCs w:val="22"/>
              </w:rPr>
              <w:t>吨（含</w:t>
            </w:r>
            <w:r w:rsidRPr="002D33F6">
              <w:rPr>
                <w:rFonts w:eastAsiaTheme="minorEastAsia"/>
                <w:kern w:val="0"/>
                <w:sz w:val="22"/>
                <w:szCs w:val="22"/>
              </w:rPr>
              <w:t>10</w:t>
            </w:r>
            <w:r w:rsidRPr="002D33F6">
              <w:rPr>
                <w:rFonts w:eastAsiaTheme="minorEastAsia" w:hint="eastAsia"/>
                <w:kern w:val="0"/>
                <w:sz w:val="22"/>
                <w:szCs w:val="22"/>
              </w:rPr>
              <w:t>吨）</w:t>
            </w:r>
          </w:p>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货物</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1800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10-15</w:t>
            </w:r>
            <w:r w:rsidRPr="002D33F6">
              <w:rPr>
                <w:rFonts w:eastAsiaTheme="minorEastAsia" w:hint="eastAsia"/>
                <w:kern w:val="0"/>
                <w:sz w:val="22"/>
                <w:szCs w:val="22"/>
              </w:rPr>
              <w:t>吨（含</w:t>
            </w:r>
            <w:r w:rsidRPr="002D33F6">
              <w:rPr>
                <w:rFonts w:eastAsiaTheme="minorEastAsia"/>
                <w:kern w:val="0"/>
                <w:sz w:val="22"/>
                <w:szCs w:val="22"/>
              </w:rPr>
              <w:t>15</w:t>
            </w:r>
            <w:r w:rsidRPr="002D33F6">
              <w:rPr>
                <w:rFonts w:eastAsiaTheme="minorEastAsia" w:hint="eastAsia"/>
                <w:kern w:val="0"/>
                <w:sz w:val="22"/>
                <w:szCs w:val="22"/>
              </w:rPr>
              <w:t>吨</w:t>
            </w:r>
          </w:p>
          <w:p w:rsidR="009162A8" w:rsidRPr="002D33F6" w:rsidRDefault="009162A8" w:rsidP="003F37AB">
            <w:pPr>
              <w:widowControl/>
              <w:jc w:val="center"/>
              <w:rPr>
                <w:rFonts w:eastAsiaTheme="minorEastAsia"/>
                <w:kern w:val="0"/>
                <w:sz w:val="22"/>
                <w:szCs w:val="22"/>
              </w:rPr>
            </w:pPr>
            <w:r w:rsidRPr="002D33F6">
              <w:rPr>
                <w:rFonts w:eastAsiaTheme="minorEastAsia" w:hint="eastAsia"/>
                <w:kern w:val="0"/>
                <w:sz w:val="22"/>
                <w:szCs w:val="22"/>
              </w:rPr>
              <w:t>货物</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2200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15</w:t>
            </w:r>
            <w:r w:rsidRPr="002D33F6">
              <w:rPr>
                <w:rFonts w:eastAsiaTheme="minorEastAsia" w:hint="eastAsia"/>
                <w:kern w:val="0"/>
                <w:sz w:val="22"/>
                <w:szCs w:val="22"/>
              </w:rPr>
              <w:t>吨</w:t>
            </w:r>
            <w:r w:rsidRPr="002D33F6">
              <w:rPr>
                <w:rFonts w:eastAsiaTheme="minorEastAsia"/>
                <w:kern w:val="0"/>
                <w:sz w:val="22"/>
                <w:szCs w:val="22"/>
              </w:rPr>
              <w:t>-20</w:t>
            </w:r>
            <w:r w:rsidRPr="002D33F6">
              <w:rPr>
                <w:rFonts w:eastAsiaTheme="minorEastAsia" w:hint="eastAsia"/>
                <w:kern w:val="0"/>
                <w:sz w:val="22"/>
                <w:szCs w:val="22"/>
              </w:rPr>
              <w:t>吨（含</w:t>
            </w:r>
            <w:r w:rsidRPr="002D33F6">
              <w:rPr>
                <w:rFonts w:eastAsiaTheme="minorEastAsia"/>
                <w:kern w:val="0"/>
                <w:sz w:val="22"/>
                <w:szCs w:val="22"/>
              </w:rPr>
              <w:t>20</w:t>
            </w:r>
            <w:r w:rsidRPr="002D33F6">
              <w:rPr>
                <w:rFonts w:eastAsiaTheme="minorEastAsia" w:hint="eastAsia"/>
                <w:kern w:val="0"/>
                <w:sz w:val="22"/>
                <w:szCs w:val="22"/>
              </w:rPr>
              <w:t>吨）货物</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2500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675"/>
          <w:jc w:val="center"/>
        </w:trPr>
        <w:tc>
          <w:tcPr>
            <w:tcW w:w="2290" w:type="dxa"/>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20</w:t>
            </w:r>
            <w:r w:rsidRPr="002D33F6">
              <w:rPr>
                <w:rFonts w:eastAsiaTheme="minorEastAsia" w:hint="eastAsia"/>
                <w:kern w:val="0"/>
                <w:sz w:val="22"/>
                <w:szCs w:val="22"/>
              </w:rPr>
              <w:t>吨以上货物</w:t>
            </w:r>
          </w:p>
        </w:tc>
        <w:tc>
          <w:tcPr>
            <w:tcW w:w="2471" w:type="dxa"/>
            <w:gridSpan w:val="2"/>
            <w:shd w:val="clear" w:color="auto" w:fill="auto"/>
            <w:vAlign w:val="center"/>
          </w:tcPr>
          <w:p w:rsidR="009162A8" w:rsidRPr="002D33F6" w:rsidRDefault="009162A8" w:rsidP="003F37AB">
            <w:pPr>
              <w:widowControl/>
              <w:jc w:val="center"/>
              <w:rPr>
                <w:rFonts w:eastAsiaTheme="minorEastAsia"/>
                <w:kern w:val="0"/>
                <w:sz w:val="22"/>
                <w:szCs w:val="22"/>
              </w:rPr>
            </w:pPr>
            <w:r w:rsidRPr="002D33F6">
              <w:rPr>
                <w:rFonts w:eastAsiaTheme="minorEastAsia"/>
                <w:kern w:val="0"/>
                <w:sz w:val="22"/>
                <w:szCs w:val="22"/>
              </w:rPr>
              <w:t>2800</w:t>
            </w:r>
            <w:r w:rsidRPr="002D33F6">
              <w:rPr>
                <w:rFonts w:eastAsiaTheme="minorEastAsia" w:hint="eastAsia"/>
                <w:kern w:val="0"/>
                <w:sz w:val="22"/>
                <w:szCs w:val="22"/>
              </w:rPr>
              <w:t>元</w:t>
            </w:r>
            <w:r w:rsidRPr="002D33F6">
              <w:rPr>
                <w:rFonts w:eastAsiaTheme="minorEastAsia"/>
                <w:kern w:val="0"/>
                <w:sz w:val="22"/>
                <w:szCs w:val="22"/>
              </w:rPr>
              <w:t>/</w:t>
            </w:r>
            <w:r w:rsidRPr="002D33F6">
              <w:rPr>
                <w:rFonts w:eastAsiaTheme="minorEastAsia" w:hint="eastAsia"/>
                <w:kern w:val="0"/>
                <w:sz w:val="22"/>
                <w:szCs w:val="22"/>
              </w:rPr>
              <w:t>车次</w:t>
            </w:r>
          </w:p>
        </w:tc>
        <w:tc>
          <w:tcPr>
            <w:tcW w:w="4900" w:type="dxa"/>
            <w:vMerge/>
            <w:shd w:val="clear" w:color="auto" w:fill="auto"/>
            <w:vAlign w:val="center"/>
          </w:tcPr>
          <w:p w:rsidR="009162A8" w:rsidRPr="002D33F6" w:rsidRDefault="009162A8" w:rsidP="003F37AB">
            <w:pPr>
              <w:widowControl/>
              <w:jc w:val="left"/>
              <w:rPr>
                <w:rFonts w:eastAsiaTheme="minorEastAsia"/>
                <w:kern w:val="0"/>
                <w:sz w:val="22"/>
                <w:szCs w:val="22"/>
              </w:rPr>
            </w:pPr>
          </w:p>
        </w:tc>
      </w:tr>
      <w:tr w:rsidR="009162A8" w:rsidRPr="002D33F6" w:rsidTr="003F37AB">
        <w:trPr>
          <w:trHeight w:val="2850"/>
          <w:jc w:val="center"/>
        </w:trPr>
        <w:tc>
          <w:tcPr>
            <w:tcW w:w="9661" w:type="dxa"/>
            <w:gridSpan w:val="4"/>
            <w:tcBorders>
              <w:left w:val="nil"/>
              <w:bottom w:val="nil"/>
              <w:right w:val="nil"/>
            </w:tcBorders>
            <w:shd w:val="clear" w:color="auto" w:fill="auto"/>
            <w:vAlign w:val="center"/>
          </w:tcPr>
          <w:p w:rsidR="009162A8" w:rsidRPr="002D33F6" w:rsidRDefault="009162A8" w:rsidP="003F37AB">
            <w:pPr>
              <w:widowControl/>
              <w:ind w:left="792" w:hangingChars="360" w:hanging="792"/>
              <w:jc w:val="left"/>
              <w:rPr>
                <w:rFonts w:eastAsiaTheme="minorEastAsia"/>
                <w:kern w:val="0"/>
                <w:sz w:val="22"/>
                <w:szCs w:val="22"/>
              </w:rPr>
            </w:pPr>
            <w:r w:rsidRPr="002D33F6">
              <w:rPr>
                <w:rFonts w:eastAsiaTheme="minorEastAsia" w:hint="eastAsia"/>
                <w:kern w:val="0"/>
                <w:sz w:val="22"/>
                <w:szCs w:val="22"/>
              </w:rPr>
              <w:t>注：</w:t>
            </w:r>
            <w:r w:rsidRPr="002D33F6">
              <w:rPr>
                <w:rFonts w:eastAsiaTheme="minorEastAsia"/>
                <w:kern w:val="0"/>
                <w:sz w:val="22"/>
                <w:szCs w:val="22"/>
              </w:rPr>
              <w:t>1</w:t>
            </w:r>
            <w:r w:rsidRPr="002D33F6">
              <w:rPr>
                <w:rFonts w:eastAsiaTheme="minorEastAsia" w:hint="eastAsia"/>
                <w:kern w:val="0"/>
                <w:sz w:val="22"/>
                <w:szCs w:val="22"/>
              </w:rPr>
              <w:t>、车型分类：一型车为</w:t>
            </w:r>
            <w:r w:rsidRPr="002D33F6">
              <w:rPr>
                <w:rFonts w:eastAsiaTheme="minorEastAsia"/>
                <w:kern w:val="0"/>
                <w:sz w:val="22"/>
                <w:szCs w:val="22"/>
              </w:rPr>
              <w:t>7</w:t>
            </w:r>
            <w:r w:rsidRPr="002D33F6">
              <w:rPr>
                <w:rFonts w:eastAsiaTheme="minorEastAsia" w:hint="eastAsia"/>
                <w:kern w:val="0"/>
                <w:sz w:val="22"/>
                <w:szCs w:val="22"/>
              </w:rPr>
              <w:t>座以下客车，</w:t>
            </w:r>
            <w:r w:rsidRPr="002D33F6">
              <w:rPr>
                <w:rFonts w:eastAsiaTheme="minorEastAsia"/>
                <w:kern w:val="0"/>
                <w:sz w:val="22"/>
                <w:szCs w:val="22"/>
              </w:rPr>
              <w:t>2</w:t>
            </w:r>
            <w:r w:rsidRPr="002D33F6">
              <w:rPr>
                <w:rFonts w:eastAsiaTheme="minorEastAsia" w:hint="eastAsia"/>
                <w:kern w:val="0"/>
                <w:sz w:val="22"/>
                <w:szCs w:val="22"/>
              </w:rPr>
              <w:t>吨（含</w:t>
            </w:r>
            <w:r w:rsidRPr="002D33F6">
              <w:rPr>
                <w:rFonts w:eastAsiaTheme="minorEastAsia"/>
                <w:kern w:val="0"/>
                <w:sz w:val="22"/>
                <w:szCs w:val="22"/>
              </w:rPr>
              <w:t>2</w:t>
            </w:r>
            <w:r w:rsidRPr="002D33F6">
              <w:rPr>
                <w:rFonts w:eastAsiaTheme="minorEastAsia" w:hint="eastAsia"/>
                <w:kern w:val="0"/>
                <w:sz w:val="22"/>
                <w:szCs w:val="22"/>
              </w:rPr>
              <w:t>吨）以下货车；二型车为</w:t>
            </w:r>
            <w:r w:rsidRPr="002D33F6">
              <w:rPr>
                <w:rFonts w:eastAsiaTheme="minorEastAsia"/>
                <w:kern w:val="0"/>
                <w:sz w:val="22"/>
                <w:szCs w:val="22"/>
              </w:rPr>
              <w:t>8-19</w:t>
            </w:r>
            <w:r w:rsidRPr="002D33F6">
              <w:rPr>
                <w:rFonts w:eastAsiaTheme="minorEastAsia" w:hint="eastAsia"/>
                <w:kern w:val="0"/>
                <w:sz w:val="22"/>
                <w:szCs w:val="22"/>
              </w:rPr>
              <w:t>座客车，</w:t>
            </w:r>
            <w:r w:rsidRPr="002D33F6">
              <w:rPr>
                <w:rFonts w:eastAsiaTheme="minorEastAsia"/>
                <w:kern w:val="0"/>
                <w:sz w:val="22"/>
                <w:szCs w:val="22"/>
              </w:rPr>
              <w:t>2-5</w:t>
            </w:r>
            <w:r w:rsidRPr="002D33F6">
              <w:rPr>
                <w:rFonts w:eastAsiaTheme="minorEastAsia" w:hint="eastAsia"/>
                <w:kern w:val="0"/>
                <w:sz w:val="22"/>
                <w:szCs w:val="22"/>
              </w:rPr>
              <w:t>吨（含</w:t>
            </w:r>
            <w:r w:rsidRPr="002D33F6">
              <w:rPr>
                <w:rFonts w:eastAsiaTheme="minorEastAsia"/>
                <w:kern w:val="0"/>
                <w:sz w:val="22"/>
                <w:szCs w:val="22"/>
              </w:rPr>
              <w:t>5</w:t>
            </w:r>
            <w:r w:rsidRPr="002D33F6">
              <w:rPr>
                <w:rFonts w:eastAsiaTheme="minorEastAsia" w:hint="eastAsia"/>
                <w:kern w:val="0"/>
                <w:sz w:val="22"/>
                <w:szCs w:val="22"/>
              </w:rPr>
              <w:t>吨）货车；三型车为</w:t>
            </w:r>
            <w:r w:rsidRPr="002D33F6">
              <w:rPr>
                <w:rFonts w:eastAsiaTheme="minorEastAsia"/>
                <w:kern w:val="0"/>
                <w:sz w:val="22"/>
                <w:szCs w:val="22"/>
              </w:rPr>
              <w:t>20-39</w:t>
            </w:r>
            <w:r w:rsidRPr="002D33F6">
              <w:rPr>
                <w:rFonts w:eastAsiaTheme="minorEastAsia" w:hint="eastAsia"/>
                <w:kern w:val="0"/>
                <w:sz w:val="22"/>
                <w:szCs w:val="22"/>
              </w:rPr>
              <w:t>座客车，</w:t>
            </w:r>
            <w:r w:rsidRPr="002D33F6">
              <w:rPr>
                <w:rFonts w:eastAsiaTheme="minorEastAsia"/>
                <w:kern w:val="0"/>
                <w:sz w:val="22"/>
                <w:szCs w:val="22"/>
              </w:rPr>
              <w:t>5-10</w:t>
            </w:r>
            <w:r w:rsidRPr="002D33F6">
              <w:rPr>
                <w:rFonts w:eastAsiaTheme="minorEastAsia" w:hint="eastAsia"/>
                <w:kern w:val="0"/>
                <w:sz w:val="22"/>
                <w:szCs w:val="22"/>
              </w:rPr>
              <w:t>吨（含</w:t>
            </w:r>
            <w:r w:rsidRPr="002D33F6">
              <w:rPr>
                <w:rFonts w:eastAsiaTheme="minorEastAsia"/>
                <w:kern w:val="0"/>
                <w:sz w:val="22"/>
                <w:szCs w:val="22"/>
              </w:rPr>
              <w:t>10</w:t>
            </w:r>
            <w:r w:rsidRPr="002D33F6">
              <w:rPr>
                <w:rFonts w:eastAsiaTheme="minorEastAsia" w:hint="eastAsia"/>
                <w:kern w:val="0"/>
                <w:sz w:val="22"/>
                <w:szCs w:val="22"/>
              </w:rPr>
              <w:t>吨）货车；四型车为</w:t>
            </w:r>
            <w:r w:rsidRPr="002D33F6">
              <w:rPr>
                <w:rFonts w:eastAsiaTheme="minorEastAsia"/>
                <w:kern w:val="0"/>
                <w:sz w:val="22"/>
                <w:szCs w:val="22"/>
              </w:rPr>
              <w:t>40</w:t>
            </w:r>
            <w:r w:rsidRPr="002D33F6">
              <w:rPr>
                <w:rFonts w:eastAsiaTheme="minorEastAsia" w:hint="eastAsia"/>
                <w:kern w:val="0"/>
                <w:sz w:val="22"/>
                <w:szCs w:val="22"/>
              </w:rPr>
              <w:t>座及以上客车，</w:t>
            </w:r>
            <w:r w:rsidRPr="002D33F6">
              <w:rPr>
                <w:rFonts w:eastAsiaTheme="minorEastAsia"/>
                <w:kern w:val="0"/>
                <w:sz w:val="22"/>
                <w:szCs w:val="22"/>
              </w:rPr>
              <w:t>10-15</w:t>
            </w:r>
            <w:r w:rsidRPr="002D33F6">
              <w:rPr>
                <w:rFonts w:eastAsiaTheme="minorEastAsia" w:hint="eastAsia"/>
                <w:kern w:val="0"/>
                <w:sz w:val="22"/>
                <w:szCs w:val="22"/>
              </w:rPr>
              <w:t>吨（含</w:t>
            </w:r>
            <w:r w:rsidRPr="002D33F6">
              <w:rPr>
                <w:rFonts w:eastAsiaTheme="minorEastAsia"/>
                <w:kern w:val="0"/>
                <w:sz w:val="22"/>
                <w:szCs w:val="22"/>
              </w:rPr>
              <w:t>15</w:t>
            </w:r>
            <w:r w:rsidRPr="002D33F6">
              <w:rPr>
                <w:rFonts w:eastAsiaTheme="minorEastAsia" w:hint="eastAsia"/>
                <w:kern w:val="0"/>
                <w:sz w:val="22"/>
                <w:szCs w:val="22"/>
              </w:rPr>
              <w:t>吨）货车和</w:t>
            </w:r>
            <w:r w:rsidRPr="002D33F6">
              <w:rPr>
                <w:rFonts w:eastAsiaTheme="minorEastAsia"/>
                <w:kern w:val="0"/>
                <w:sz w:val="22"/>
                <w:szCs w:val="22"/>
              </w:rPr>
              <w:t>20</w:t>
            </w:r>
            <w:r w:rsidRPr="002D33F6">
              <w:rPr>
                <w:rFonts w:eastAsiaTheme="minorEastAsia" w:hint="eastAsia"/>
                <w:kern w:val="0"/>
                <w:sz w:val="22"/>
                <w:szCs w:val="22"/>
              </w:rPr>
              <w:t>英尺集装箱货车，五型车为</w:t>
            </w:r>
            <w:r w:rsidRPr="002D33F6">
              <w:rPr>
                <w:rFonts w:eastAsiaTheme="minorEastAsia"/>
                <w:kern w:val="0"/>
                <w:sz w:val="22"/>
                <w:szCs w:val="22"/>
              </w:rPr>
              <w:t>15</w:t>
            </w:r>
            <w:r w:rsidRPr="002D33F6">
              <w:rPr>
                <w:rFonts w:eastAsiaTheme="minorEastAsia" w:hint="eastAsia"/>
                <w:kern w:val="0"/>
                <w:sz w:val="22"/>
                <w:szCs w:val="22"/>
              </w:rPr>
              <w:t>吨以上货车和</w:t>
            </w:r>
            <w:r w:rsidRPr="002D33F6">
              <w:rPr>
                <w:rFonts w:eastAsiaTheme="minorEastAsia"/>
                <w:kern w:val="0"/>
                <w:sz w:val="22"/>
                <w:szCs w:val="22"/>
              </w:rPr>
              <w:t>40</w:t>
            </w:r>
            <w:r w:rsidRPr="002D33F6">
              <w:rPr>
                <w:rFonts w:eastAsiaTheme="minorEastAsia" w:hint="eastAsia"/>
                <w:kern w:val="0"/>
                <w:sz w:val="22"/>
                <w:szCs w:val="22"/>
              </w:rPr>
              <w:t>英尺集装箱货车。卧铺客车每</w:t>
            </w:r>
            <w:r w:rsidRPr="002D33F6">
              <w:rPr>
                <w:rFonts w:eastAsiaTheme="minorEastAsia"/>
                <w:kern w:val="0"/>
                <w:sz w:val="22"/>
                <w:szCs w:val="22"/>
              </w:rPr>
              <w:t>1</w:t>
            </w:r>
            <w:r w:rsidRPr="002D33F6">
              <w:rPr>
                <w:rFonts w:eastAsiaTheme="minorEastAsia" w:hint="eastAsia"/>
                <w:kern w:val="0"/>
                <w:sz w:val="22"/>
                <w:szCs w:val="22"/>
              </w:rPr>
              <w:t>铺位折合</w:t>
            </w:r>
            <w:r w:rsidRPr="002D33F6">
              <w:rPr>
                <w:rFonts w:eastAsiaTheme="minorEastAsia"/>
                <w:kern w:val="0"/>
                <w:sz w:val="22"/>
                <w:szCs w:val="22"/>
              </w:rPr>
              <w:t>1.5</w:t>
            </w:r>
            <w:r w:rsidRPr="002D33F6">
              <w:rPr>
                <w:rFonts w:eastAsiaTheme="minorEastAsia" w:hint="eastAsia"/>
                <w:kern w:val="0"/>
                <w:sz w:val="22"/>
                <w:szCs w:val="22"/>
              </w:rPr>
              <w:t>个座位。收费车辆的吨位、座位数按全省统一的交通</w:t>
            </w:r>
            <w:proofErr w:type="gramStart"/>
            <w:r w:rsidRPr="002D33F6">
              <w:rPr>
                <w:rFonts w:eastAsiaTheme="minorEastAsia" w:hint="eastAsia"/>
                <w:kern w:val="0"/>
                <w:sz w:val="22"/>
                <w:szCs w:val="22"/>
              </w:rPr>
              <w:t>规</w:t>
            </w:r>
            <w:proofErr w:type="gramEnd"/>
            <w:r w:rsidRPr="002D33F6">
              <w:rPr>
                <w:rFonts w:eastAsiaTheme="minorEastAsia" w:hint="eastAsia"/>
                <w:kern w:val="0"/>
                <w:sz w:val="22"/>
                <w:szCs w:val="22"/>
              </w:rPr>
              <w:t>费核定计算。</w:t>
            </w:r>
          </w:p>
          <w:p w:rsidR="009162A8" w:rsidRPr="002D33F6" w:rsidRDefault="009162A8" w:rsidP="003F37AB">
            <w:pPr>
              <w:widowControl/>
              <w:ind w:leftChars="210" w:left="661" w:hangingChars="100" w:hanging="220"/>
              <w:jc w:val="left"/>
              <w:rPr>
                <w:rFonts w:eastAsiaTheme="minorEastAsia"/>
                <w:kern w:val="0"/>
                <w:sz w:val="22"/>
                <w:szCs w:val="22"/>
              </w:rPr>
            </w:pPr>
            <w:r w:rsidRPr="002D33F6">
              <w:rPr>
                <w:rFonts w:eastAsiaTheme="minorEastAsia"/>
                <w:kern w:val="0"/>
                <w:sz w:val="22"/>
                <w:szCs w:val="22"/>
              </w:rPr>
              <w:t>2</w:t>
            </w:r>
            <w:r w:rsidRPr="002D33F6">
              <w:rPr>
                <w:rFonts w:eastAsiaTheme="minorEastAsia" w:hint="eastAsia"/>
                <w:kern w:val="0"/>
                <w:sz w:val="22"/>
                <w:szCs w:val="22"/>
              </w:rPr>
              <w:t>、对确定需要服务，本表未列收费项目的，由双方签订书面协议协商收费。</w:t>
            </w:r>
          </w:p>
          <w:p w:rsidR="009162A8" w:rsidRPr="002D33F6" w:rsidRDefault="009162A8" w:rsidP="003F37AB">
            <w:pPr>
              <w:widowControl/>
              <w:ind w:leftChars="210" w:left="881" w:hangingChars="200" w:hanging="440"/>
              <w:jc w:val="left"/>
              <w:rPr>
                <w:rFonts w:eastAsiaTheme="minorEastAsia"/>
                <w:kern w:val="0"/>
                <w:sz w:val="22"/>
                <w:szCs w:val="22"/>
              </w:rPr>
            </w:pPr>
            <w:r w:rsidRPr="002D33F6">
              <w:rPr>
                <w:rFonts w:eastAsiaTheme="minorEastAsia"/>
                <w:kern w:val="0"/>
                <w:sz w:val="22"/>
                <w:szCs w:val="22"/>
              </w:rPr>
              <w:t>3</w:t>
            </w:r>
            <w:r w:rsidRPr="002D33F6">
              <w:rPr>
                <w:rFonts w:eastAsiaTheme="minorEastAsia" w:hint="eastAsia"/>
                <w:kern w:val="0"/>
                <w:sz w:val="22"/>
                <w:szCs w:val="22"/>
              </w:rPr>
              <w:t>、救援服务单位对被救援车辆提供拖车、吊车、转运服务过程中，被救援车辆严禁载人。救</w:t>
            </w:r>
          </w:p>
          <w:p w:rsidR="009162A8" w:rsidRPr="002D33F6" w:rsidRDefault="009162A8" w:rsidP="003F37AB">
            <w:pPr>
              <w:widowControl/>
              <w:ind w:leftChars="360" w:left="756"/>
              <w:jc w:val="left"/>
              <w:rPr>
                <w:rFonts w:eastAsiaTheme="minorEastAsia"/>
                <w:kern w:val="0"/>
                <w:sz w:val="22"/>
                <w:szCs w:val="22"/>
              </w:rPr>
            </w:pPr>
            <w:proofErr w:type="gramStart"/>
            <w:r w:rsidRPr="002D33F6">
              <w:rPr>
                <w:rFonts w:eastAsiaTheme="minorEastAsia" w:hint="eastAsia"/>
                <w:kern w:val="0"/>
                <w:sz w:val="22"/>
                <w:szCs w:val="22"/>
              </w:rPr>
              <w:t>援</w:t>
            </w:r>
            <w:proofErr w:type="gramEnd"/>
            <w:r w:rsidRPr="002D33F6">
              <w:rPr>
                <w:rFonts w:eastAsiaTheme="minorEastAsia" w:hint="eastAsia"/>
                <w:kern w:val="0"/>
                <w:sz w:val="22"/>
                <w:szCs w:val="22"/>
              </w:rPr>
              <w:t>服务单位对被救援车辆提供人员转运服务的，可参照当地出租车收费标准或采取协议定价方式收取人员转运费用。</w:t>
            </w:r>
          </w:p>
        </w:tc>
      </w:tr>
    </w:tbl>
    <w:p w:rsidR="009162A8" w:rsidRPr="002D33F6" w:rsidRDefault="009162A8" w:rsidP="009162A8">
      <w:pPr>
        <w:tabs>
          <w:tab w:val="left" w:pos="1665"/>
        </w:tabs>
      </w:pPr>
    </w:p>
    <w:p w:rsidR="009162A8" w:rsidRPr="002D33F6" w:rsidRDefault="009162A8" w:rsidP="009162A8">
      <w:pPr>
        <w:wordWrap w:val="0"/>
        <w:autoSpaceDE w:val="0"/>
        <w:autoSpaceDN w:val="0"/>
        <w:adjustRightInd w:val="0"/>
        <w:spacing w:line="596" w:lineRule="exact"/>
        <w:ind w:right="-2"/>
        <w:jc w:val="right"/>
        <w:rPr>
          <w:rFonts w:eastAsia="仿宋_GB2312"/>
          <w:w w:val="98"/>
          <w:sz w:val="32"/>
        </w:rPr>
      </w:pPr>
      <w:r w:rsidRPr="002D33F6">
        <w:rPr>
          <w:rFonts w:eastAsia="仿宋_GB2312"/>
          <w:w w:val="98"/>
          <w:sz w:val="32"/>
        </w:rPr>
        <w:t xml:space="preserve">       </w:t>
      </w:r>
    </w:p>
    <w:p w:rsidR="009162A8" w:rsidRPr="002D33F6" w:rsidRDefault="009162A8" w:rsidP="009162A8">
      <w:pPr>
        <w:spacing w:line="596" w:lineRule="exact"/>
        <w:rPr>
          <w:rFonts w:eastAsia="仿宋_GB2312"/>
          <w:sz w:val="32"/>
        </w:rPr>
      </w:pPr>
    </w:p>
    <w:p w:rsidR="009162A8" w:rsidRPr="002D33F6" w:rsidRDefault="009162A8" w:rsidP="009162A8">
      <w:pPr>
        <w:spacing w:line="596" w:lineRule="exact"/>
        <w:rPr>
          <w:rFonts w:eastAsia="仿宋_GB2312"/>
          <w:sz w:val="32"/>
        </w:rPr>
      </w:pPr>
    </w:p>
    <w:p w:rsidR="009162A8" w:rsidRPr="002D33F6" w:rsidRDefault="009162A8" w:rsidP="009162A8">
      <w:pPr>
        <w:spacing w:line="596" w:lineRule="exact"/>
        <w:rPr>
          <w:rFonts w:eastAsia="仿宋_GB2312"/>
          <w:sz w:val="32"/>
        </w:rPr>
      </w:pPr>
    </w:p>
    <w:p w:rsidR="008A1981" w:rsidRPr="009162A8" w:rsidRDefault="008A1981"/>
    <w:sectPr w:rsidR="008A1981" w:rsidRPr="00916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A8"/>
    <w:rsid w:val="008A1981"/>
    <w:rsid w:val="0091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备用2</dc:creator>
  <cp:lastModifiedBy>备用2</cp:lastModifiedBy>
  <cp:revision>1</cp:revision>
  <dcterms:created xsi:type="dcterms:W3CDTF">2019-10-30T09:31:00Z</dcterms:created>
  <dcterms:modified xsi:type="dcterms:W3CDTF">2019-10-30T09:31:00Z</dcterms:modified>
</cp:coreProperties>
</file>