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A6" w:rsidRPr="00593EEF" w:rsidRDefault="004647A6" w:rsidP="004647A6">
      <w:pPr>
        <w:spacing w:line="596" w:lineRule="exact"/>
        <w:rPr>
          <w:rFonts w:eastAsia="仿宋_GB2312"/>
          <w:sz w:val="32"/>
          <w:szCs w:val="32"/>
        </w:rPr>
      </w:pPr>
      <w:r w:rsidRPr="00593EEF">
        <w:rPr>
          <w:rFonts w:eastAsia="仿宋_GB2312"/>
          <w:sz w:val="32"/>
          <w:szCs w:val="32"/>
        </w:rPr>
        <w:t>附件：</w:t>
      </w:r>
    </w:p>
    <w:p w:rsidR="004647A6" w:rsidRPr="00A607B0" w:rsidRDefault="004647A6" w:rsidP="004647A6">
      <w:pPr>
        <w:spacing w:line="596" w:lineRule="exact"/>
        <w:jc w:val="center"/>
        <w:rPr>
          <w:rFonts w:eastAsia="方正小标宋_GBK"/>
          <w:sz w:val="38"/>
          <w:szCs w:val="38"/>
        </w:rPr>
      </w:pPr>
      <w:r w:rsidRPr="00A607B0">
        <w:rPr>
          <w:rFonts w:eastAsia="方正小标宋_GBK"/>
          <w:sz w:val="38"/>
          <w:szCs w:val="38"/>
        </w:rPr>
        <w:t>湖南省易地扶贫搬迁工程</w:t>
      </w:r>
      <w:r w:rsidRPr="00A607B0">
        <w:rPr>
          <w:rFonts w:eastAsia="方正小标宋_GBK"/>
          <w:sz w:val="38"/>
          <w:szCs w:val="38"/>
        </w:rPr>
        <w:t>2019</w:t>
      </w:r>
      <w:r w:rsidRPr="00A607B0">
        <w:rPr>
          <w:rFonts w:eastAsia="方正小标宋_GBK"/>
          <w:sz w:val="38"/>
          <w:szCs w:val="38"/>
        </w:rPr>
        <w:t>年中央预算内投资</w:t>
      </w:r>
      <w:proofErr w:type="gramStart"/>
      <w:r>
        <w:rPr>
          <w:rFonts w:eastAsia="方正小标宋_GBK" w:hint="eastAsia"/>
          <w:sz w:val="38"/>
          <w:szCs w:val="38"/>
        </w:rPr>
        <w:t>拟支持</w:t>
      </w:r>
      <w:proofErr w:type="gramEnd"/>
      <w:r>
        <w:rPr>
          <w:rFonts w:eastAsia="方正小标宋_GBK" w:hint="eastAsia"/>
          <w:sz w:val="38"/>
          <w:szCs w:val="38"/>
        </w:rPr>
        <w:t>项目名单</w:t>
      </w:r>
    </w:p>
    <w:p w:rsidR="004647A6" w:rsidRPr="00593EEF" w:rsidRDefault="004647A6" w:rsidP="004647A6">
      <w:r w:rsidRPr="00593EEF">
        <w:t xml:space="preserve">                                                                                           </w:t>
      </w:r>
      <w:r>
        <w:t xml:space="preserve">                           </w:t>
      </w:r>
      <w:r w:rsidRPr="00593EEF">
        <w:t>单位：万元</w:t>
      </w:r>
    </w:p>
    <w:tbl>
      <w:tblPr>
        <w:tblW w:w="11313" w:type="dxa"/>
        <w:jc w:val="center"/>
        <w:tblLook w:val="04A0" w:firstRow="1" w:lastRow="0" w:firstColumn="1" w:lastColumn="0" w:noHBand="0" w:noVBand="1"/>
      </w:tblPr>
      <w:tblGrid>
        <w:gridCol w:w="629"/>
        <w:gridCol w:w="1124"/>
        <w:gridCol w:w="2608"/>
        <w:gridCol w:w="3310"/>
        <w:gridCol w:w="1134"/>
        <w:gridCol w:w="946"/>
        <w:gridCol w:w="1562"/>
      </w:tblGrid>
      <w:tr w:rsidR="004647A6" w:rsidRPr="00833916" w:rsidTr="002E769A">
        <w:trPr>
          <w:trHeight w:val="397"/>
          <w:tblHeade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序号</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所在县</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项目名称</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建设规模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预计完工时间</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总投资</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4647A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2019年</w:t>
            </w:r>
          </w:p>
          <w:p w:rsidR="004647A6" w:rsidRPr="00833916" w:rsidRDefault="004647A6" w:rsidP="002E769A">
            <w:pPr>
              <w:widowControl/>
              <w:ind w:leftChars="-20" w:left="-42" w:rightChars="-20" w:right="-42"/>
              <w:jc w:val="center"/>
              <w:rPr>
                <w:rFonts w:ascii="黑体" w:eastAsia="黑体" w:hAnsi="黑体" w:cs="宋体"/>
                <w:bCs/>
                <w:kern w:val="0"/>
                <w:sz w:val="24"/>
              </w:rPr>
            </w:pPr>
            <w:r w:rsidRPr="00833916">
              <w:rPr>
                <w:rFonts w:ascii="黑体" w:eastAsia="黑体" w:hAnsi="黑体" w:cs="宋体" w:hint="eastAsia"/>
                <w:bCs/>
                <w:kern w:val="0"/>
                <w:sz w:val="24"/>
              </w:rPr>
              <w:t>中央预算内投资</w:t>
            </w:r>
          </w:p>
        </w:tc>
      </w:tr>
      <w:tr w:rsidR="004647A6" w:rsidRPr="00833916" w:rsidTr="002E769A">
        <w:trPr>
          <w:trHeight w:val="39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1</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凤凰县</w:t>
            </w:r>
          </w:p>
        </w:tc>
        <w:tc>
          <w:tcPr>
            <w:tcW w:w="2608"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凤凰</w:t>
            </w:r>
            <w:proofErr w:type="gramStart"/>
            <w:r w:rsidRPr="00833916">
              <w:rPr>
                <w:rFonts w:ascii="宋体" w:hAnsi="宋体" w:cs="宋体" w:hint="eastAsia"/>
                <w:color w:val="000000"/>
                <w:kern w:val="0"/>
                <w:sz w:val="24"/>
              </w:rPr>
              <w:t>县禾库镇</w:t>
            </w:r>
            <w:proofErr w:type="gramEnd"/>
            <w:r w:rsidRPr="00833916">
              <w:rPr>
                <w:rFonts w:ascii="宋体" w:hAnsi="宋体" w:cs="宋体" w:hint="eastAsia"/>
                <w:color w:val="000000"/>
                <w:kern w:val="0"/>
                <w:sz w:val="24"/>
              </w:rPr>
              <w:t>易地扶贫搬迁安置点配套基本公共服务设施补短板项目</w:t>
            </w:r>
          </w:p>
        </w:tc>
        <w:tc>
          <w:tcPr>
            <w:tcW w:w="3310"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新建卫生院一所99个床位，占地面积6476平方米，建筑面积10187平方米。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2020年11月</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5516</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295</w:t>
            </w:r>
          </w:p>
        </w:tc>
      </w:tr>
      <w:tr w:rsidR="004647A6" w:rsidRPr="00833916" w:rsidTr="002E769A">
        <w:trPr>
          <w:trHeight w:val="39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2</w:t>
            </w:r>
          </w:p>
        </w:tc>
        <w:tc>
          <w:tcPr>
            <w:tcW w:w="1124"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麻阳苗族自治县</w:t>
            </w:r>
          </w:p>
        </w:tc>
        <w:tc>
          <w:tcPr>
            <w:tcW w:w="2608"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麻阳苗族自治县高村镇龙池村城西易地扶贫搬迁安置点配套基本公共服务设施补短板项目</w:t>
            </w:r>
          </w:p>
        </w:tc>
        <w:tc>
          <w:tcPr>
            <w:tcW w:w="3310"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新建幼儿园一所，占地面积4000平方米，建筑面积2300平方米。</w:t>
            </w:r>
          </w:p>
        </w:tc>
        <w:tc>
          <w:tcPr>
            <w:tcW w:w="1134"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2020年10月</w:t>
            </w:r>
          </w:p>
        </w:tc>
        <w:tc>
          <w:tcPr>
            <w:tcW w:w="946"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800</w:t>
            </w:r>
          </w:p>
        </w:tc>
        <w:tc>
          <w:tcPr>
            <w:tcW w:w="1562"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176</w:t>
            </w:r>
          </w:p>
        </w:tc>
      </w:tr>
      <w:tr w:rsidR="004647A6" w:rsidRPr="00833916" w:rsidTr="002E769A">
        <w:trPr>
          <w:trHeight w:val="397"/>
          <w:jc w:val="center"/>
        </w:trPr>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3</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永顺县</w:t>
            </w:r>
          </w:p>
        </w:tc>
        <w:tc>
          <w:tcPr>
            <w:tcW w:w="2608"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永顺县芙蓉镇易地扶贫搬迁安置点民族中学迁建项目</w:t>
            </w:r>
          </w:p>
        </w:tc>
        <w:tc>
          <w:tcPr>
            <w:tcW w:w="3310"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项目总用地100050平方米，建设规模29200平方米。新建教学楼、科技楼、办公楼、学生公寓、食堂、风雨操场、教师周转房等。</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2020年</w:t>
            </w:r>
          </w:p>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8月</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20000</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571</w:t>
            </w:r>
          </w:p>
        </w:tc>
      </w:tr>
      <w:tr w:rsidR="004647A6" w:rsidRPr="00833916" w:rsidTr="002E769A">
        <w:trPr>
          <w:trHeight w:val="397"/>
          <w:jc w:val="center"/>
        </w:trPr>
        <w:tc>
          <w:tcPr>
            <w:tcW w:w="629"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kern w:val="0"/>
                <w:sz w:val="24"/>
              </w:rPr>
            </w:pPr>
          </w:p>
        </w:tc>
        <w:tc>
          <w:tcPr>
            <w:tcW w:w="1124"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kern w:val="0"/>
                <w:sz w:val="24"/>
              </w:rPr>
            </w:pPr>
          </w:p>
        </w:tc>
        <w:tc>
          <w:tcPr>
            <w:tcW w:w="2608"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3310"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946"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1562"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r>
      <w:tr w:rsidR="004647A6" w:rsidRPr="00833916" w:rsidTr="002E769A">
        <w:trPr>
          <w:trHeight w:val="397"/>
          <w:jc w:val="center"/>
        </w:trPr>
        <w:tc>
          <w:tcPr>
            <w:tcW w:w="629"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kern w:val="0"/>
                <w:sz w:val="24"/>
              </w:rPr>
            </w:pPr>
          </w:p>
        </w:tc>
        <w:tc>
          <w:tcPr>
            <w:tcW w:w="1124"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kern w:val="0"/>
                <w:sz w:val="24"/>
              </w:rPr>
            </w:pPr>
          </w:p>
        </w:tc>
        <w:tc>
          <w:tcPr>
            <w:tcW w:w="2608"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3310"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946"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c>
          <w:tcPr>
            <w:tcW w:w="1562" w:type="dxa"/>
            <w:vMerge/>
            <w:tcBorders>
              <w:top w:val="nil"/>
              <w:left w:val="single" w:sz="4" w:space="0" w:color="auto"/>
              <w:bottom w:val="single" w:sz="4" w:space="0" w:color="auto"/>
              <w:right w:val="single" w:sz="4" w:space="0" w:color="auto"/>
            </w:tcBorders>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p>
        </w:tc>
      </w:tr>
      <w:tr w:rsidR="004647A6" w:rsidRPr="00833916" w:rsidTr="002E769A">
        <w:trPr>
          <w:trHeight w:val="39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4</w:t>
            </w:r>
          </w:p>
        </w:tc>
        <w:tc>
          <w:tcPr>
            <w:tcW w:w="1124"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沅陵县</w:t>
            </w:r>
          </w:p>
        </w:tc>
        <w:tc>
          <w:tcPr>
            <w:tcW w:w="2608"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沅陵县易地扶贫搬迁县城安置点配套基本公共服务设施补短板项目</w:t>
            </w:r>
          </w:p>
        </w:tc>
        <w:tc>
          <w:tcPr>
            <w:tcW w:w="3310"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color w:val="000000"/>
                <w:kern w:val="0"/>
                <w:sz w:val="24"/>
              </w:rPr>
            </w:pPr>
            <w:r w:rsidRPr="00833916">
              <w:rPr>
                <w:rFonts w:ascii="宋体" w:hAnsi="宋体" w:cs="宋体" w:hint="eastAsia"/>
                <w:color w:val="000000"/>
                <w:kern w:val="0"/>
                <w:sz w:val="24"/>
              </w:rPr>
              <w:t>新建幼儿园一所，占地面积3502平方米，总建筑面积约4029平方米。</w:t>
            </w:r>
          </w:p>
        </w:tc>
        <w:tc>
          <w:tcPr>
            <w:tcW w:w="1134" w:type="dxa"/>
            <w:tcBorders>
              <w:top w:val="nil"/>
              <w:left w:val="nil"/>
              <w:bottom w:val="single" w:sz="4" w:space="0" w:color="auto"/>
              <w:right w:val="single" w:sz="4" w:space="0" w:color="auto"/>
            </w:tcBorders>
            <w:shd w:val="clear" w:color="auto" w:fill="auto"/>
            <w:vAlign w:val="center"/>
            <w:hideMark/>
          </w:tcPr>
          <w:p w:rsidR="004647A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2020年</w:t>
            </w:r>
          </w:p>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3月</w:t>
            </w:r>
          </w:p>
        </w:tc>
        <w:tc>
          <w:tcPr>
            <w:tcW w:w="946"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1950</w:t>
            </w:r>
          </w:p>
        </w:tc>
        <w:tc>
          <w:tcPr>
            <w:tcW w:w="1562"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257</w:t>
            </w:r>
          </w:p>
        </w:tc>
      </w:tr>
      <w:tr w:rsidR="004647A6" w:rsidRPr="00833916" w:rsidTr="002E769A">
        <w:trPr>
          <w:trHeight w:val="39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5</w:t>
            </w:r>
          </w:p>
        </w:tc>
        <w:tc>
          <w:tcPr>
            <w:tcW w:w="1124"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平江县</w:t>
            </w:r>
          </w:p>
        </w:tc>
        <w:tc>
          <w:tcPr>
            <w:tcW w:w="2608" w:type="dxa"/>
            <w:tcBorders>
              <w:top w:val="nil"/>
              <w:left w:val="nil"/>
              <w:bottom w:val="single" w:sz="4" w:space="0" w:color="auto"/>
              <w:right w:val="single" w:sz="4" w:space="0" w:color="auto"/>
            </w:tcBorders>
            <w:shd w:val="clear" w:color="auto" w:fill="auto"/>
            <w:vAlign w:val="center"/>
            <w:hideMark/>
          </w:tcPr>
          <w:p w:rsidR="004647A6" w:rsidRPr="00A607B0" w:rsidRDefault="004647A6" w:rsidP="002E769A">
            <w:pPr>
              <w:widowControl/>
              <w:ind w:leftChars="-20" w:left="-42" w:rightChars="-20" w:right="-42"/>
              <w:jc w:val="left"/>
              <w:rPr>
                <w:rFonts w:ascii="宋体" w:hAnsi="宋体" w:cs="宋体"/>
                <w:spacing w:val="-8"/>
                <w:kern w:val="0"/>
                <w:sz w:val="24"/>
              </w:rPr>
            </w:pPr>
            <w:r w:rsidRPr="00A607B0">
              <w:rPr>
                <w:rFonts w:ascii="宋体" w:hAnsi="宋体" w:cs="宋体" w:hint="eastAsia"/>
                <w:spacing w:val="-8"/>
                <w:kern w:val="0"/>
                <w:sz w:val="24"/>
              </w:rPr>
              <w:t>平江县易地扶贫搬迁县城洪家塅集中安置区配套工程桂花学校建设项目</w:t>
            </w:r>
          </w:p>
        </w:tc>
        <w:tc>
          <w:tcPr>
            <w:tcW w:w="3310"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kern w:val="0"/>
                <w:sz w:val="24"/>
              </w:rPr>
            </w:pPr>
            <w:r w:rsidRPr="00833916">
              <w:rPr>
                <w:rFonts w:ascii="宋体" w:hAnsi="宋体" w:cs="宋体" w:hint="eastAsia"/>
                <w:kern w:val="0"/>
                <w:sz w:val="24"/>
              </w:rPr>
              <w:t>新建中学一所，占地面积66293平方米，建筑面积50286平方米。</w:t>
            </w:r>
          </w:p>
        </w:tc>
        <w:tc>
          <w:tcPr>
            <w:tcW w:w="1134" w:type="dxa"/>
            <w:tcBorders>
              <w:top w:val="nil"/>
              <w:left w:val="nil"/>
              <w:bottom w:val="single" w:sz="4" w:space="0" w:color="auto"/>
              <w:right w:val="single" w:sz="4" w:space="0" w:color="auto"/>
            </w:tcBorders>
            <w:shd w:val="clear" w:color="auto" w:fill="auto"/>
            <w:vAlign w:val="center"/>
            <w:hideMark/>
          </w:tcPr>
          <w:p w:rsidR="004647A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2020年</w:t>
            </w:r>
          </w:p>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3月</w:t>
            </w:r>
          </w:p>
        </w:tc>
        <w:tc>
          <w:tcPr>
            <w:tcW w:w="946"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21000</w:t>
            </w:r>
          </w:p>
        </w:tc>
        <w:tc>
          <w:tcPr>
            <w:tcW w:w="1562"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658</w:t>
            </w:r>
          </w:p>
        </w:tc>
      </w:tr>
      <w:tr w:rsidR="004647A6" w:rsidRPr="00833916" w:rsidTr="002E769A">
        <w:trPr>
          <w:trHeight w:val="39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6</w:t>
            </w:r>
          </w:p>
        </w:tc>
        <w:tc>
          <w:tcPr>
            <w:tcW w:w="1124"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保靖县</w:t>
            </w:r>
          </w:p>
        </w:tc>
        <w:tc>
          <w:tcPr>
            <w:tcW w:w="2608"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kern w:val="0"/>
                <w:sz w:val="24"/>
              </w:rPr>
            </w:pPr>
            <w:r w:rsidRPr="00833916">
              <w:rPr>
                <w:rFonts w:ascii="宋体" w:hAnsi="宋体" w:cs="宋体" w:hint="eastAsia"/>
                <w:kern w:val="0"/>
                <w:sz w:val="24"/>
              </w:rPr>
              <w:t>保靖县狮子堡安置</w:t>
            </w:r>
            <w:proofErr w:type="gramStart"/>
            <w:r w:rsidRPr="00833916">
              <w:rPr>
                <w:rFonts w:ascii="宋体" w:hAnsi="宋体" w:cs="宋体" w:hint="eastAsia"/>
                <w:kern w:val="0"/>
                <w:sz w:val="24"/>
              </w:rPr>
              <w:t>点创新</w:t>
            </w:r>
            <w:proofErr w:type="gramEnd"/>
            <w:r w:rsidRPr="00833916">
              <w:rPr>
                <w:rFonts w:ascii="宋体" w:hAnsi="宋体" w:cs="宋体" w:hint="eastAsia"/>
                <w:kern w:val="0"/>
                <w:sz w:val="24"/>
              </w:rPr>
              <w:t>创业园幼儿园项目</w:t>
            </w:r>
          </w:p>
        </w:tc>
        <w:tc>
          <w:tcPr>
            <w:tcW w:w="3310"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left"/>
              <w:rPr>
                <w:rFonts w:ascii="宋体" w:hAnsi="宋体" w:cs="宋体"/>
                <w:kern w:val="0"/>
                <w:sz w:val="24"/>
              </w:rPr>
            </w:pPr>
            <w:r w:rsidRPr="00833916">
              <w:rPr>
                <w:rFonts w:ascii="宋体" w:hAnsi="宋体" w:cs="宋体" w:hint="eastAsia"/>
                <w:kern w:val="0"/>
                <w:sz w:val="24"/>
              </w:rPr>
              <w:t>改扩建初中一所，占地面积8537平方米，总建筑面积16745平方米。</w:t>
            </w:r>
          </w:p>
        </w:tc>
        <w:tc>
          <w:tcPr>
            <w:tcW w:w="1134" w:type="dxa"/>
            <w:tcBorders>
              <w:top w:val="nil"/>
              <w:left w:val="nil"/>
              <w:bottom w:val="single" w:sz="4" w:space="0" w:color="auto"/>
              <w:right w:val="single" w:sz="4" w:space="0" w:color="auto"/>
            </w:tcBorders>
            <w:shd w:val="clear" w:color="auto" w:fill="auto"/>
            <w:vAlign w:val="center"/>
            <w:hideMark/>
          </w:tcPr>
          <w:p w:rsidR="004647A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2020年</w:t>
            </w:r>
          </w:p>
          <w:p w:rsidR="004647A6" w:rsidRPr="00833916" w:rsidRDefault="004647A6" w:rsidP="002E769A">
            <w:pPr>
              <w:widowControl/>
              <w:ind w:leftChars="-20" w:left="-42" w:rightChars="-20" w:right="-42"/>
              <w:jc w:val="center"/>
              <w:rPr>
                <w:rFonts w:ascii="宋体" w:hAnsi="宋体" w:cs="宋体"/>
                <w:color w:val="000000"/>
                <w:kern w:val="0"/>
                <w:sz w:val="24"/>
              </w:rPr>
            </w:pPr>
            <w:r w:rsidRPr="00833916">
              <w:rPr>
                <w:rFonts w:ascii="宋体" w:hAnsi="宋体" w:cs="宋体" w:hint="eastAsia"/>
                <w:color w:val="000000"/>
                <w:kern w:val="0"/>
                <w:sz w:val="24"/>
              </w:rPr>
              <w:t>8月</w:t>
            </w:r>
          </w:p>
        </w:tc>
        <w:tc>
          <w:tcPr>
            <w:tcW w:w="946"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6222</w:t>
            </w:r>
          </w:p>
        </w:tc>
        <w:tc>
          <w:tcPr>
            <w:tcW w:w="1562" w:type="dxa"/>
            <w:tcBorders>
              <w:top w:val="nil"/>
              <w:left w:val="nil"/>
              <w:bottom w:val="single" w:sz="4" w:space="0" w:color="auto"/>
              <w:right w:val="single" w:sz="4" w:space="0" w:color="auto"/>
            </w:tcBorders>
            <w:shd w:val="clear" w:color="auto" w:fill="auto"/>
            <w:vAlign w:val="center"/>
            <w:hideMark/>
          </w:tcPr>
          <w:p w:rsidR="004647A6" w:rsidRPr="00833916" w:rsidRDefault="004647A6" w:rsidP="002E769A">
            <w:pPr>
              <w:widowControl/>
              <w:ind w:leftChars="-20" w:left="-42" w:rightChars="-20" w:right="-42"/>
              <w:jc w:val="center"/>
              <w:rPr>
                <w:rFonts w:ascii="宋体" w:hAnsi="宋体" w:cs="宋体"/>
                <w:kern w:val="0"/>
                <w:sz w:val="24"/>
              </w:rPr>
            </w:pPr>
            <w:r w:rsidRPr="00833916">
              <w:rPr>
                <w:rFonts w:ascii="宋体" w:hAnsi="宋体" w:cs="宋体" w:hint="eastAsia"/>
                <w:kern w:val="0"/>
                <w:sz w:val="24"/>
              </w:rPr>
              <w:t>233</w:t>
            </w:r>
          </w:p>
        </w:tc>
      </w:tr>
    </w:tbl>
    <w:p w:rsidR="006B7CB6" w:rsidRDefault="004647A6">
      <w:bookmarkStart w:id="0" w:name="_GoBack"/>
      <w:bookmarkEnd w:id="0"/>
    </w:p>
    <w:sectPr w:rsidR="006B7C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A6"/>
    <w:rsid w:val="004647A6"/>
    <w:rsid w:val="006478D5"/>
    <w:rsid w:val="00E7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Microsoft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吕炜</dc:creator>
  <cp:lastModifiedBy>吕炜</cp:lastModifiedBy>
  <cp:revision>1</cp:revision>
  <dcterms:created xsi:type="dcterms:W3CDTF">2019-12-04T07:50:00Z</dcterms:created>
  <dcterms:modified xsi:type="dcterms:W3CDTF">2019-12-04T07:50:00Z</dcterms:modified>
</cp:coreProperties>
</file>