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16" w:lineRule="exact"/>
        <w:rPr>
          <w:rFonts w:eastAsia="仿宋_GB2312"/>
          <w:bCs/>
          <w:sz w:val="32"/>
          <w:szCs w:val="32"/>
        </w:rPr>
      </w:pPr>
      <w:bookmarkStart w:id="1" w:name="_GoBack"/>
      <w:bookmarkEnd w:id="1"/>
      <w:bookmarkStart w:id="0" w:name="FlYear1"/>
      <w:r>
        <w:rPr>
          <w:rFonts w:eastAsia="仿宋_GB2312"/>
          <w:bCs/>
          <w:sz w:val="32"/>
          <w:szCs w:val="32"/>
        </w:rPr>
        <w:t>附件</w:t>
      </w:r>
    </w:p>
    <w:p>
      <w:pPr>
        <w:spacing w:line="616" w:lineRule="exact"/>
        <w:rPr>
          <w:rFonts w:eastAsia="方正小标宋简体"/>
          <w:bCs/>
          <w:sz w:val="42"/>
          <w:szCs w:val="42"/>
        </w:rPr>
      </w:pPr>
    </w:p>
    <w:p>
      <w:pPr>
        <w:spacing w:line="616" w:lineRule="exact"/>
        <w:jc w:val="center"/>
        <w:rPr>
          <w:rFonts w:eastAsia="方正小标宋简体"/>
          <w:bCs/>
          <w:sz w:val="42"/>
          <w:szCs w:val="42"/>
        </w:rPr>
      </w:pPr>
      <w:r>
        <w:rPr>
          <w:rFonts w:eastAsia="方正小标宋简体"/>
          <w:bCs/>
          <w:sz w:val="42"/>
          <w:szCs w:val="42"/>
        </w:rPr>
        <w:t>湖南省工程建设项目远程异地评标</w:t>
      </w:r>
    </w:p>
    <w:p>
      <w:pPr>
        <w:spacing w:line="616" w:lineRule="exact"/>
        <w:jc w:val="center"/>
        <w:rPr>
          <w:rFonts w:eastAsia="方正小标宋简体"/>
          <w:bCs/>
          <w:sz w:val="42"/>
          <w:szCs w:val="42"/>
        </w:rPr>
      </w:pPr>
      <w:r>
        <w:rPr>
          <w:rFonts w:eastAsia="方正小标宋简体"/>
          <w:bCs/>
          <w:sz w:val="42"/>
          <w:szCs w:val="42"/>
        </w:rPr>
        <w:t>暂行管理办法</w:t>
      </w:r>
    </w:p>
    <w:p>
      <w:pPr>
        <w:spacing w:line="596" w:lineRule="exact"/>
        <w:rPr>
          <w:rFonts w:eastAsia="楷体_GB2312"/>
          <w:bCs/>
          <w:sz w:val="32"/>
          <w:szCs w:val="32"/>
        </w:rPr>
      </w:pPr>
    </w:p>
    <w:p>
      <w:pPr>
        <w:spacing w:line="596" w:lineRule="exact"/>
        <w:jc w:val="center"/>
        <w:rPr>
          <w:rFonts w:eastAsia="方正黑体_GBK"/>
          <w:kern w:val="0"/>
          <w:sz w:val="32"/>
          <w:szCs w:val="32"/>
        </w:rPr>
      </w:pPr>
      <w:r>
        <w:rPr>
          <w:rFonts w:eastAsia="方正黑体_GBK"/>
          <w:kern w:val="0"/>
          <w:sz w:val="32"/>
          <w:szCs w:val="32"/>
        </w:rPr>
        <w:t>第一章  总  则</w:t>
      </w:r>
    </w:p>
    <w:p>
      <w:pPr>
        <w:spacing w:line="596" w:lineRule="exact"/>
        <w:rPr>
          <w:rFonts w:eastAsia="仿宋_GB2312"/>
          <w:b/>
          <w:kern w:val="0"/>
          <w:sz w:val="32"/>
          <w:szCs w:val="32"/>
        </w:rPr>
      </w:pPr>
    </w:p>
    <w:p>
      <w:pPr>
        <w:spacing w:line="616" w:lineRule="exact"/>
        <w:ind w:firstLine="640" w:firstLineChars="200"/>
        <w:rPr>
          <w:rFonts w:eastAsia="仿宋_GB2312"/>
          <w:kern w:val="0"/>
          <w:sz w:val="32"/>
          <w:szCs w:val="32"/>
          <w:shd w:val="clear" w:color="auto" w:fill="FFFFFF"/>
        </w:rPr>
      </w:pPr>
      <w:r>
        <w:rPr>
          <w:rFonts w:ascii="黑体" w:hAnsi="黑体" w:eastAsia="黑体"/>
          <w:kern w:val="0"/>
          <w:sz w:val="32"/>
          <w:szCs w:val="32"/>
        </w:rPr>
        <w:t>第一条</w:t>
      </w:r>
      <w:r>
        <w:rPr>
          <w:rFonts w:eastAsia="仿宋_GB2312"/>
          <w:b/>
          <w:kern w:val="0"/>
          <w:sz w:val="32"/>
          <w:szCs w:val="32"/>
        </w:rPr>
        <w:t xml:space="preserve">  </w:t>
      </w:r>
      <w:r>
        <w:rPr>
          <w:rFonts w:eastAsia="仿宋_GB2312"/>
          <w:kern w:val="0"/>
          <w:sz w:val="32"/>
          <w:szCs w:val="32"/>
          <w:shd w:val="clear" w:color="auto" w:fill="FFFFFF"/>
        </w:rPr>
        <w:t>为保障远程异地评标活动统一、规范和有序开展，提升全省公共资源交易场所设施、评标专家及评标系统等资源利用效率，防范评标中的廉洁风险，更好的建设规范有序、风清气正的招标投标市场，依据《中华人民共和国招标投标法》、《中华人民共和国招标投标法实施条例》、《电子招标投标办法》、《湖南省公共资源交易监督管理办法》、《湖南省综合</w:t>
      </w:r>
      <w:r>
        <w:rPr>
          <w:rFonts w:eastAsia="仿宋_GB2312"/>
          <w:spacing w:val="-4"/>
          <w:kern w:val="0"/>
          <w:sz w:val="32"/>
          <w:szCs w:val="32"/>
          <w:shd w:val="clear" w:color="auto" w:fill="FFFFFF"/>
        </w:rPr>
        <w:t>评标专家库和评标专家管理办法》、《湖南省发展和改革委员会关于进一步加强湖南省综合评标专家库和评标专家管理的通知》及相关法律法规和规范性文件，结合本省实际，制定本办法。</w:t>
      </w:r>
    </w:p>
    <w:p>
      <w:pPr>
        <w:spacing w:line="616" w:lineRule="exact"/>
        <w:ind w:firstLine="640" w:firstLineChars="200"/>
        <w:rPr>
          <w:rFonts w:eastAsia="仿宋_GB2312"/>
          <w:kern w:val="0"/>
          <w:sz w:val="32"/>
          <w:szCs w:val="32"/>
          <w:shd w:val="clear" w:color="auto" w:fill="FFFFFF"/>
        </w:rPr>
      </w:pPr>
      <w:r>
        <w:rPr>
          <w:rFonts w:ascii="黑体" w:hAnsi="黑体" w:eastAsia="黑体"/>
          <w:kern w:val="0"/>
          <w:sz w:val="32"/>
          <w:szCs w:val="32"/>
        </w:rPr>
        <w:t>第二条</w:t>
      </w:r>
      <w:r>
        <w:rPr>
          <w:rFonts w:eastAsia="仿宋_GB2312"/>
          <w:kern w:val="0"/>
          <w:sz w:val="32"/>
          <w:szCs w:val="32"/>
        </w:rPr>
        <w:t xml:space="preserve">  </w:t>
      </w:r>
      <w:r>
        <w:rPr>
          <w:rFonts w:eastAsia="仿宋_GB2312"/>
          <w:kern w:val="0"/>
          <w:sz w:val="32"/>
          <w:szCs w:val="32"/>
          <w:shd w:val="clear" w:color="auto" w:fill="FFFFFF"/>
        </w:rPr>
        <w:t>本办法所指远程异地评标是指采用湖南省公共资源交易中心远程异地评标综合调度系统和电子交易系统，在省综合评标专家库抽取终端抽取项目受理地专家和异地专家，组建评标委员会，依托“互联网+”等信息化技术完成的工程建设项目评标活动。</w:t>
      </w:r>
    </w:p>
    <w:p>
      <w:pPr>
        <w:spacing w:line="596" w:lineRule="exact"/>
        <w:ind w:firstLine="640" w:firstLineChars="200"/>
        <w:rPr>
          <w:rFonts w:eastAsia="仿宋_GB2312"/>
          <w:kern w:val="0"/>
          <w:sz w:val="32"/>
          <w:szCs w:val="32"/>
          <w:shd w:val="clear" w:color="auto" w:fill="FFFFFF"/>
        </w:rPr>
      </w:pPr>
      <w:r>
        <w:rPr>
          <w:rFonts w:ascii="黑体" w:hAnsi="黑体" w:eastAsia="黑体"/>
          <w:kern w:val="0"/>
          <w:sz w:val="32"/>
          <w:szCs w:val="32"/>
        </w:rPr>
        <w:t xml:space="preserve">第三条 </w:t>
      </w:r>
      <w:r>
        <w:rPr>
          <w:rFonts w:eastAsia="仿宋_GB2312"/>
          <w:kern w:val="0"/>
          <w:sz w:val="32"/>
          <w:szCs w:val="32"/>
        </w:rPr>
        <w:t xml:space="preserve"> </w:t>
      </w:r>
      <w:r>
        <w:rPr>
          <w:rFonts w:eastAsia="仿宋_GB2312"/>
          <w:kern w:val="0"/>
          <w:sz w:val="32"/>
          <w:szCs w:val="32"/>
          <w:shd w:val="clear" w:color="auto" w:fill="FFFFFF"/>
        </w:rPr>
        <w:t>本省行政区域内进入公共资源交易平台交易，且符合行政监督部门规定条件的项目以及其他具备电子招标条件的项目，其远程异地评标活动适用本办法。</w:t>
      </w:r>
    </w:p>
    <w:p>
      <w:pPr>
        <w:spacing w:line="596" w:lineRule="exact"/>
        <w:ind w:firstLine="640" w:firstLineChars="200"/>
        <w:rPr>
          <w:rFonts w:eastAsia="仿宋_GB2312"/>
          <w:kern w:val="0"/>
          <w:sz w:val="32"/>
          <w:szCs w:val="32"/>
          <w:shd w:val="clear" w:color="auto" w:fill="FFFFFF"/>
        </w:rPr>
      </w:pPr>
      <w:r>
        <w:rPr>
          <w:rFonts w:ascii="黑体" w:hAnsi="黑体" w:eastAsia="黑体"/>
          <w:kern w:val="0"/>
          <w:sz w:val="32"/>
          <w:szCs w:val="32"/>
        </w:rPr>
        <w:t>第四条</w:t>
      </w:r>
      <w:r>
        <w:rPr>
          <w:rFonts w:eastAsia="仿宋_GB2312"/>
          <w:kern w:val="0"/>
          <w:sz w:val="32"/>
          <w:szCs w:val="32"/>
          <w:shd w:val="clear" w:color="auto" w:fill="FFFFFF"/>
        </w:rPr>
        <w:t xml:space="preserve">  本省行政区域内依法必须招标的工程建设项目，符合下列条件之一的，应当采用远程异地评标，由项目行政监督部门在招标文件备案中予以明确：</w:t>
      </w:r>
    </w:p>
    <w:p>
      <w:pPr>
        <w:spacing w:line="596" w:lineRule="exact"/>
        <w:ind w:firstLine="640" w:firstLineChars="200"/>
        <w:rPr>
          <w:rFonts w:eastAsia="仿宋_GB2312"/>
          <w:kern w:val="0"/>
          <w:sz w:val="32"/>
          <w:szCs w:val="32"/>
          <w:shd w:val="clear" w:color="auto" w:fill="FFFFFF"/>
        </w:rPr>
      </w:pPr>
      <w:r>
        <w:rPr>
          <w:rFonts w:eastAsia="仿宋_GB2312"/>
          <w:kern w:val="0"/>
          <w:sz w:val="32"/>
          <w:szCs w:val="32"/>
          <w:shd w:val="clear" w:color="auto" w:fill="FFFFFF"/>
        </w:rPr>
        <w:t>（一）省级行政监督部门制定的必须采取远程异地评标的项目，具体范围和标准如下：</w:t>
      </w:r>
    </w:p>
    <w:p>
      <w:pPr>
        <w:spacing w:line="596" w:lineRule="exact"/>
        <w:ind w:firstLine="640" w:firstLineChars="200"/>
        <w:rPr>
          <w:rFonts w:eastAsia="仿宋_GB2312"/>
          <w:kern w:val="0"/>
          <w:sz w:val="32"/>
          <w:szCs w:val="32"/>
          <w:shd w:val="clear" w:color="auto" w:fill="FFFFFF"/>
        </w:rPr>
      </w:pPr>
      <w:r>
        <w:rPr>
          <w:rFonts w:eastAsia="仿宋_GB2312"/>
          <w:kern w:val="0"/>
          <w:sz w:val="32"/>
          <w:szCs w:val="32"/>
          <w:shd w:val="clear" w:color="auto" w:fill="FFFFFF"/>
        </w:rPr>
        <w:t>工业项目：单项合同估算价5000万元及以上的施工项目（含设计施工总承包）；单项合同估算价2000万元及以上的货物项目；单项合同估算价1000万元及以上的勘察、设计、监理等服务项目。</w:t>
      </w:r>
    </w:p>
    <w:p>
      <w:pPr>
        <w:spacing w:line="596" w:lineRule="exact"/>
        <w:ind w:firstLine="640" w:firstLineChars="200"/>
        <w:rPr>
          <w:rFonts w:eastAsia="仿宋_GB2312"/>
          <w:kern w:val="0"/>
          <w:sz w:val="32"/>
          <w:szCs w:val="32"/>
          <w:shd w:val="clear" w:color="auto" w:fill="FFFFFF"/>
        </w:rPr>
      </w:pPr>
      <w:r>
        <w:rPr>
          <w:rFonts w:eastAsia="仿宋_GB2312"/>
          <w:kern w:val="0"/>
          <w:sz w:val="32"/>
          <w:szCs w:val="32"/>
          <w:shd w:val="clear" w:color="auto" w:fill="FFFFFF"/>
        </w:rPr>
        <w:t>房屋建筑和市政基础设施工程建设项目：工程总承包、施工单项合同估算价4000万元及以上的施工类项目；设备、材料等单项合同估算价1000万元及以上的采购类项目；工程勘察单项合同估算价200万元及以上、工程设计单项合同估算价500万元及以上、监理服务单项合同估算价500万元及以上、全过程工程咨询单项合同估算价1500万元及以上的服务类项目。</w:t>
      </w:r>
    </w:p>
    <w:p>
      <w:pPr>
        <w:spacing w:line="596" w:lineRule="exact"/>
        <w:ind w:firstLine="640" w:firstLineChars="200"/>
        <w:rPr>
          <w:rFonts w:eastAsia="仿宋_GB2312"/>
          <w:kern w:val="0"/>
          <w:sz w:val="32"/>
          <w:szCs w:val="32"/>
          <w:shd w:val="clear" w:color="auto" w:fill="FFFFFF"/>
        </w:rPr>
      </w:pPr>
      <w:r>
        <w:rPr>
          <w:rFonts w:eastAsia="仿宋_GB2312"/>
          <w:kern w:val="0"/>
          <w:sz w:val="32"/>
          <w:szCs w:val="32"/>
          <w:shd w:val="clear" w:color="auto" w:fill="FFFFFF"/>
        </w:rPr>
        <w:t>交通项目：采用综合评分法（BOT、EPC招标项目除外），标的金额30000万元及以上的施工项目、1500万元及以上的设计项目、800万元及以上的监理项目。</w:t>
      </w:r>
    </w:p>
    <w:p>
      <w:pPr>
        <w:spacing w:line="596" w:lineRule="exact"/>
        <w:ind w:firstLine="640" w:firstLineChars="200"/>
        <w:rPr>
          <w:rFonts w:eastAsia="仿宋_GB2312"/>
          <w:kern w:val="0"/>
          <w:sz w:val="32"/>
          <w:szCs w:val="32"/>
          <w:shd w:val="clear" w:color="auto" w:fill="FFFFFF"/>
        </w:rPr>
      </w:pPr>
      <w:r>
        <w:rPr>
          <w:rFonts w:eastAsia="仿宋_GB2312"/>
          <w:kern w:val="0"/>
          <w:sz w:val="32"/>
          <w:szCs w:val="32"/>
          <w:shd w:val="clear" w:color="auto" w:fill="FFFFFF"/>
        </w:rPr>
        <w:t>水利项目：工程估算总投资10000万元及以上的勘察、设计、监理、特许经营及其他服务的采购项目；单项合同估算价3000万元及以上的工程总承包项目；单项合同估算价2000万元及以上的施工项目；单项合同估算价500万元及以上的设备、</w:t>
      </w:r>
      <w:r>
        <w:rPr>
          <w:rFonts w:eastAsia="仿宋_GB2312"/>
          <w:spacing w:val="-4"/>
          <w:kern w:val="0"/>
          <w:sz w:val="32"/>
          <w:szCs w:val="32"/>
          <w:shd w:val="clear" w:color="auto" w:fill="FFFFFF"/>
        </w:rPr>
        <w:t>材料等货物的采购项目；单项合同估算价200万元（含采用费率报价的相当金额）及以上的勘察、设计、监理等服务采购项目</w:t>
      </w:r>
      <w:r>
        <w:rPr>
          <w:rFonts w:eastAsia="仿宋_GB2312"/>
          <w:kern w:val="0"/>
          <w:sz w:val="32"/>
          <w:szCs w:val="32"/>
          <w:shd w:val="clear" w:color="auto" w:fill="FFFFFF"/>
        </w:rPr>
        <w:t>。</w:t>
      </w:r>
    </w:p>
    <w:p>
      <w:pPr>
        <w:spacing w:line="596" w:lineRule="exact"/>
        <w:ind w:firstLine="640" w:firstLineChars="200"/>
        <w:rPr>
          <w:rFonts w:eastAsia="仿宋_GB2312"/>
          <w:sz w:val="32"/>
          <w:szCs w:val="32"/>
        </w:rPr>
      </w:pPr>
      <w:r>
        <w:rPr>
          <w:rFonts w:eastAsia="仿宋_GB2312"/>
          <w:sz w:val="32"/>
          <w:szCs w:val="32"/>
        </w:rPr>
        <w:t>（二）以市（州）为单元，本地区评标专家资源不足，二级专业专家人数少于30人。</w:t>
      </w:r>
    </w:p>
    <w:p>
      <w:pPr>
        <w:spacing w:line="596" w:lineRule="exact"/>
        <w:ind w:firstLine="640" w:firstLineChars="200"/>
        <w:rPr>
          <w:rFonts w:eastAsia="仿宋_GB2312"/>
          <w:sz w:val="32"/>
          <w:szCs w:val="32"/>
        </w:rPr>
      </w:pPr>
      <w:r>
        <w:rPr>
          <w:rFonts w:eastAsia="仿宋_GB2312"/>
          <w:sz w:val="32"/>
          <w:szCs w:val="32"/>
        </w:rPr>
        <w:t>（三）行政监督部门认定需要远程异地评标的其他项目。</w:t>
      </w:r>
    </w:p>
    <w:p>
      <w:pPr>
        <w:spacing w:line="596" w:lineRule="exact"/>
        <w:ind w:firstLine="640" w:firstLineChars="200"/>
        <w:rPr>
          <w:rFonts w:eastAsia="仿宋_GB2312"/>
          <w:kern w:val="0"/>
          <w:sz w:val="32"/>
          <w:szCs w:val="32"/>
          <w:shd w:val="clear" w:color="auto" w:fill="FFFFFF"/>
        </w:rPr>
      </w:pPr>
      <w:r>
        <w:rPr>
          <w:rFonts w:ascii="黑体" w:hAnsi="黑体" w:eastAsia="黑体"/>
          <w:kern w:val="0"/>
          <w:sz w:val="32"/>
          <w:szCs w:val="32"/>
        </w:rPr>
        <w:t>第五条</w:t>
      </w:r>
      <w:r>
        <w:rPr>
          <w:rFonts w:eastAsia="仿宋_GB2312"/>
          <w:sz w:val="32"/>
          <w:szCs w:val="32"/>
        </w:rPr>
        <w:t xml:space="preserve">  </w:t>
      </w:r>
      <w:r>
        <w:rPr>
          <w:rFonts w:eastAsia="仿宋_GB2312"/>
          <w:kern w:val="0"/>
          <w:sz w:val="32"/>
          <w:szCs w:val="32"/>
          <w:shd w:val="clear" w:color="auto" w:fill="FFFFFF"/>
        </w:rPr>
        <w:t>招标人自行申请远程异地评标的，可以采用远程异地评标。</w:t>
      </w:r>
    </w:p>
    <w:p>
      <w:pPr>
        <w:spacing w:line="596" w:lineRule="exact"/>
        <w:ind w:firstLine="640" w:firstLineChars="200"/>
        <w:rPr>
          <w:rFonts w:eastAsia="仿宋_GB2312"/>
          <w:kern w:val="0"/>
          <w:sz w:val="32"/>
          <w:szCs w:val="32"/>
          <w:shd w:val="clear" w:color="auto" w:fill="FFFFFF"/>
        </w:rPr>
      </w:pPr>
      <w:r>
        <w:rPr>
          <w:rFonts w:eastAsia="仿宋_GB2312"/>
          <w:kern w:val="0"/>
          <w:sz w:val="32"/>
          <w:szCs w:val="32"/>
          <w:shd w:val="clear" w:color="auto" w:fill="FFFFFF"/>
        </w:rPr>
        <w:t>鼓励开展跨省远程异地评标。</w:t>
      </w:r>
    </w:p>
    <w:p>
      <w:pPr>
        <w:spacing w:line="596" w:lineRule="exact"/>
        <w:ind w:firstLine="640" w:firstLineChars="200"/>
        <w:rPr>
          <w:rFonts w:eastAsia="仿宋_GB2312"/>
          <w:sz w:val="32"/>
          <w:szCs w:val="32"/>
        </w:rPr>
      </w:pPr>
      <w:r>
        <w:rPr>
          <w:rFonts w:ascii="黑体" w:hAnsi="黑体" w:eastAsia="黑体"/>
          <w:kern w:val="0"/>
          <w:sz w:val="32"/>
          <w:szCs w:val="32"/>
        </w:rPr>
        <w:t>第六条</w:t>
      </w:r>
      <w:r>
        <w:rPr>
          <w:rFonts w:eastAsia="仿宋_GB2312"/>
          <w:sz w:val="32"/>
          <w:szCs w:val="32"/>
        </w:rPr>
        <w:t xml:space="preserve">  </w:t>
      </w:r>
      <w:r>
        <w:rPr>
          <w:rFonts w:eastAsia="仿宋_GB2312"/>
          <w:kern w:val="0"/>
          <w:sz w:val="32"/>
          <w:szCs w:val="32"/>
          <w:shd w:val="clear" w:color="auto" w:fill="FFFFFF"/>
        </w:rPr>
        <w:t>本办法第四条所规定应当采用远程异地评标的工程建设项目，符合下列条件之一的，可以不采用远程异地评标：</w:t>
      </w:r>
      <w:r>
        <w:rPr>
          <w:rFonts w:eastAsia="仿宋_GB2312"/>
          <w:sz w:val="32"/>
          <w:szCs w:val="32"/>
        </w:rPr>
        <w:t xml:space="preserve"> </w:t>
      </w:r>
    </w:p>
    <w:p>
      <w:pPr>
        <w:spacing w:line="596" w:lineRule="exact"/>
        <w:ind w:firstLine="640" w:firstLineChars="200"/>
        <w:rPr>
          <w:rFonts w:eastAsia="仿宋_GB2312"/>
          <w:sz w:val="32"/>
          <w:szCs w:val="32"/>
        </w:rPr>
      </w:pPr>
      <w:r>
        <w:rPr>
          <w:rFonts w:eastAsia="仿宋_GB2312"/>
          <w:sz w:val="32"/>
          <w:szCs w:val="32"/>
        </w:rPr>
        <w:t>（一）因专业特殊、技术要求复杂、有特殊评标要求，不适宜采用远程异地评标的，由招标人向项目行政监督部门提出申请，经批准后可以不采用远程异地评标。</w:t>
      </w:r>
    </w:p>
    <w:p>
      <w:pPr>
        <w:spacing w:line="596" w:lineRule="exact"/>
        <w:ind w:firstLine="640" w:firstLineChars="200"/>
        <w:rPr>
          <w:rFonts w:eastAsia="仿宋_GB2312"/>
          <w:sz w:val="32"/>
          <w:szCs w:val="32"/>
        </w:rPr>
      </w:pPr>
      <w:r>
        <w:rPr>
          <w:rFonts w:eastAsia="仿宋_GB2312"/>
          <w:sz w:val="32"/>
          <w:szCs w:val="32"/>
        </w:rPr>
        <w:t>（二）隔夜评标项目。</w:t>
      </w:r>
    </w:p>
    <w:p>
      <w:pPr>
        <w:spacing w:line="596" w:lineRule="exact"/>
        <w:rPr>
          <w:rFonts w:eastAsia="仿宋_GB2312"/>
          <w:sz w:val="32"/>
          <w:szCs w:val="32"/>
        </w:rPr>
      </w:pPr>
    </w:p>
    <w:p>
      <w:pPr>
        <w:spacing w:line="596" w:lineRule="exact"/>
        <w:jc w:val="center"/>
        <w:rPr>
          <w:rFonts w:eastAsia="黑体"/>
          <w:kern w:val="0"/>
          <w:sz w:val="32"/>
          <w:szCs w:val="32"/>
        </w:rPr>
      </w:pPr>
      <w:r>
        <w:rPr>
          <w:rFonts w:eastAsia="黑体"/>
          <w:kern w:val="0"/>
          <w:sz w:val="32"/>
          <w:szCs w:val="32"/>
        </w:rPr>
        <w:t>第二章  组织管理</w:t>
      </w:r>
    </w:p>
    <w:p>
      <w:pPr>
        <w:spacing w:line="596" w:lineRule="exact"/>
        <w:rPr>
          <w:rFonts w:eastAsia="黑体"/>
          <w:kern w:val="0"/>
          <w:sz w:val="32"/>
          <w:szCs w:val="32"/>
        </w:rPr>
      </w:pPr>
    </w:p>
    <w:p>
      <w:pPr>
        <w:spacing w:line="596" w:lineRule="exact"/>
        <w:ind w:firstLine="640" w:firstLineChars="200"/>
        <w:rPr>
          <w:rFonts w:eastAsia="仿宋_GB2312"/>
          <w:sz w:val="32"/>
          <w:szCs w:val="32"/>
        </w:rPr>
      </w:pPr>
      <w:r>
        <w:rPr>
          <w:rFonts w:ascii="黑体" w:hAnsi="黑体" w:eastAsia="黑体"/>
          <w:kern w:val="0"/>
          <w:sz w:val="32"/>
          <w:szCs w:val="32"/>
        </w:rPr>
        <w:t xml:space="preserve">第七条 </w:t>
      </w:r>
      <w:r>
        <w:rPr>
          <w:rFonts w:eastAsia="仿宋_GB2312"/>
          <w:kern w:val="0"/>
          <w:sz w:val="32"/>
          <w:szCs w:val="32"/>
          <w:shd w:val="clear" w:color="auto" w:fill="FFFFFF"/>
        </w:rPr>
        <w:t xml:space="preserve"> </w:t>
      </w:r>
      <w:r>
        <w:rPr>
          <w:rFonts w:eastAsia="仿宋_GB2312"/>
          <w:sz w:val="32"/>
          <w:szCs w:val="32"/>
        </w:rPr>
        <w:t>省公共资源交易协调机构（以下简称省公管办）负责全省远程异地评标工作的统筹指导和协调，制定和发布相关制度，加强评标专家远程异地评标的考核，对有能力承担远程异地评标工作的专家进行分类管理。市（州）公共资源交易协调机构（市州公管办）负责本行政区域内远程异地评标工作协调推进和综合监管。</w:t>
      </w:r>
    </w:p>
    <w:p>
      <w:pPr>
        <w:spacing w:line="596" w:lineRule="exact"/>
        <w:ind w:firstLine="640" w:firstLineChars="200"/>
        <w:rPr>
          <w:rFonts w:eastAsia="仿宋_GB2312"/>
          <w:b/>
          <w:sz w:val="32"/>
          <w:szCs w:val="32"/>
        </w:rPr>
      </w:pPr>
      <w:r>
        <w:rPr>
          <w:rFonts w:ascii="黑体" w:hAnsi="黑体" w:eastAsia="黑体"/>
          <w:kern w:val="0"/>
          <w:sz w:val="32"/>
          <w:szCs w:val="32"/>
        </w:rPr>
        <w:t>第八条</w:t>
      </w:r>
      <w:r>
        <w:rPr>
          <w:rFonts w:eastAsia="仿宋_GB2312"/>
          <w:kern w:val="0"/>
          <w:sz w:val="32"/>
          <w:szCs w:val="32"/>
          <w:shd w:val="clear" w:color="auto" w:fill="FFFFFF"/>
        </w:rPr>
        <w:t xml:space="preserve">  </w:t>
      </w:r>
      <w:r>
        <w:rPr>
          <w:rFonts w:eastAsia="仿宋_GB2312"/>
          <w:kern w:val="0"/>
          <w:sz w:val="32"/>
          <w:szCs w:val="32"/>
        </w:rPr>
        <w:t>省公共资源交易中心负责制定全省远程异地评标数据交换标准和场地设施标准，开发建设和管理全省远程异地评标综合调度系统，配合省公管办和行政监督部门落实和协调远程异地评标相关工作。</w:t>
      </w:r>
      <w:r>
        <w:rPr>
          <w:rFonts w:eastAsia="仿宋_GB2312"/>
          <w:kern w:val="0"/>
          <w:sz w:val="32"/>
          <w:szCs w:val="32"/>
          <w:shd w:val="clear" w:color="auto" w:fill="FFFFFF"/>
        </w:rPr>
        <w:t>各市（州）公共资源交易中心负责本地远程异地评标具体组织实施及运行操作, 按照远程异地评标的场地设施标准要求，配备和维护软硬件设施，并纳入全省远程异地评标综合调度系统管理，实现省、市（州）评标场地互联互通。</w:t>
      </w:r>
    </w:p>
    <w:p>
      <w:pPr>
        <w:spacing w:line="596" w:lineRule="exact"/>
        <w:ind w:firstLine="640" w:firstLineChars="200"/>
        <w:rPr>
          <w:rFonts w:eastAsia="仿宋_GB2312"/>
          <w:kern w:val="0"/>
          <w:sz w:val="32"/>
          <w:szCs w:val="32"/>
        </w:rPr>
      </w:pPr>
      <w:r>
        <w:rPr>
          <w:rFonts w:ascii="黑体" w:hAnsi="黑体" w:eastAsia="黑体"/>
          <w:kern w:val="0"/>
          <w:sz w:val="32"/>
          <w:szCs w:val="32"/>
        </w:rPr>
        <w:t xml:space="preserve">第九条 </w:t>
      </w:r>
      <w:r>
        <w:rPr>
          <w:rFonts w:eastAsia="仿宋_GB2312"/>
          <w:kern w:val="0"/>
          <w:sz w:val="32"/>
          <w:szCs w:val="32"/>
          <w:shd w:val="clear" w:color="auto" w:fill="FFFFFF"/>
        </w:rPr>
        <w:t xml:space="preserve"> </w:t>
      </w:r>
      <w:r>
        <w:rPr>
          <w:rFonts w:eastAsia="仿宋_GB2312"/>
          <w:sz w:val="32"/>
          <w:szCs w:val="32"/>
        </w:rPr>
        <w:t>全省远程异地评标原则上统一使用湖南省公共资源交易中心开发的“湖南省工程建设项目电子招投标交易系统”，各行政监督部门正在使用的电子交易系统，应与全省远程异地评标综合调度系统实现对接。</w:t>
      </w:r>
    </w:p>
    <w:p>
      <w:pPr>
        <w:spacing w:line="596" w:lineRule="exact"/>
        <w:ind w:firstLine="640" w:firstLineChars="200"/>
        <w:rPr>
          <w:rFonts w:eastAsia="仿宋_GB2312"/>
          <w:kern w:val="0"/>
          <w:sz w:val="32"/>
          <w:szCs w:val="32"/>
        </w:rPr>
      </w:pPr>
      <w:r>
        <w:rPr>
          <w:rFonts w:ascii="黑体" w:hAnsi="黑体" w:eastAsia="黑体"/>
          <w:kern w:val="0"/>
          <w:sz w:val="32"/>
          <w:szCs w:val="32"/>
        </w:rPr>
        <w:t>第十条</w:t>
      </w:r>
      <w:r>
        <w:rPr>
          <w:rFonts w:eastAsia="仿宋_GB2312"/>
          <w:kern w:val="0"/>
          <w:sz w:val="32"/>
          <w:szCs w:val="32"/>
          <w:shd w:val="clear" w:color="auto" w:fill="FFFFFF"/>
        </w:rPr>
        <w:t xml:space="preserve">  </w:t>
      </w:r>
      <w:r>
        <w:rPr>
          <w:rFonts w:eastAsia="仿宋_GB2312"/>
          <w:kern w:val="0"/>
          <w:sz w:val="32"/>
          <w:szCs w:val="32"/>
        </w:rPr>
        <w:t>各行政监督部门应按照公共资源交易监管职责分工，不改变项目监管关系，由项目行政监督部门负责远程异地评标的监督工作，并依法依规处理投诉、查处违法违规行为。</w:t>
      </w:r>
    </w:p>
    <w:p>
      <w:pPr>
        <w:spacing w:line="596" w:lineRule="exact"/>
        <w:ind w:firstLine="640" w:firstLineChars="200"/>
        <w:rPr>
          <w:rFonts w:eastAsia="仿宋_GB2312"/>
          <w:kern w:val="0"/>
          <w:sz w:val="32"/>
          <w:szCs w:val="32"/>
          <w:shd w:val="clear" w:color="auto" w:fill="FFFFFF"/>
        </w:rPr>
      </w:pPr>
      <w:r>
        <w:rPr>
          <w:rFonts w:ascii="黑体" w:hAnsi="黑体" w:eastAsia="黑体"/>
          <w:kern w:val="0"/>
          <w:sz w:val="32"/>
          <w:szCs w:val="32"/>
        </w:rPr>
        <w:t xml:space="preserve">第十一条 </w:t>
      </w:r>
      <w:r>
        <w:rPr>
          <w:rFonts w:eastAsia="仿宋_GB2312"/>
          <w:kern w:val="0"/>
          <w:sz w:val="32"/>
          <w:szCs w:val="32"/>
          <w:shd w:val="clear" w:color="auto" w:fill="FFFFFF"/>
        </w:rPr>
        <w:t xml:space="preserve"> </w:t>
      </w:r>
      <w:r>
        <w:rPr>
          <w:rFonts w:eastAsia="仿宋_GB2312"/>
          <w:kern w:val="0"/>
          <w:sz w:val="32"/>
          <w:szCs w:val="32"/>
        </w:rPr>
        <w:t>远程异地评标活动纳入全省公共资源交易在线监管平台，行政监督部门可对远程异地评标实施全流程在线监管。</w:t>
      </w:r>
    </w:p>
    <w:p>
      <w:pPr>
        <w:spacing w:line="596" w:lineRule="exact"/>
        <w:jc w:val="center"/>
        <w:rPr>
          <w:rFonts w:eastAsia="黑体"/>
          <w:kern w:val="0"/>
          <w:sz w:val="32"/>
          <w:szCs w:val="32"/>
        </w:rPr>
      </w:pPr>
      <w:r>
        <w:rPr>
          <w:rFonts w:eastAsia="黑体"/>
          <w:kern w:val="0"/>
          <w:sz w:val="32"/>
          <w:szCs w:val="32"/>
        </w:rPr>
        <w:t>第三章  场地和设施安排</w:t>
      </w:r>
    </w:p>
    <w:p>
      <w:pPr>
        <w:spacing w:line="596" w:lineRule="exact"/>
        <w:rPr>
          <w:rFonts w:eastAsia="黑体"/>
          <w:kern w:val="0"/>
          <w:sz w:val="32"/>
          <w:szCs w:val="32"/>
        </w:rPr>
      </w:pPr>
    </w:p>
    <w:p>
      <w:pPr>
        <w:spacing w:line="596" w:lineRule="exact"/>
        <w:ind w:firstLine="640" w:firstLineChars="200"/>
        <w:rPr>
          <w:rFonts w:eastAsia="仿宋_GB2312"/>
          <w:kern w:val="0"/>
          <w:sz w:val="32"/>
          <w:szCs w:val="32"/>
        </w:rPr>
      </w:pPr>
      <w:r>
        <w:rPr>
          <w:rFonts w:ascii="黑体" w:hAnsi="黑体" w:eastAsia="黑体"/>
          <w:kern w:val="0"/>
          <w:sz w:val="32"/>
          <w:szCs w:val="32"/>
        </w:rPr>
        <w:t>第十二条</w:t>
      </w:r>
      <w:r>
        <w:rPr>
          <w:rFonts w:eastAsia="仿宋_GB2312"/>
          <w:kern w:val="0"/>
          <w:sz w:val="32"/>
          <w:szCs w:val="32"/>
          <w:shd w:val="clear" w:color="auto" w:fill="FFFFFF"/>
        </w:rPr>
        <w:t xml:space="preserve">  </w:t>
      </w:r>
      <w:r>
        <w:rPr>
          <w:rFonts w:eastAsia="仿宋_GB2312"/>
          <w:kern w:val="0"/>
          <w:sz w:val="32"/>
          <w:szCs w:val="32"/>
        </w:rPr>
        <w:t>远程异地评标项目应按照公共资源交易受理程序办理场地预约手续。远程异地评标场地分主场和副场，项目进场受理所在地的评标现场为主场，所在地以外的其他评标现场为副场。主、副场均应当设在各级公共资源交易中心。副场选择方式可通过远程异地评标综合调度系统随机产生，或经行政监督部门同意也可由招标人直接确定，副场数量不超过两个。允许采取主场开标、副场评标的远程异地评标方式，该方式只设立一个副场。</w:t>
      </w:r>
    </w:p>
    <w:p>
      <w:pPr>
        <w:shd w:val="clear" w:color="auto" w:fill="FFFFFF"/>
        <w:spacing w:line="596" w:lineRule="exact"/>
        <w:ind w:firstLine="640" w:firstLineChars="200"/>
        <w:rPr>
          <w:rFonts w:eastAsia="仿宋_GB2312"/>
          <w:kern w:val="0"/>
          <w:sz w:val="32"/>
          <w:szCs w:val="32"/>
          <w:shd w:val="clear" w:color="auto" w:fill="FFFFFF"/>
        </w:rPr>
      </w:pPr>
      <w:r>
        <w:rPr>
          <w:rFonts w:ascii="黑体" w:hAnsi="黑体" w:eastAsia="黑体"/>
          <w:kern w:val="0"/>
          <w:sz w:val="32"/>
          <w:szCs w:val="32"/>
        </w:rPr>
        <w:t xml:space="preserve">第十三条 </w:t>
      </w:r>
      <w:r>
        <w:rPr>
          <w:rFonts w:eastAsia="仿宋_GB2312"/>
          <w:kern w:val="0"/>
          <w:sz w:val="32"/>
          <w:szCs w:val="32"/>
        </w:rPr>
        <w:t xml:space="preserve"> </w:t>
      </w:r>
      <w:r>
        <w:rPr>
          <w:rFonts w:eastAsia="仿宋_GB2312"/>
          <w:kern w:val="0"/>
          <w:sz w:val="32"/>
          <w:szCs w:val="32"/>
          <w:shd w:val="clear" w:color="auto" w:fill="FFFFFF"/>
        </w:rPr>
        <w:t>全省公共资源交易公共服务、交易、监管系统和远程异地评标综合调度系统统一接入电子政务外网，各级公共资源交易中心应当与电子政务外网连通，满足远程异地评标数据传输要求，网络带宽可支撑两地音视频互联互通要求，市（州）公共资源交易中心提供不小于100兆专用网络传输带宽。</w:t>
      </w:r>
    </w:p>
    <w:p>
      <w:pPr>
        <w:shd w:val="clear" w:color="auto" w:fill="FFFFFF"/>
        <w:spacing w:line="596" w:lineRule="exact"/>
        <w:rPr>
          <w:rFonts w:eastAsia="仿宋_GB2312"/>
          <w:b/>
          <w:kern w:val="0"/>
          <w:sz w:val="32"/>
          <w:szCs w:val="32"/>
          <w:shd w:val="clear" w:color="auto" w:fill="FFFFFF"/>
        </w:rPr>
      </w:pPr>
    </w:p>
    <w:p>
      <w:pPr>
        <w:spacing w:line="596" w:lineRule="exact"/>
        <w:jc w:val="center"/>
        <w:rPr>
          <w:rFonts w:eastAsia="黑体"/>
          <w:kern w:val="0"/>
          <w:sz w:val="32"/>
          <w:szCs w:val="32"/>
        </w:rPr>
      </w:pPr>
      <w:r>
        <w:rPr>
          <w:rFonts w:eastAsia="黑体"/>
          <w:kern w:val="0"/>
          <w:sz w:val="32"/>
          <w:szCs w:val="32"/>
        </w:rPr>
        <w:t>第四章  评标评审</w:t>
      </w:r>
    </w:p>
    <w:p>
      <w:pPr>
        <w:spacing w:line="596" w:lineRule="exact"/>
        <w:rPr>
          <w:rFonts w:eastAsia="黑体"/>
          <w:kern w:val="0"/>
          <w:sz w:val="32"/>
          <w:szCs w:val="32"/>
        </w:rPr>
      </w:pPr>
    </w:p>
    <w:p>
      <w:pPr>
        <w:spacing w:line="596" w:lineRule="exact"/>
        <w:ind w:firstLine="800" w:firstLineChars="250"/>
        <w:rPr>
          <w:rFonts w:eastAsia="仿宋_GB2312"/>
          <w:kern w:val="0"/>
          <w:sz w:val="32"/>
          <w:szCs w:val="32"/>
        </w:rPr>
      </w:pPr>
      <w:r>
        <w:rPr>
          <w:rFonts w:ascii="黑体" w:hAnsi="黑体" w:eastAsia="黑体"/>
          <w:kern w:val="0"/>
          <w:sz w:val="32"/>
          <w:szCs w:val="32"/>
        </w:rPr>
        <w:t>第十四条</w:t>
      </w:r>
      <w:r>
        <w:rPr>
          <w:rFonts w:eastAsia="仿宋_GB2312"/>
          <w:kern w:val="0"/>
          <w:sz w:val="32"/>
          <w:szCs w:val="32"/>
        </w:rPr>
        <w:t xml:space="preserve">  评标专家的抽取，统一由主场按照《湖南省综合评标专家库和评标专家管理办法》随机抽取主场和副场所在地的评标专家。主场评标专家人数最多不超过所有评标专家人数的三分之一。如主场所在地专家数量较少，或没有相应专业评标专家，可在副场所在地抽取全部评标专家。评标专家由省综合评标专家库系统直接推送主、副场门禁系统和交易系统。</w:t>
      </w:r>
    </w:p>
    <w:p>
      <w:pPr>
        <w:shd w:val="clear" w:color="auto" w:fill="FFFFFF"/>
        <w:spacing w:line="596" w:lineRule="exact"/>
        <w:ind w:firstLine="640" w:firstLineChars="200"/>
        <w:rPr>
          <w:rFonts w:eastAsia="仿宋_GB2312"/>
          <w:b/>
          <w:kern w:val="0"/>
          <w:sz w:val="32"/>
          <w:szCs w:val="32"/>
        </w:rPr>
      </w:pPr>
      <w:r>
        <w:rPr>
          <w:rFonts w:ascii="黑体" w:hAnsi="黑体" w:eastAsia="黑体"/>
          <w:kern w:val="0"/>
          <w:sz w:val="32"/>
          <w:szCs w:val="32"/>
        </w:rPr>
        <w:t>第十五条</w:t>
      </w:r>
      <w:r>
        <w:rPr>
          <w:rFonts w:eastAsia="仿宋_GB2312"/>
          <w:kern w:val="0"/>
          <w:sz w:val="32"/>
          <w:szCs w:val="32"/>
        </w:rPr>
        <w:t xml:space="preserve">  评标专家在确认参加评标后，因出现临时请假不能出席、因故不能完成评标、因回避或迟到超过规定时间被取消当次评标资格等情况时，可启用应急专家库补抽，专职人员应及时通知主场专家抽取室，由专家抽取工作人员通知招标人进行补抽。</w:t>
      </w:r>
    </w:p>
    <w:p>
      <w:pPr>
        <w:spacing w:line="596" w:lineRule="exact"/>
        <w:ind w:firstLine="640" w:firstLineChars="200"/>
        <w:rPr>
          <w:rFonts w:eastAsia="仿宋_GB2312"/>
          <w:kern w:val="0"/>
          <w:sz w:val="32"/>
          <w:szCs w:val="32"/>
        </w:rPr>
      </w:pPr>
      <w:r>
        <w:rPr>
          <w:rFonts w:ascii="黑体" w:hAnsi="黑体" w:eastAsia="黑体"/>
          <w:kern w:val="0"/>
          <w:sz w:val="32"/>
          <w:szCs w:val="32"/>
        </w:rPr>
        <w:t>第十六条</w:t>
      </w:r>
      <w:r>
        <w:rPr>
          <w:rFonts w:eastAsia="仿宋_GB2312"/>
          <w:kern w:val="0"/>
          <w:sz w:val="32"/>
          <w:szCs w:val="32"/>
        </w:rPr>
        <w:t xml:space="preserve">  远程异地评标主、副场公共资源交易中心各自负责本地评标委员会成员身份核验和签到工作，统一保管其通讯工具，指引评标专家至远程异地评标室，并为远程异地评标提供技术协助和服务。</w:t>
      </w:r>
    </w:p>
    <w:p>
      <w:pPr>
        <w:spacing w:line="596" w:lineRule="exact"/>
        <w:ind w:firstLine="640" w:firstLineChars="200"/>
        <w:rPr>
          <w:rFonts w:eastAsia="仿宋_GB2312"/>
          <w:kern w:val="0"/>
          <w:sz w:val="32"/>
          <w:szCs w:val="32"/>
        </w:rPr>
      </w:pPr>
      <w:r>
        <w:rPr>
          <w:rFonts w:ascii="黑体" w:hAnsi="黑体" w:eastAsia="黑体"/>
          <w:kern w:val="0"/>
          <w:sz w:val="32"/>
          <w:szCs w:val="32"/>
        </w:rPr>
        <w:t xml:space="preserve">第十七条 </w:t>
      </w:r>
      <w:r>
        <w:rPr>
          <w:rFonts w:eastAsia="仿宋_GB2312"/>
          <w:kern w:val="0"/>
          <w:sz w:val="32"/>
          <w:szCs w:val="32"/>
        </w:rPr>
        <w:t xml:space="preserve"> 评标委员会的主任评委原则上在主场评标专家中推选，采用主场开标、副场评标的，主任评委在副场评标专家中推选。评标委员会成员应当按照法律法规规定和招标文件要求，独立公正评标，主、副场的评标委员会成员在评标过程中具有同等权利和义务，如遇评审意见不一致时，由主任评委组织评标委员会成员进行远程在线协商讨论，无法统一意见的，应当通过电子交易系统进行投票表决，主场和副场应当对表决过程进行监控和记录。</w:t>
      </w:r>
    </w:p>
    <w:p>
      <w:pPr>
        <w:spacing w:line="596" w:lineRule="exact"/>
        <w:ind w:firstLine="640" w:firstLineChars="200"/>
        <w:rPr>
          <w:rFonts w:eastAsia="仿宋_GB2312"/>
          <w:b/>
          <w:kern w:val="0"/>
          <w:sz w:val="32"/>
          <w:szCs w:val="32"/>
        </w:rPr>
      </w:pPr>
      <w:r>
        <w:rPr>
          <w:rFonts w:ascii="黑体" w:hAnsi="黑体" w:eastAsia="黑体"/>
          <w:kern w:val="0"/>
          <w:sz w:val="32"/>
          <w:szCs w:val="32"/>
        </w:rPr>
        <w:t xml:space="preserve">第十八条 </w:t>
      </w:r>
      <w:r>
        <w:rPr>
          <w:rFonts w:eastAsia="仿宋_GB2312"/>
          <w:kern w:val="0"/>
          <w:sz w:val="32"/>
          <w:szCs w:val="32"/>
        </w:rPr>
        <w:t xml:space="preserve"> 评标委员会成员应当对评标资料进行电子签名，完成评标报告后方可离场。</w:t>
      </w:r>
    </w:p>
    <w:p>
      <w:pPr>
        <w:spacing w:line="596" w:lineRule="exact"/>
        <w:ind w:firstLine="640" w:firstLineChars="200"/>
        <w:rPr>
          <w:rFonts w:eastAsia="仿宋_GB2312"/>
          <w:kern w:val="0"/>
          <w:sz w:val="32"/>
          <w:szCs w:val="32"/>
        </w:rPr>
      </w:pPr>
      <w:r>
        <w:rPr>
          <w:rFonts w:ascii="黑体" w:hAnsi="黑体" w:eastAsia="黑体"/>
          <w:kern w:val="0"/>
          <w:sz w:val="32"/>
          <w:szCs w:val="32"/>
        </w:rPr>
        <w:t xml:space="preserve">第十九条 </w:t>
      </w:r>
      <w:r>
        <w:rPr>
          <w:rFonts w:eastAsia="仿宋_GB2312"/>
          <w:kern w:val="0"/>
          <w:sz w:val="32"/>
          <w:szCs w:val="32"/>
        </w:rPr>
        <w:t xml:space="preserve"> 远程异地评标需要对评标结果进行复核的，招标人应当按有关规定报行政监督部门同意后，组织原评标委员会成员（不少于三分之二）进行远程异地或者集中复核。</w:t>
      </w:r>
    </w:p>
    <w:p>
      <w:pPr>
        <w:shd w:val="clear" w:color="auto" w:fill="FFFFFF"/>
        <w:spacing w:line="616" w:lineRule="exact"/>
        <w:ind w:firstLine="640" w:firstLineChars="200"/>
        <w:rPr>
          <w:rFonts w:eastAsia="仿宋_GB2312"/>
          <w:b/>
          <w:kern w:val="0"/>
          <w:sz w:val="32"/>
          <w:szCs w:val="32"/>
        </w:rPr>
      </w:pPr>
      <w:r>
        <w:rPr>
          <w:rFonts w:ascii="黑体" w:hAnsi="黑体" w:eastAsia="黑体"/>
          <w:kern w:val="0"/>
          <w:sz w:val="32"/>
          <w:szCs w:val="32"/>
        </w:rPr>
        <w:t>第二十条</w:t>
      </w:r>
      <w:r>
        <w:rPr>
          <w:rFonts w:eastAsia="仿宋_GB2312"/>
          <w:kern w:val="0"/>
          <w:sz w:val="32"/>
          <w:szCs w:val="32"/>
        </w:rPr>
        <w:t xml:space="preserve">  远程异地评标活动结束后，应由主场公共资源交易中心将主、副场评标项目的视频监控、桌面监控的音视频数据和评标电子资料备份，统一存档、管理，保存期限不少于5年，并提供查询服务。招标人依法需要保存资料档案的，公共资源交易中心应向其提供。远程异地评标的项目计入主场公共资源交易中心交易数据统计。</w:t>
      </w:r>
    </w:p>
    <w:p>
      <w:pPr>
        <w:spacing w:line="616" w:lineRule="exact"/>
        <w:ind w:firstLine="640" w:firstLineChars="200"/>
        <w:rPr>
          <w:rFonts w:eastAsia="仿宋_GB2312"/>
          <w:kern w:val="0"/>
          <w:sz w:val="32"/>
          <w:szCs w:val="32"/>
        </w:rPr>
      </w:pPr>
      <w:r>
        <w:rPr>
          <w:rFonts w:ascii="黑体" w:hAnsi="黑体" w:eastAsia="黑体"/>
          <w:kern w:val="0"/>
          <w:sz w:val="32"/>
          <w:szCs w:val="32"/>
        </w:rPr>
        <w:t>第二十一条</w:t>
      </w:r>
      <w:r>
        <w:rPr>
          <w:rFonts w:eastAsia="仿宋_GB2312"/>
          <w:b/>
          <w:kern w:val="0"/>
          <w:sz w:val="32"/>
          <w:szCs w:val="32"/>
        </w:rPr>
        <w:t xml:space="preserve">  </w:t>
      </w:r>
      <w:r>
        <w:rPr>
          <w:rFonts w:eastAsia="仿宋_GB2312"/>
          <w:kern w:val="0"/>
          <w:sz w:val="32"/>
          <w:szCs w:val="32"/>
        </w:rPr>
        <w:t>行政监督部门、招标人对评标专家考评由主场负责，公共资源交易中心对评标专家考评由主、副场分别考评，由副场推送至主场汇总。</w:t>
      </w:r>
    </w:p>
    <w:p>
      <w:pPr>
        <w:spacing w:line="596" w:lineRule="exact"/>
        <w:rPr>
          <w:rFonts w:eastAsia="仿宋_GB2312"/>
          <w:kern w:val="0"/>
          <w:sz w:val="32"/>
          <w:szCs w:val="32"/>
        </w:rPr>
      </w:pPr>
    </w:p>
    <w:p>
      <w:pPr>
        <w:spacing w:line="596" w:lineRule="exact"/>
        <w:jc w:val="center"/>
        <w:rPr>
          <w:rFonts w:eastAsia="黑体"/>
          <w:kern w:val="0"/>
          <w:sz w:val="32"/>
          <w:szCs w:val="32"/>
        </w:rPr>
      </w:pPr>
      <w:r>
        <w:rPr>
          <w:rFonts w:eastAsia="黑体"/>
          <w:kern w:val="0"/>
          <w:sz w:val="32"/>
          <w:szCs w:val="32"/>
        </w:rPr>
        <w:t>第五章  专家劳务报酬支付</w:t>
      </w:r>
    </w:p>
    <w:p>
      <w:pPr>
        <w:spacing w:line="596" w:lineRule="exact"/>
        <w:rPr>
          <w:rFonts w:eastAsia="黑体"/>
          <w:kern w:val="0"/>
          <w:sz w:val="32"/>
          <w:szCs w:val="32"/>
        </w:rPr>
      </w:pPr>
    </w:p>
    <w:p>
      <w:pPr>
        <w:shd w:val="clear" w:color="auto" w:fill="FFFFFF"/>
        <w:spacing w:line="616" w:lineRule="exact"/>
        <w:ind w:firstLine="800" w:firstLineChars="250"/>
        <w:rPr>
          <w:rFonts w:eastAsia="仿宋_GB2312"/>
          <w:b/>
          <w:kern w:val="0"/>
          <w:sz w:val="32"/>
          <w:szCs w:val="32"/>
        </w:rPr>
      </w:pPr>
      <w:r>
        <w:rPr>
          <w:rFonts w:ascii="黑体" w:hAnsi="黑体" w:eastAsia="黑体"/>
          <w:kern w:val="0"/>
          <w:sz w:val="32"/>
          <w:szCs w:val="32"/>
        </w:rPr>
        <w:t>第二十二条</w:t>
      </w:r>
      <w:r>
        <w:rPr>
          <w:rFonts w:eastAsia="仿宋_GB2312"/>
          <w:kern w:val="0"/>
          <w:sz w:val="32"/>
          <w:szCs w:val="32"/>
        </w:rPr>
        <w:t xml:space="preserve">  远程异地评标的评标专家劳务报酬由招标人按照《湖南省发展和改革委员会关于进一步加强湖南省综合评标专家库和评标专家管理的通知》执行。由招标人或其委托的招标代理机构在评标工作结束后10个工作日内统一支付。由评标专家在交易系统签到时填写银行账号信息。</w:t>
      </w:r>
    </w:p>
    <w:p>
      <w:pPr>
        <w:spacing w:line="616" w:lineRule="exact"/>
        <w:ind w:firstLine="640" w:firstLineChars="200"/>
        <w:rPr>
          <w:rFonts w:eastAsia="仿宋_GB2312"/>
          <w:kern w:val="0"/>
          <w:sz w:val="32"/>
          <w:szCs w:val="32"/>
        </w:rPr>
      </w:pPr>
      <w:r>
        <w:rPr>
          <w:rFonts w:ascii="黑体" w:hAnsi="黑体" w:eastAsia="黑体"/>
          <w:kern w:val="0"/>
          <w:sz w:val="32"/>
          <w:szCs w:val="32"/>
        </w:rPr>
        <w:t xml:space="preserve">第二十三条  </w:t>
      </w:r>
      <w:r>
        <w:rPr>
          <w:rFonts w:eastAsia="仿宋_GB2312"/>
          <w:kern w:val="0"/>
          <w:sz w:val="32"/>
          <w:szCs w:val="32"/>
        </w:rPr>
        <w:t>各级公共资源交易中心应为评标专家劳务费转账支付及其相关事宜提供必要的条件和协助。</w:t>
      </w:r>
    </w:p>
    <w:p>
      <w:pPr>
        <w:spacing w:line="596" w:lineRule="exact"/>
        <w:jc w:val="center"/>
        <w:rPr>
          <w:rFonts w:eastAsia="黑体"/>
          <w:kern w:val="0"/>
          <w:sz w:val="32"/>
          <w:szCs w:val="32"/>
        </w:rPr>
      </w:pPr>
      <w:r>
        <w:rPr>
          <w:rFonts w:eastAsia="黑体"/>
          <w:kern w:val="0"/>
          <w:sz w:val="32"/>
          <w:szCs w:val="32"/>
        </w:rPr>
        <w:t>第六章  应急措施</w:t>
      </w:r>
    </w:p>
    <w:p>
      <w:pPr>
        <w:spacing w:line="596" w:lineRule="exact"/>
        <w:rPr>
          <w:rFonts w:eastAsia="黑体"/>
          <w:kern w:val="0"/>
          <w:sz w:val="32"/>
          <w:szCs w:val="32"/>
        </w:rPr>
      </w:pPr>
    </w:p>
    <w:p>
      <w:pPr>
        <w:spacing w:line="596" w:lineRule="exact"/>
        <w:ind w:firstLine="640" w:firstLineChars="200"/>
        <w:rPr>
          <w:rFonts w:eastAsia="仿宋_GB2312"/>
          <w:kern w:val="0"/>
          <w:sz w:val="32"/>
          <w:szCs w:val="32"/>
        </w:rPr>
      </w:pPr>
      <w:r>
        <w:rPr>
          <w:rFonts w:ascii="黑体" w:hAnsi="黑体" w:eastAsia="黑体"/>
          <w:kern w:val="0"/>
          <w:sz w:val="32"/>
          <w:szCs w:val="32"/>
        </w:rPr>
        <w:t>第二十四条</w:t>
      </w:r>
      <w:r>
        <w:rPr>
          <w:rFonts w:eastAsia="仿宋_GB2312"/>
          <w:kern w:val="0"/>
          <w:sz w:val="32"/>
          <w:szCs w:val="32"/>
        </w:rPr>
        <w:t xml:space="preserve">  省公共资源交易中心应建立远程异地评标应急管理制度，各级公共资源交易中心据此制定应急处理预案，完善远程异地评标安全管理及保密等制度，建立远程异地评标活动管理台账，不得随意简化程序，做到环节把关、过程留痕，确保远程异地评标的稳定性、连续性和完整性。</w:t>
      </w:r>
    </w:p>
    <w:p>
      <w:pPr>
        <w:spacing w:line="596" w:lineRule="exact"/>
        <w:rPr>
          <w:rFonts w:eastAsia="仿宋_GB2312"/>
          <w:kern w:val="0"/>
          <w:sz w:val="32"/>
          <w:szCs w:val="32"/>
        </w:rPr>
      </w:pPr>
    </w:p>
    <w:p>
      <w:pPr>
        <w:spacing w:line="596" w:lineRule="exact"/>
        <w:jc w:val="center"/>
        <w:rPr>
          <w:rFonts w:eastAsia="黑体"/>
          <w:kern w:val="0"/>
          <w:sz w:val="32"/>
          <w:szCs w:val="32"/>
        </w:rPr>
      </w:pPr>
      <w:r>
        <w:rPr>
          <w:rFonts w:eastAsia="黑体"/>
          <w:kern w:val="0"/>
          <w:sz w:val="32"/>
          <w:szCs w:val="32"/>
        </w:rPr>
        <w:t>第七章  附则</w:t>
      </w:r>
    </w:p>
    <w:p>
      <w:pPr>
        <w:spacing w:line="596" w:lineRule="exact"/>
        <w:rPr>
          <w:rFonts w:eastAsia="黑体"/>
          <w:kern w:val="0"/>
          <w:sz w:val="32"/>
          <w:szCs w:val="32"/>
        </w:rPr>
      </w:pPr>
    </w:p>
    <w:p>
      <w:pPr>
        <w:spacing w:line="596" w:lineRule="exact"/>
        <w:ind w:firstLine="640" w:firstLineChars="200"/>
      </w:pPr>
      <w:r>
        <w:rPr>
          <w:rFonts w:ascii="黑体" w:hAnsi="黑体" w:eastAsia="黑体"/>
          <w:kern w:val="0"/>
          <w:sz w:val="32"/>
          <w:szCs w:val="32"/>
        </w:rPr>
        <w:t>第二十五条</w:t>
      </w:r>
      <w:r>
        <w:rPr>
          <w:rFonts w:eastAsia="仿宋_GB2312"/>
          <w:kern w:val="0"/>
          <w:sz w:val="32"/>
          <w:szCs w:val="32"/>
        </w:rPr>
        <w:t xml:space="preserve">  本办法自</w:t>
      </w:r>
      <w:r>
        <w:rPr>
          <w:rFonts w:hint="eastAsia" w:eastAsia="仿宋_GB2312"/>
          <w:kern w:val="0"/>
          <w:sz w:val="32"/>
          <w:szCs w:val="32"/>
        </w:rPr>
        <w:t>2020年9月9日</w:t>
      </w:r>
      <w:r>
        <w:rPr>
          <w:rFonts w:eastAsia="仿宋_GB2312"/>
          <w:kern w:val="0"/>
          <w:sz w:val="32"/>
          <w:szCs w:val="32"/>
        </w:rPr>
        <w:t>起试行两年。</w:t>
      </w:r>
    </w:p>
    <w:bookmarkEnd w:id="0"/>
    <w:p>
      <w:pPr>
        <w:wordWrap w:val="0"/>
        <w:autoSpaceDE w:val="0"/>
        <w:autoSpaceDN w:val="0"/>
        <w:adjustRightInd w:val="0"/>
        <w:spacing w:line="596" w:lineRule="exact"/>
        <w:ind w:right="-2"/>
        <w:jc w:val="right"/>
        <w:rPr>
          <w:rFonts w:eastAsia="仿宋_GB2312"/>
          <w:w w:val="98"/>
          <w:sz w:val="32"/>
        </w:rPr>
      </w:pPr>
      <w:r>
        <w:rPr>
          <w:rFonts w:eastAsia="仿宋_GB2312"/>
          <w:w w:val="98"/>
          <w:sz w:val="32"/>
        </w:rPr>
        <w:t xml:space="preserve">  </w:t>
      </w:r>
    </w:p>
    <w:p>
      <w:pPr>
        <w:spacing w:line="596" w:lineRule="exact"/>
        <w:sectPr>
          <w:footerReference r:id="rId3" w:type="default"/>
          <w:footerReference r:id="rId4" w:type="even"/>
          <w:pgSz w:w="11906" w:h="16838"/>
          <w:pgMar w:top="1871" w:right="1531" w:bottom="1531" w:left="1588" w:header="851" w:footer="1304" w:gutter="0"/>
          <w:cols w:space="720" w:num="1"/>
          <w:docGrid w:type="lines" w:linePitch="312" w:charSpace="0"/>
        </w:sectPr>
      </w:pPr>
    </w:p>
    <w:p>
      <w:pPr>
        <w:spacing w:line="596" w:lineRule="exact"/>
        <w:sectPr>
          <w:footerReference r:id="rId5" w:type="default"/>
          <w:pgSz w:w="11906" w:h="16838"/>
          <w:pgMar w:top="1871" w:right="1531" w:bottom="1531" w:left="1588" w:header="851" w:footer="1304" w:gutter="0"/>
          <w:cols w:space="720" w:num="1"/>
          <w:docGrid w:type="lines" w:linePitch="312" w:charSpace="0"/>
        </w:sectPr>
      </w:pPr>
    </w:p>
    <w:p>
      <w:pPr>
        <w:spacing w:line="596" w:lineRule="exact"/>
      </w:pPr>
      <w:r>
        <w:drawing>
          <wp:anchor distT="0" distB="0" distL="114300" distR="114300" simplePos="0" relativeHeight="251661312" behindDoc="0" locked="0" layoutInCell="1" allowOverlap="1">
            <wp:simplePos x="0" y="0"/>
            <wp:positionH relativeFrom="column">
              <wp:posOffset>3867150</wp:posOffset>
            </wp:positionH>
            <wp:positionV relativeFrom="paragraph">
              <wp:posOffset>8290560</wp:posOffset>
            </wp:positionV>
            <wp:extent cx="1790700" cy="533400"/>
            <wp:effectExtent l="0" t="0" r="0" b="0"/>
            <wp:wrapNone/>
            <wp:docPr id="1" name="图片 1" descr="通知_湘发改公管[2020]686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通知_湘发改公管[2020]686号"/>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790700" cy="533400"/>
                    </a:xfrm>
                    <a:prstGeom prst="rect">
                      <a:avLst/>
                    </a:prstGeom>
                    <a:noFill/>
                    <a:ln>
                      <a:noFill/>
                    </a:ln>
                  </pic:spPr>
                </pic:pic>
              </a:graphicData>
            </a:graphic>
          </wp:anchor>
        </w:drawing>
      </w:r>
    </w:p>
    <w:p/>
    <w:sectPr>
      <w:footerReference r:id="rId6" w:type="even"/>
      <w:pgSz w:w="11906" w:h="16838"/>
      <w:pgMar w:top="1871" w:right="1531" w:bottom="1531" w:left="1588" w:header="851" w:footer="130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Arial Unicode MS"/>
    <w:panose1 w:val="00000000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黑体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9</w:t>
    </w:r>
    <w:r>
      <w:rPr>
        <w:sz w:val="28"/>
        <w:szCs w:val="28"/>
      </w:rPr>
      <w:fldChar w:fldCharType="end"/>
    </w:r>
    <w:r>
      <w:rPr>
        <w:sz w:val="28"/>
        <w:szCs w:val="28"/>
      </w:rPr>
      <w:t xml:space="preserve"> —</w:t>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560" w:firstLine="280" w:firstLineChars="100"/>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10</w:t>
    </w:r>
    <w:r>
      <w:rPr>
        <w:sz w:val="28"/>
        <w:szCs w:val="28"/>
      </w:rPr>
      <w:fldChar w:fldCharType="end"/>
    </w:r>
    <w:r>
      <w:rPr>
        <w:sz w:val="28"/>
        <w:szCs w:val="28"/>
      </w:rPr>
      <w:t xml:space="preserve"> —</w:t>
    </w:r>
    <w:r>
      <w:rPr>
        <w:rFonts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369"/>
    <w:rsid w:val="00077C7F"/>
    <w:rsid w:val="001D1039"/>
    <w:rsid w:val="00217132"/>
    <w:rsid w:val="005A6369"/>
    <w:rsid w:val="00661A16"/>
    <w:rsid w:val="00B87BF3"/>
    <w:rsid w:val="00C8360B"/>
    <w:rsid w:val="00E047ED"/>
    <w:rsid w:val="00E26E74"/>
    <w:rsid w:val="01D97572"/>
    <w:rsid w:val="221B6680"/>
    <w:rsid w:val="6DF07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uiPriority w:val="99"/>
    <w:rPr>
      <w:rFonts w:ascii="Times New Roman" w:hAnsi="Times New Roman" w:eastAsia="宋体" w:cs="Times New Roman"/>
      <w:sz w:val="18"/>
      <w:szCs w:val="18"/>
    </w:rPr>
  </w:style>
  <w:style w:type="character" w:customStyle="1" w:styleId="7">
    <w:name w:val="页脚 Char1"/>
    <w:basedOn w:val="5"/>
    <w:semiHidden/>
    <w:uiPriority w:val="99"/>
    <w:rPr>
      <w:rFonts w:ascii="Times New Roman" w:hAnsi="Times New Roman" w:eastAsia="宋体" w:cs="Times New Roman"/>
      <w:sz w:val="18"/>
      <w:szCs w:val="18"/>
    </w:rPr>
  </w:style>
  <w:style w:type="character" w:customStyle="1" w:styleId="8">
    <w:name w:val="页眉 Char"/>
    <w:basedOn w:val="5"/>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604</Words>
  <Characters>3444</Characters>
  <Lines>28</Lines>
  <Paragraphs>8</Paragraphs>
  <TotalTime>0</TotalTime>
  <ScaleCrop>false</ScaleCrop>
  <LinksUpToDate>false</LinksUpToDate>
  <CharactersWithSpaces>4040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2020-09-03T01:48:00Z</dcterms:created>
  <dc:creator>龙伟鸾</dc:creator>
  <cp:lastModifiedBy>泰妍的小果达</cp:lastModifiedBy>
  <dcterms:modified xsi:type="dcterms:W3CDTF">2020-09-09T02:31:50Z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