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DF" w:rsidRDefault="00462812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附件</w:t>
      </w:r>
    </w:p>
    <w:p w:rsidR="00D438DF" w:rsidRDefault="00462812">
      <w:pPr>
        <w:spacing w:beforeLines="50" w:before="156" w:afterLines="50" w:after="156" w:line="570" w:lineRule="exact"/>
        <w:jc w:val="center"/>
        <w:rPr>
          <w:rFonts w:ascii="Times New Roman" w:eastAsia="方正小标宋_GBK" w:hAnsi="Times New Roman" w:cs="Times New Roman"/>
          <w:sz w:val="42"/>
          <w:szCs w:val="42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2"/>
          <w:szCs w:val="42"/>
          <w:lang w:bidi="ar"/>
        </w:rPr>
        <w:t>湖南省补报</w:t>
      </w:r>
      <w:r>
        <w:rPr>
          <w:rFonts w:ascii="Times New Roman" w:eastAsia="方正小标宋_GBK" w:hAnsi="Times New Roman" w:cs="Times New Roman"/>
          <w:color w:val="000000"/>
          <w:kern w:val="0"/>
          <w:sz w:val="42"/>
          <w:szCs w:val="42"/>
          <w:lang w:bidi="ar"/>
        </w:rPr>
        <w:t>2021</w:t>
      </w:r>
      <w:r>
        <w:rPr>
          <w:rFonts w:ascii="Times New Roman" w:eastAsia="方正小标宋_GBK" w:hAnsi="Times New Roman" w:cs="Times New Roman"/>
          <w:color w:val="000000"/>
          <w:kern w:val="0"/>
          <w:sz w:val="42"/>
          <w:szCs w:val="42"/>
          <w:lang w:bidi="ar"/>
        </w:rPr>
        <w:t>年度生态保护</w:t>
      </w:r>
      <w:r>
        <w:rPr>
          <w:rFonts w:ascii="Times New Roman" w:eastAsia="方正小标宋_GBK" w:hAnsi="Times New Roman" w:cs="Times New Roman" w:hint="eastAsia"/>
          <w:color w:val="000000"/>
          <w:kern w:val="0"/>
          <w:sz w:val="42"/>
          <w:szCs w:val="42"/>
          <w:lang w:bidi="ar"/>
        </w:rPr>
        <w:t>和</w:t>
      </w:r>
      <w:r>
        <w:rPr>
          <w:rFonts w:ascii="Times New Roman" w:eastAsia="方正小标宋_GBK" w:hAnsi="Times New Roman" w:cs="Times New Roman"/>
          <w:color w:val="000000"/>
          <w:kern w:val="0"/>
          <w:sz w:val="42"/>
          <w:szCs w:val="42"/>
          <w:lang w:bidi="ar"/>
        </w:rPr>
        <w:t>修复领域中央预算内投资建议计划表</w:t>
      </w:r>
    </w:p>
    <w:p w:rsidR="00D438DF" w:rsidRDefault="00462812">
      <w:pPr>
        <w:spacing w:line="570" w:lineRule="exact"/>
        <w:jc w:val="right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单位：万元</w:t>
      </w:r>
    </w:p>
    <w:tbl>
      <w:tblPr>
        <w:tblW w:w="154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098"/>
        <w:gridCol w:w="631"/>
        <w:gridCol w:w="2610"/>
        <w:gridCol w:w="522"/>
        <w:gridCol w:w="570"/>
        <w:gridCol w:w="1515"/>
        <w:gridCol w:w="853"/>
        <w:gridCol w:w="947"/>
        <w:gridCol w:w="2816"/>
        <w:gridCol w:w="659"/>
        <w:gridCol w:w="947"/>
        <w:gridCol w:w="865"/>
        <w:gridCol w:w="838"/>
      </w:tblGrid>
      <w:tr w:rsidR="00D438DF">
        <w:trPr>
          <w:trHeight w:val="500"/>
          <w:tblHeader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任务名称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建设</w:t>
            </w:r>
            <w:r>
              <w:rPr>
                <w:rStyle w:val="font171"/>
                <w:rFonts w:ascii="黑体" w:eastAsia="黑体" w:hAnsi="黑体" w:cs="黑体" w:hint="eastAsia"/>
                <w:b w:val="0"/>
                <w:bCs/>
                <w:sz w:val="21"/>
                <w:szCs w:val="21"/>
                <w:lang w:bidi="ar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建设规模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拟开工年份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拟建成年份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投资类别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总投资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本次下</w:t>
            </w:r>
            <w:r>
              <w:rPr>
                <w:rStyle w:val="font171"/>
                <w:rFonts w:ascii="黑体" w:eastAsia="黑体" w:hAnsi="黑体" w:cs="黑体" w:hint="eastAsia"/>
                <w:b w:val="0"/>
                <w:bCs/>
                <w:sz w:val="21"/>
                <w:szCs w:val="21"/>
                <w:lang w:bidi="ar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达投资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年度建设内容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任务性质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项目（法人）单位及项目责任人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日常监管直接责任单位及监管责任人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438DF">
        <w:trPr>
          <w:trHeight w:val="545"/>
          <w:tblHeader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D438DF">
        <w:trPr>
          <w:trHeight w:val="90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14565.56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14565.56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375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6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11652.05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11652.05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350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2913.51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2913.51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35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487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国家级自然保护区基础设施建设项目</w:t>
            </w:r>
          </w:p>
        </w:tc>
      </w:tr>
      <w:tr w:rsidR="00D438DF">
        <w:trPr>
          <w:trHeight w:val="1418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湖南西洞庭湖国家级自然保护区保护与科研监测设施建设项目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新建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、建设保护区管理局综合服务用房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平方米，保护区派出所业务用房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平方米，管理站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个，管护点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个；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、维修原有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护路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千米，建设浮桥码头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座；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、建设科研工作站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平方米。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2993.89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2993.89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、建设保护区管理局综合服务用房建筑面积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平方米，保护区派出所业务用房建筑面积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平方米，新建管理站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个、建筑面积共计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平方米，管护点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个、建筑面积共计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平方米；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、维修原有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护路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千米，建设浮桥码头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座，购置巡护、取证设备共计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套（台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只）；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、建设科研工作站建筑面积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平方米，配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备桌椅、实验室台柜、设备、仪器共计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套（台）；建设监测信息管理系统建设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套、数据库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套、微生物监测设备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套、数据处理设备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约束性任务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湖南西洞庭湖国家级自然保护区管理局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钟立琴</w:t>
            </w:r>
            <w:proofErr w:type="gramEnd"/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汉寿县发展和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改革局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彭晋华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1418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2395.11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2395.11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1418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598.78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598.78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480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野生动植物保护项目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11571.67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11571.67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620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9256.94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9256.94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540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2314.73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2314.73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591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湖南省兰科植物保护工程项目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新建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年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2998.00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2998.00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改建实验室、组培中心、标本馆、宣教中心等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处；改扩建管护用房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练苗及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培苗温室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处。拓宽硬化车行运输道约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公里；新建种植管护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作业道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公里。兰科植物调查与收集工程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项，扩繁与保护工程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项；极小种群植物保护工程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项；研究与开发工程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项。购置种植管护、调查收集、检测监控、信息系统等所需设备。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约束性任务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湖南省青羊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湖国有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刘永强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湖南省林业局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张运明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1105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2398.40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2398.40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1259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599.60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599.60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851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湖南省陆生野生动物疫源疫病监测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预警防控体系提升建设工程项目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新建</w:t>
            </w:r>
            <w:r>
              <w:rPr>
                <w:rStyle w:val="font31"/>
                <w:rFonts w:eastAsia="宋体"/>
                <w:sz w:val="21"/>
                <w:szCs w:val="21"/>
                <w:lang w:bidi="ar"/>
              </w:rPr>
              <w:t>/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续建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年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年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2675.67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2675.67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建设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个监测站（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个改建、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个新建）、部署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个预警平台，新建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处应急物资储备库和</w:t>
            </w:r>
            <w:r>
              <w:rPr>
                <w:rStyle w:val="font121"/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处应急演练培训基地，购置监测站、预警系统、应急保障系统所需设备。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约束性任务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湖南省林业局动植物保护处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陈春华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湖南省林业局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张运明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481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2140.54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2140.54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D438DF">
        <w:trPr>
          <w:trHeight w:val="405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535.13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46281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535.13 </w:t>
            </w: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438DF" w:rsidRDefault="00D438D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:rsidR="00D438DF" w:rsidRDefault="00D438DF">
      <w:pPr>
        <w:pStyle w:val="a4"/>
        <w:widowControl/>
        <w:spacing w:line="596" w:lineRule="exact"/>
        <w:ind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</w:p>
    <w:p w:rsidR="00D438DF" w:rsidRDefault="00D438DF">
      <w:pPr>
        <w:pStyle w:val="a4"/>
        <w:widowControl/>
        <w:spacing w:line="596" w:lineRule="exact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</w:p>
    <w:sectPr w:rsidR="00D438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12" w:rsidRDefault="00462812" w:rsidP="005A6A42">
      <w:r>
        <w:separator/>
      </w:r>
    </w:p>
  </w:endnote>
  <w:endnote w:type="continuationSeparator" w:id="0">
    <w:p w:rsidR="00462812" w:rsidRDefault="00462812" w:rsidP="005A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12" w:rsidRDefault="00462812" w:rsidP="005A6A42">
      <w:r>
        <w:separator/>
      </w:r>
    </w:p>
  </w:footnote>
  <w:footnote w:type="continuationSeparator" w:id="0">
    <w:p w:rsidR="00462812" w:rsidRDefault="00462812" w:rsidP="005A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DF"/>
    <w:rsid w:val="00462812"/>
    <w:rsid w:val="005A6A42"/>
    <w:rsid w:val="00D438DF"/>
    <w:rsid w:val="0826041C"/>
    <w:rsid w:val="0BBB1531"/>
    <w:rsid w:val="10E9109B"/>
    <w:rsid w:val="20955DEE"/>
    <w:rsid w:val="31D20A6F"/>
    <w:rsid w:val="3B1A5277"/>
    <w:rsid w:val="465359D8"/>
    <w:rsid w:val="468032B3"/>
    <w:rsid w:val="48290762"/>
    <w:rsid w:val="51037E56"/>
    <w:rsid w:val="60DE6FDD"/>
    <w:rsid w:val="6D602A2C"/>
    <w:rsid w:val="757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微软雅黑" w:eastAsia="微软雅黑" w:hAnsi="微软雅黑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character" w:styleId="a5">
    <w:name w:val="FollowedHyperlink"/>
    <w:basedOn w:val="a0"/>
    <w:qFormat/>
    <w:rPr>
      <w:color w:val="313131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313131"/>
      <w:u w:val="none"/>
    </w:rPr>
  </w:style>
  <w:style w:type="character" w:styleId="HTML2">
    <w:name w:val="HTML Code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styleId="HTML3">
    <w:name w:val="HTML Cite"/>
    <w:basedOn w:val="a0"/>
    <w:qFormat/>
  </w:style>
  <w:style w:type="character" w:customStyle="1" w:styleId="dropselectbox">
    <w:name w:val="dropselect_box"/>
    <w:basedOn w:val="a0"/>
    <w:qFormat/>
  </w:style>
  <w:style w:type="character" w:customStyle="1" w:styleId="dropselectbox1">
    <w:name w:val="dropselect_box1"/>
    <w:basedOn w:val="a0"/>
    <w:qFormat/>
    <w:rPr>
      <w:bdr w:val="single" w:sz="6" w:space="0" w:color="E2E2E2"/>
    </w:rPr>
  </w:style>
  <w:style w:type="character" w:customStyle="1" w:styleId="hj-easyread-speakerprocesser-position-action-icon">
    <w:name w:val="hj-easyread-speakerprocesser-position-action-icon"/>
    <w:basedOn w:val="a0"/>
    <w:qFormat/>
  </w:style>
  <w:style w:type="character" w:customStyle="1" w:styleId="tys-main-zt-aa1">
    <w:name w:val="tys-main-zt-aa1"/>
    <w:basedOn w:val="a0"/>
    <w:qFormat/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8">
    <w:name w:val="header"/>
    <w:basedOn w:val="a"/>
    <w:link w:val="Char"/>
    <w:rsid w:val="005A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A6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微软雅黑" w:eastAsia="微软雅黑" w:hAnsi="微软雅黑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character" w:styleId="a5">
    <w:name w:val="FollowedHyperlink"/>
    <w:basedOn w:val="a0"/>
    <w:qFormat/>
    <w:rPr>
      <w:color w:val="313131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313131"/>
      <w:u w:val="none"/>
    </w:rPr>
  </w:style>
  <w:style w:type="character" w:styleId="HTML2">
    <w:name w:val="HTML Code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styleId="HTML3">
    <w:name w:val="HTML Cite"/>
    <w:basedOn w:val="a0"/>
    <w:qFormat/>
  </w:style>
  <w:style w:type="character" w:customStyle="1" w:styleId="dropselectbox">
    <w:name w:val="dropselect_box"/>
    <w:basedOn w:val="a0"/>
    <w:qFormat/>
  </w:style>
  <w:style w:type="character" w:customStyle="1" w:styleId="dropselectbox1">
    <w:name w:val="dropselect_box1"/>
    <w:basedOn w:val="a0"/>
    <w:qFormat/>
    <w:rPr>
      <w:bdr w:val="single" w:sz="6" w:space="0" w:color="E2E2E2"/>
    </w:rPr>
  </w:style>
  <w:style w:type="character" w:customStyle="1" w:styleId="hj-easyread-speakerprocesser-position-action-icon">
    <w:name w:val="hj-easyread-speakerprocesser-position-action-icon"/>
    <w:basedOn w:val="a0"/>
    <w:qFormat/>
  </w:style>
  <w:style w:type="character" w:customStyle="1" w:styleId="tys-main-zt-aa1">
    <w:name w:val="tys-main-zt-aa1"/>
    <w:basedOn w:val="a0"/>
    <w:qFormat/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8">
    <w:name w:val="header"/>
    <w:basedOn w:val="a"/>
    <w:link w:val="Char"/>
    <w:rsid w:val="005A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A6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822</Characters>
  <Application>Microsoft Office Word</Application>
  <DocSecurity>0</DocSecurity>
  <Lines>37</Lines>
  <Paragraphs>37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龚杰媛</cp:lastModifiedBy>
  <cp:revision>2</cp:revision>
  <cp:lastPrinted>2021-02-08T03:37:00Z</cp:lastPrinted>
  <dcterms:created xsi:type="dcterms:W3CDTF">2021-02-08T03:50:00Z</dcterms:created>
  <dcterms:modified xsi:type="dcterms:W3CDTF">2021-02-08T03:50:00Z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