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湖南省“两高”项目管理目录</w:t>
      </w:r>
    </w:p>
    <w:bookmarkEnd w:id="0"/>
    <w:tbl>
      <w:tblPr>
        <w:tblStyle w:val="4"/>
        <w:tblW w:w="51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79"/>
        <w:gridCol w:w="2839"/>
        <w:gridCol w:w="3723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6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5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行业</w:t>
            </w:r>
          </w:p>
        </w:tc>
        <w:tc>
          <w:tcPr>
            <w:tcW w:w="153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201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涉及主要产品及工序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石化</w:t>
            </w:r>
          </w:p>
        </w:tc>
        <w:tc>
          <w:tcPr>
            <w:tcW w:w="1533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原油加工及石油制品制造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2511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010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炼油、乙烯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5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化工</w:t>
            </w:r>
          </w:p>
        </w:tc>
        <w:tc>
          <w:tcPr>
            <w:tcW w:w="1533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无机酸制造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2611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无机碱制造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2612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无机盐制造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2613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010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烧碱、纯碱、工业硫酸、黄磷、合成氨、尿素、磷铵、电石、聚氯乙烯、聚丙烯、精对苯二甲酸、对二甲苯、苯乙烯、乙酸乙烯酯、二苯基甲烷二异氰酸酯、1,4-丁二醇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5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煤化工</w:t>
            </w:r>
          </w:p>
        </w:tc>
        <w:tc>
          <w:tcPr>
            <w:tcW w:w="1533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煤制合成气生产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2522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煤制液体燃料生产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2523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010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一氧化碳、氢气、甲烷及其他煤制合成气；甲醇、二甲醚、乙二醇、汽油、柴油和航空燃料及其他煤制液体燃料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5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焦化</w:t>
            </w:r>
          </w:p>
        </w:tc>
        <w:tc>
          <w:tcPr>
            <w:tcW w:w="153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炼焦（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2521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201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焦炭、石油焦（焦炭类）、沥青焦、其他原料生产焦炭、机焦、型焦、土焦、半焦炭、针状焦、其他工艺生产焦炭、矿物油焦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5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钢铁</w:t>
            </w:r>
          </w:p>
        </w:tc>
        <w:tc>
          <w:tcPr>
            <w:tcW w:w="1533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炼铁（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3110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）、炼钢（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3120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）、铁合金（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3140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01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炼钢用高炉生铁、直接还原铁、熔融还原铁、非合金钢粗钢、低合金钢粗钢、合金钢粗钢、铁合金、电解金属锰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不包括以含重金属固体废弃物为原料（≥85%）进行锰资源综合回收项目。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4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5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建材</w:t>
            </w:r>
          </w:p>
        </w:tc>
        <w:tc>
          <w:tcPr>
            <w:tcW w:w="1533" w:type="pct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水泥制造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石灰和石膏制造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粘土砖瓦及建筑砌块制造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）、平板玻璃制造（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3041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  <w:t>建筑陶瓷制品制造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3071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01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石灰、建筑陶瓷、耐火材料、烧结砖瓦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不包括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资源综合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利用项目。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4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33" w:type="pct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1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水泥熟料、平板玻璃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5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有色</w:t>
            </w:r>
          </w:p>
        </w:tc>
        <w:tc>
          <w:tcPr>
            <w:tcW w:w="1533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铜冶炼（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3211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）、铅锌冶炼（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3212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）、锑冶炼（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3215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）、铝冶炼（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3216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）、硅冶炼（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3218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01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铜、铅锌、锑、铝、硅冶炼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不包括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再生有色资源冶炼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6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5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煤电</w:t>
            </w:r>
          </w:p>
        </w:tc>
        <w:tc>
          <w:tcPr>
            <w:tcW w:w="1533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火力发电（4411）、热电联产（4412）</w:t>
            </w:r>
          </w:p>
        </w:tc>
        <w:tc>
          <w:tcPr>
            <w:tcW w:w="2010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燃煤发电、燃煤热电联产</w:t>
            </w:r>
          </w:p>
        </w:tc>
        <w:tc>
          <w:tcPr>
            <w:tcW w:w="950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6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475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涉煤及煤制品、石油焦、渣油、重油等高污染燃料使用工业炉窑、锅炉的项目</w:t>
            </w:r>
          </w:p>
        </w:tc>
      </w:tr>
    </w:tbl>
    <w:p/>
    <w:p/>
    <w:sectPr>
      <w:footerReference r:id="rId3" w:type="default"/>
      <w:pgSz w:w="11906" w:h="16838"/>
      <w:pgMar w:top="1871" w:right="1531" w:bottom="1531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863E2"/>
    <w:rsid w:val="4788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2021-12-24T06:46:00Z</dcterms:created>
  <dc:creator>郑旋</dc:creator>
  <cp:lastModifiedBy>郑旋</cp:lastModifiedBy>
  <dcterms:modified xsi:type="dcterms:W3CDTF">2021-12-24T06:47:02Z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890A09146E9E48C7AC64A6E1CC955E77</vt:lpwstr>
  </property>
</Properties>
</file>