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仿宋_GB2312"/>
          <w:color w:val="000000"/>
          <w:kern w:val="0"/>
          <w:sz w:val="32"/>
          <w:szCs w:val="32"/>
          <w:lang w:bidi="ar"/>
        </w:rPr>
      </w:pPr>
      <w:r>
        <w:rPr>
          <w:rFonts w:eastAsia="仿宋_GB2312"/>
          <w:color w:val="000000"/>
          <w:kern w:val="0"/>
          <w:sz w:val="32"/>
          <w:szCs w:val="32"/>
          <w:lang w:bidi="ar"/>
        </w:rPr>
        <w:t>附件5</w:t>
      </w:r>
    </w:p>
    <w:p>
      <w:pPr>
        <w:spacing w:line="600" w:lineRule="exact"/>
        <w:ind w:firstLine="720"/>
        <w:jc w:val="center"/>
        <w:rPr>
          <w:rFonts w:eastAsia="方正小标宋_GBK"/>
          <w:color w:val="000000"/>
          <w:sz w:val="36"/>
          <w:szCs w:val="36"/>
        </w:rPr>
      </w:pPr>
      <w:bookmarkStart w:id="0" w:name="_Toc21555"/>
    </w:p>
    <w:p>
      <w:pPr>
        <w:spacing w:line="600" w:lineRule="exact"/>
        <w:ind w:firstLine="720"/>
        <w:jc w:val="center"/>
        <w:rPr>
          <w:rFonts w:eastAsia="方正小标宋_GBK"/>
          <w:color w:val="000000"/>
          <w:sz w:val="36"/>
          <w:szCs w:val="36"/>
        </w:rPr>
      </w:pPr>
    </w:p>
    <w:p>
      <w:pPr>
        <w:spacing w:line="600" w:lineRule="exact"/>
        <w:ind w:firstLine="720"/>
        <w:jc w:val="center"/>
        <w:rPr>
          <w:rFonts w:eastAsia="方正小标宋_GBK"/>
          <w:color w:val="000000"/>
          <w:sz w:val="36"/>
          <w:szCs w:val="36"/>
        </w:rPr>
      </w:pPr>
    </w:p>
    <w:p>
      <w:pPr>
        <w:spacing w:line="800" w:lineRule="exact"/>
        <w:jc w:val="center"/>
        <w:rPr>
          <w:rFonts w:eastAsia="方正小标宋_GBK"/>
          <w:color w:val="000000"/>
          <w:sz w:val="48"/>
          <w:szCs w:val="48"/>
        </w:rPr>
      </w:pPr>
      <w:bookmarkStart w:id="262" w:name="_GoBack"/>
      <w:r>
        <w:rPr>
          <w:rFonts w:eastAsia="方正小标宋_GBK"/>
          <w:color w:val="000000"/>
          <w:sz w:val="48"/>
          <w:szCs w:val="48"/>
        </w:rPr>
        <w:t>重点区域生态保护和修复工程建设项目</w:t>
      </w:r>
    </w:p>
    <w:p>
      <w:pPr>
        <w:spacing w:line="800" w:lineRule="exact"/>
        <w:jc w:val="center"/>
        <w:rPr>
          <w:rFonts w:eastAsia="方正小标宋_GBK"/>
          <w:color w:val="000000"/>
          <w:sz w:val="48"/>
          <w:szCs w:val="48"/>
        </w:rPr>
      </w:pPr>
      <w:r>
        <w:rPr>
          <w:rFonts w:eastAsia="方正小标宋_GBK"/>
          <w:color w:val="000000"/>
          <w:sz w:val="48"/>
          <w:szCs w:val="48"/>
        </w:rPr>
        <w:t>可行性研究报告编制指南</w:t>
      </w:r>
    </w:p>
    <w:p>
      <w:pPr>
        <w:spacing w:line="800" w:lineRule="exact"/>
        <w:ind w:firstLine="720"/>
        <w:jc w:val="center"/>
        <w:rPr>
          <w:rFonts w:eastAsia="方正楷体_GBK"/>
          <w:color w:val="000000"/>
          <w:sz w:val="36"/>
          <w:szCs w:val="36"/>
        </w:rPr>
      </w:pPr>
      <w:r>
        <w:rPr>
          <w:rFonts w:eastAsia="方正楷体_GBK"/>
          <w:color w:val="000000"/>
          <w:sz w:val="36"/>
          <w:szCs w:val="36"/>
        </w:rPr>
        <w:t>（论证稿）</w:t>
      </w:r>
    </w:p>
    <w:bookmarkEnd w:id="262"/>
    <w:p>
      <w:pPr>
        <w:ind w:firstLine="720"/>
        <w:jc w:val="center"/>
        <w:rPr>
          <w:rFonts w:eastAsia="方正小标宋_GBK"/>
          <w:color w:val="000000"/>
          <w:sz w:val="36"/>
          <w:szCs w:val="36"/>
        </w:rPr>
      </w:pPr>
    </w:p>
    <w:p>
      <w:pPr>
        <w:ind w:firstLine="720"/>
        <w:jc w:val="center"/>
        <w:rPr>
          <w:rFonts w:eastAsia="方正小标宋_GBK"/>
          <w:color w:val="000000"/>
          <w:sz w:val="36"/>
          <w:szCs w:val="36"/>
        </w:rPr>
      </w:pPr>
    </w:p>
    <w:p>
      <w:pPr>
        <w:ind w:firstLine="720"/>
        <w:jc w:val="center"/>
        <w:rPr>
          <w:rFonts w:eastAsia="方正小标宋_GBK"/>
          <w:color w:val="000000"/>
          <w:sz w:val="36"/>
          <w:szCs w:val="36"/>
        </w:rPr>
      </w:pPr>
    </w:p>
    <w:p>
      <w:pPr>
        <w:ind w:firstLine="720"/>
        <w:jc w:val="center"/>
        <w:rPr>
          <w:rFonts w:eastAsia="方正小标宋_GBK"/>
          <w:color w:val="000000"/>
          <w:sz w:val="36"/>
          <w:szCs w:val="36"/>
        </w:rPr>
      </w:pPr>
    </w:p>
    <w:p>
      <w:pPr>
        <w:ind w:firstLine="720"/>
        <w:jc w:val="center"/>
        <w:rPr>
          <w:rFonts w:eastAsia="方正小标宋_GBK"/>
          <w:color w:val="000000"/>
          <w:sz w:val="36"/>
          <w:szCs w:val="36"/>
        </w:rPr>
      </w:pPr>
    </w:p>
    <w:p>
      <w:pPr>
        <w:ind w:firstLine="720"/>
        <w:jc w:val="center"/>
        <w:rPr>
          <w:rFonts w:eastAsia="方正小标宋_GBK"/>
          <w:color w:val="000000"/>
          <w:sz w:val="36"/>
          <w:szCs w:val="36"/>
        </w:rPr>
      </w:pPr>
    </w:p>
    <w:p>
      <w:pPr>
        <w:ind w:firstLine="720"/>
        <w:jc w:val="center"/>
        <w:rPr>
          <w:rFonts w:eastAsia="方正小标宋_GBK"/>
          <w:color w:val="000000"/>
          <w:sz w:val="36"/>
          <w:szCs w:val="36"/>
        </w:rPr>
      </w:pPr>
    </w:p>
    <w:p>
      <w:pPr>
        <w:ind w:firstLine="720"/>
        <w:jc w:val="center"/>
        <w:rPr>
          <w:rFonts w:eastAsia="方正小标宋_GBK"/>
          <w:color w:val="000000"/>
          <w:sz w:val="36"/>
          <w:szCs w:val="36"/>
        </w:rPr>
      </w:pPr>
    </w:p>
    <w:p>
      <w:pPr>
        <w:jc w:val="center"/>
        <w:rPr>
          <w:rFonts w:eastAsia="楷体_GB2312"/>
          <w:color w:val="000000"/>
          <w:sz w:val="36"/>
          <w:szCs w:val="36"/>
        </w:rPr>
      </w:pPr>
      <w:r>
        <w:rPr>
          <w:rFonts w:eastAsia="楷体_GB2312"/>
          <w:color w:val="000000"/>
          <w:sz w:val="36"/>
          <w:szCs w:val="36"/>
        </w:rPr>
        <w:t>国家林业和草原局</w:t>
      </w:r>
    </w:p>
    <w:p>
      <w:pPr>
        <w:jc w:val="center"/>
        <w:rPr>
          <w:rFonts w:eastAsia="方正楷体_GBK"/>
          <w:color w:val="000000"/>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871" w:right="1531" w:bottom="1531" w:left="1588" w:header="851" w:footer="1304" w:gutter="0"/>
          <w:cols w:space="720" w:num="1"/>
          <w:docGrid w:type="lines" w:linePitch="381" w:charSpace="0"/>
        </w:sectPr>
      </w:pPr>
      <w:r>
        <w:rPr>
          <w:rFonts w:eastAsia="楷体_GB2312"/>
          <w:color w:val="000000"/>
          <w:sz w:val="36"/>
          <w:szCs w:val="36"/>
        </w:rPr>
        <w:t>2021年10月</w:t>
      </w:r>
    </w:p>
    <w:p>
      <w:pPr>
        <w:adjustRightInd w:val="0"/>
        <w:snapToGrid w:val="0"/>
        <w:spacing w:line="596" w:lineRule="exact"/>
        <w:jc w:val="center"/>
        <w:outlineLvl w:val="0"/>
        <w:rPr>
          <w:rFonts w:hint="eastAsia" w:eastAsia="方正黑体_GBK"/>
          <w:color w:val="000000"/>
          <w:sz w:val="36"/>
          <w:szCs w:val="36"/>
        </w:rPr>
      </w:pPr>
      <w:bookmarkStart w:id="1" w:name="_Toc85643099"/>
      <w:bookmarkStart w:id="2" w:name="_Toc7908"/>
      <w:bookmarkStart w:id="3" w:name="_Toc1"/>
      <w:bookmarkStart w:id="4" w:name="_Toc8099"/>
      <w:bookmarkStart w:id="5" w:name="_Toc9334"/>
      <w:bookmarkStart w:id="6" w:name="_Toc9366"/>
      <w:bookmarkStart w:id="7" w:name="_Toc27000"/>
      <w:bookmarkStart w:id="8" w:name="_Toc27826"/>
    </w:p>
    <w:p>
      <w:pPr>
        <w:adjustRightInd w:val="0"/>
        <w:snapToGrid w:val="0"/>
        <w:spacing w:line="596" w:lineRule="exact"/>
        <w:jc w:val="center"/>
        <w:outlineLvl w:val="0"/>
        <w:rPr>
          <w:rFonts w:hint="eastAsia" w:ascii="方正小标宋简体" w:eastAsia="方正小标宋简体"/>
          <w:color w:val="000000"/>
          <w:sz w:val="42"/>
          <w:szCs w:val="42"/>
        </w:rPr>
      </w:pPr>
      <w:r>
        <w:rPr>
          <w:rFonts w:hint="eastAsia" w:ascii="方正小标宋简体" w:eastAsia="方正小标宋简体"/>
          <w:color w:val="000000"/>
          <w:sz w:val="42"/>
          <w:szCs w:val="42"/>
        </w:rPr>
        <w:t>编制说明</w:t>
      </w:r>
      <w:bookmarkEnd w:id="1"/>
      <w:bookmarkEnd w:id="2"/>
      <w:bookmarkEnd w:id="3"/>
      <w:bookmarkEnd w:id="4"/>
      <w:bookmarkEnd w:id="5"/>
      <w:bookmarkEnd w:id="6"/>
      <w:bookmarkEnd w:id="7"/>
    </w:p>
    <w:p>
      <w:pPr>
        <w:adjustRightInd w:val="0"/>
        <w:snapToGrid w:val="0"/>
        <w:spacing w:line="596" w:lineRule="exact"/>
        <w:jc w:val="center"/>
        <w:outlineLvl w:val="0"/>
        <w:rPr>
          <w:rFonts w:eastAsia="方正黑体_GBK"/>
          <w:color w:val="000000"/>
          <w:sz w:val="36"/>
          <w:szCs w:val="36"/>
        </w:rPr>
      </w:pPr>
    </w:p>
    <w:bookmarkEnd w:id="8"/>
    <w:p>
      <w:pPr>
        <w:adjustRightInd w:val="0"/>
        <w:snapToGrid w:val="0"/>
        <w:spacing w:line="596" w:lineRule="exact"/>
        <w:ind w:firstLine="640"/>
        <w:rPr>
          <w:rFonts w:eastAsia="仿宋_GB2312"/>
          <w:color w:val="000000"/>
          <w:sz w:val="32"/>
          <w:szCs w:val="32"/>
        </w:rPr>
      </w:pPr>
      <w:r>
        <w:rPr>
          <w:rFonts w:eastAsia="仿宋_GB2312"/>
          <w:color w:val="000000"/>
          <w:sz w:val="32"/>
          <w:szCs w:val="32"/>
        </w:rPr>
        <w:t>根据国家林业和草原局的部署和要求，以服务全国重要生态系统保护和修复重大工程（以下简称“双重”工程）建设为目标，编制《重点区域生态保护和修复工程建设项目可行性研究报告编制指南》（以下简称《指南》），用以指导和规范“双重”工程中生态建设项目可行性研究报告的编制工作。</w:t>
      </w:r>
    </w:p>
    <w:p>
      <w:pPr>
        <w:adjustRightInd w:val="0"/>
        <w:snapToGrid w:val="0"/>
        <w:spacing w:line="596" w:lineRule="exact"/>
        <w:ind w:firstLine="640"/>
        <w:rPr>
          <w:rFonts w:eastAsia="仿宋_GB2312"/>
          <w:color w:val="000000"/>
          <w:sz w:val="32"/>
          <w:szCs w:val="32"/>
        </w:rPr>
      </w:pPr>
      <w:r>
        <w:rPr>
          <w:rFonts w:eastAsia="仿宋_GB2312"/>
          <w:color w:val="000000"/>
          <w:sz w:val="32"/>
          <w:szCs w:val="32"/>
        </w:rPr>
        <w:t>依据《中华人民共和国行政许可法》和《国务院对确需保留的行政审批项目设定行政许可的决定》的规定，以《林业建设项目可行性研究报告编制规定（试行）》为蓝本编制本指南。指南服务于科学决策项目的备案、批复及实施，对项目的基本情况、投资的必要性、建设方案的可行性、技术的先进性、资金投入的合理性、项目组织实施的可靠性、社会经济发展的可持续、项目建设风险因素分析及对策、招投标方式等相关内容进行了规范。</w:t>
      </w:r>
    </w:p>
    <w:p>
      <w:pPr>
        <w:adjustRightInd w:val="0"/>
        <w:snapToGrid w:val="0"/>
        <w:spacing w:line="596" w:lineRule="exact"/>
        <w:ind w:firstLine="640"/>
        <w:rPr>
          <w:rFonts w:eastAsia="仿宋_GB2312"/>
          <w:color w:val="000000"/>
          <w:sz w:val="32"/>
          <w:szCs w:val="32"/>
        </w:rPr>
      </w:pPr>
      <w:r>
        <w:rPr>
          <w:rFonts w:eastAsia="仿宋_GB2312"/>
          <w:color w:val="000000"/>
          <w:sz w:val="32"/>
          <w:szCs w:val="32"/>
        </w:rPr>
        <w:t>编制过程中对“双重”工程涉及到的项目做了深入研究，对项目确需采取的技术措施做了详实调查，同时学习借鉴了其他行业项目可行性研究报告的编制规定，力求指南能够科学完善的指导可行性研究报告编制工作，为项目的立项决策提供准确、完整的信息。</w:t>
      </w:r>
    </w:p>
    <w:p>
      <w:pPr>
        <w:spacing w:line="596" w:lineRule="exact"/>
        <w:ind w:firstLine="720"/>
        <w:jc w:val="center"/>
        <w:rPr>
          <w:rFonts w:eastAsia="方正楷体_GBK"/>
          <w:color w:val="000000"/>
          <w:sz w:val="36"/>
          <w:szCs w:val="36"/>
        </w:rPr>
      </w:pPr>
      <w:r>
        <w:rPr>
          <w:rFonts w:eastAsia="方正楷体_GBK"/>
          <w:color w:val="000000"/>
          <w:sz w:val="36"/>
          <w:szCs w:val="36"/>
        </w:rPr>
        <w:br w:type="page"/>
      </w:r>
    </w:p>
    <w:bookmarkEnd w:id="0"/>
    <w:p>
      <w:pPr>
        <w:spacing w:line="596" w:lineRule="exact"/>
        <w:jc w:val="center"/>
        <w:rPr>
          <w:rFonts w:eastAsia="方正小标宋_GBK"/>
          <w:color w:val="000000"/>
          <w:sz w:val="42"/>
          <w:szCs w:val="42"/>
          <w:lang w:val="zh-CN"/>
        </w:rPr>
      </w:pPr>
      <w:bookmarkStart w:id="9" w:name="_Toc1564"/>
      <w:bookmarkStart w:id="10" w:name="_Toc16403"/>
      <w:bookmarkStart w:id="11" w:name="_Toc38"/>
      <w:bookmarkStart w:id="12" w:name="_Toc6482"/>
      <w:bookmarkStart w:id="13" w:name="_Toc80580464"/>
      <w:bookmarkStart w:id="14" w:name="_Toc17869"/>
      <w:bookmarkStart w:id="15" w:name="_Toc26156"/>
      <w:r>
        <w:rPr>
          <w:rFonts w:eastAsia="方正小标宋_GBK"/>
          <w:color w:val="000000"/>
          <w:sz w:val="42"/>
          <w:szCs w:val="42"/>
          <w:lang w:val="zh-CN"/>
        </w:rPr>
        <w:t>目   录</w:t>
      </w:r>
      <w:bookmarkEnd w:id="9"/>
      <w:bookmarkEnd w:id="10"/>
      <w:bookmarkEnd w:id="11"/>
      <w:bookmarkEnd w:id="12"/>
      <w:bookmarkEnd w:id="13"/>
      <w:bookmarkEnd w:id="14"/>
      <w:bookmarkEnd w:id="15"/>
    </w:p>
    <w:p>
      <w:pPr>
        <w:spacing w:line="596" w:lineRule="exact"/>
        <w:jc w:val="distribute"/>
        <w:rPr>
          <w:color w:val="000000"/>
          <w:sz w:val="42"/>
          <w:szCs w:val="42"/>
        </w:rPr>
      </w:pPr>
      <w:r>
        <w:rPr>
          <w:color w:val="000000"/>
          <w:sz w:val="42"/>
          <w:szCs w:val="42"/>
        </w:rPr>
        <w:fldChar w:fldCharType="begin"/>
      </w:r>
      <w:r>
        <w:rPr>
          <w:color w:val="000000"/>
          <w:sz w:val="42"/>
          <w:szCs w:val="42"/>
        </w:rPr>
        <w:instrText xml:space="preserve"> TOC \o "1-3" \h \z \u </w:instrText>
      </w:r>
      <w:r>
        <w:rPr>
          <w:color w:val="000000"/>
          <w:sz w:val="42"/>
          <w:szCs w:val="42"/>
        </w:rPr>
        <w:fldChar w:fldCharType="separate"/>
      </w:r>
    </w:p>
    <w:p>
      <w:pPr>
        <w:pStyle w:val="8"/>
        <w:widowControl w:val="0"/>
        <w:spacing w:line="596" w:lineRule="exact"/>
        <w:ind w:firstLine="227" w:firstLineChars="71"/>
        <w:jc w:val="distribute"/>
        <w:rPr>
          <w:color w:val="000000"/>
          <w:sz w:val="32"/>
          <w:szCs w:val="32"/>
        </w:rPr>
      </w:pPr>
      <w:r>
        <w:rPr>
          <w:color w:val="000000"/>
          <w:sz w:val="32"/>
          <w:szCs w:val="32"/>
        </w:rPr>
        <w:fldChar w:fldCharType="begin"/>
      </w:r>
      <w:r>
        <w:rPr>
          <w:color w:val="000000"/>
          <w:sz w:val="32"/>
          <w:szCs w:val="32"/>
        </w:rPr>
        <w:instrText xml:space="preserve"> HYPERLINK \l "_Toc85643099" </w:instrText>
      </w:r>
      <w:r>
        <w:rPr>
          <w:color w:val="000000"/>
          <w:sz w:val="32"/>
          <w:szCs w:val="32"/>
        </w:rPr>
        <w:fldChar w:fldCharType="separate"/>
      </w:r>
      <w:r>
        <w:rPr>
          <w:rStyle w:val="11"/>
          <w:rFonts w:eastAsia="方正黑体_GBK"/>
          <w:color w:val="000000"/>
          <w:sz w:val="32"/>
          <w:szCs w:val="32"/>
        </w:rPr>
        <w:t>编制说明</w:t>
      </w:r>
      <w:r>
        <w:rPr>
          <w:color w:val="000000"/>
          <w:sz w:val="32"/>
          <w:szCs w:val="32"/>
        </w:rPr>
        <w:tab/>
      </w:r>
      <w:r>
        <w:rPr>
          <w:color w:val="000000"/>
          <w:sz w:val="32"/>
          <w:szCs w:val="32"/>
        </w:rPr>
        <w:fldChar w:fldCharType="begin"/>
      </w:r>
      <w:r>
        <w:rPr>
          <w:color w:val="000000"/>
          <w:sz w:val="32"/>
          <w:szCs w:val="32"/>
        </w:rPr>
        <w:instrText xml:space="preserve"> PAGEREF _Toc85643099 \h </w:instrText>
      </w:r>
      <w:r>
        <w:rPr>
          <w:color w:val="000000"/>
          <w:sz w:val="32"/>
          <w:szCs w:val="32"/>
        </w:rPr>
        <w:fldChar w:fldCharType="separate"/>
      </w:r>
      <w:r>
        <w:rPr>
          <w:color w:val="000000"/>
          <w:sz w:val="32"/>
          <w:szCs w:val="32"/>
        </w:rPr>
        <w:t>7</w:t>
      </w:r>
      <w:r>
        <w:rPr>
          <w:color w:val="000000"/>
          <w:sz w:val="32"/>
          <w:szCs w:val="32"/>
        </w:rPr>
        <w:fldChar w:fldCharType="end"/>
      </w:r>
      <w:r>
        <w:rPr>
          <w:color w:val="000000"/>
          <w:sz w:val="32"/>
          <w:szCs w:val="32"/>
        </w:rPr>
        <w:fldChar w:fldCharType="end"/>
      </w:r>
    </w:p>
    <w:p>
      <w:pPr>
        <w:pStyle w:val="8"/>
        <w:widowControl w:val="0"/>
        <w:spacing w:line="596" w:lineRule="exact"/>
        <w:ind w:firstLine="227" w:firstLineChars="71"/>
        <w:jc w:val="distribute"/>
        <w:rPr>
          <w:color w:val="000000"/>
          <w:sz w:val="32"/>
          <w:szCs w:val="32"/>
        </w:rPr>
      </w:pPr>
      <w:r>
        <w:rPr>
          <w:color w:val="000000"/>
          <w:sz w:val="32"/>
          <w:szCs w:val="32"/>
        </w:rPr>
        <w:fldChar w:fldCharType="begin"/>
      </w:r>
      <w:r>
        <w:rPr>
          <w:color w:val="000000"/>
          <w:sz w:val="32"/>
          <w:szCs w:val="32"/>
        </w:rPr>
        <w:instrText xml:space="preserve"> HYPERLINK \l "_Toc85643100" </w:instrText>
      </w:r>
      <w:r>
        <w:rPr>
          <w:color w:val="000000"/>
          <w:sz w:val="32"/>
          <w:szCs w:val="32"/>
        </w:rPr>
        <w:fldChar w:fldCharType="separate"/>
      </w:r>
      <w:r>
        <w:rPr>
          <w:rStyle w:val="11"/>
          <w:rFonts w:eastAsia="方正黑体_GBK"/>
          <w:color w:val="000000"/>
          <w:sz w:val="32"/>
          <w:szCs w:val="32"/>
        </w:rPr>
        <w:t>第一部分 总则</w:t>
      </w:r>
      <w:r>
        <w:rPr>
          <w:color w:val="000000"/>
          <w:sz w:val="32"/>
          <w:szCs w:val="32"/>
        </w:rPr>
        <w:tab/>
      </w:r>
      <w:r>
        <w:rPr>
          <w:color w:val="000000"/>
          <w:sz w:val="32"/>
          <w:szCs w:val="32"/>
        </w:rPr>
        <w:fldChar w:fldCharType="begin"/>
      </w:r>
      <w:r>
        <w:rPr>
          <w:color w:val="000000"/>
          <w:sz w:val="32"/>
          <w:szCs w:val="32"/>
        </w:rPr>
        <w:instrText xml:space="preserve"> PAGEREF _Toc85643100 \h </w:instrText>
      </w:r>
      <w:r>
        <w:rPr>
          <w:color w:val="000000"/>
          <w:sz w:val="32"/>
          <w:szCs w:val="32"/>
        </w:rPr>
        <w:fldChar w:fldCharType="separate"/>
      </w:r>
      <w:r>
        <w:rPr>
          <w:color w:val="000000"/>
          <w:sz w:val="32"/>
          <w:szCs w:val="32"/>
        </w:rPr>
        <w:t>7</w:t>
      </w:r>
      <w:r>
        <w:rPr>
          <w:color w:val="000000"/>
          <w:sz w:val="32"/>
          <w:szCs w:val="32"/>
        </w:rPr>
        <w:fldChar w:fldCharType="end"/>
      </w:r>
      <w:r>
        <w:rPr>
          <w:color w:val="000000"/>
          <w:sz w:val="32"/>
          <w:szCs w:val="32"/>
        </w:rPr>
        <w:fldChar w:fldCharType="end"/>
      </w:r>
    </w:p>
    <w:p>
      <w:pPr>
        <w:pStyle w:val="8"/>
        <w:widowControl w:val="0"/>
        <w:spacing w:line="596" w:lineRule="exact"/>
        <w:ind w:firstLine="227" w:firstLineChars="71"/>
        <w:jc w:val="distribute"/>
        <w:rPr>
          <w:color w:val="000000"/>
          <w:sz w:val="32"/>
          <w:szCs w:val="32"/>
        </w:rPr>
      </w:pPr>
      <w:r>
        <w:rPr>
          <w:color w:val="000000"/>
          <w:sz w:val="32"/>
          <w:szCs w:val="32"/>
        </w:rPr>
        <w:fldChar w:fldCharType="begin"/>
      </w:r>
      <w:r>
        <w:rPr>
          <w:color w:val="000000"/>
          <w:sz w:val="32"/>
          <w:szCs w:val="32"/>
        </w:rPr>
        <w:instrText xml:space="preserve"> HYPERLINK \l "_Toc85643101" </w:instrText>
      </w:r>
      <w:r>
        <w:rPr>
          <w:color w:val="000000"/>
          <w:sz w:val="32"/>
          <w:szCs w:val="32"/>
        </w:rPr>
        <w:fldChar w:fldCharType="separate"/>
      </w:r>
      <w:r>
        <w:rPr>
          <w:rStyle w:val="11"/>
          <w:rFonts w:eastAsia="方正黑体_GBK"/>
          <w:color w:val="000000"/>
          <w:sz w:val="32"/>
          <w:szCs w:val="32"/>
        </w:rPr>
        <w:t>第二部分 编制大纲及要求</w:t>
      </w:r>
      <w:r>
        <w:rPr>
          <w:color w:val="000000"/>
          <w:sz w:val="32"/>
          <w:szCs w:val="32"/>
        </w:rPr>
        <w:tab/>
      </w:r>
      <w:r>
        <w:rPr>
          <w:color w:val="000000"/>
          <w:sz w:val="32"/>
          <w:szCs w:val="32"/>
        </w:rPr>
        <w:fldChar w:fldCharType="begin"/>
      </w:r>
      <w:r>
        <w:rPr>
          <w:color w:val="000000"/>
          <w:sz w:val="32"/>
          <w:szCs w:val="32"/>
        </w:rPr>
        <w:instrText xml:space="preserve"> PAGEREF _Toc85643101 \h </w:instrText>
      </w:r>
      <w:r>
        <w:rPr>
          <w:color w:val="000000"/>
          <w:sz w:val="32"/>
          <w:szCs w:val="32"/>
        </w:rPr>
        <w:fldChar w:fldCharType="separate"/>
      </w:r>
      <w:r>
        <w:rPr>
          <w:color w:val="000000"/>
          <w:sz w:val="32"/>
          <w:szCs w:val="32"/>
        </w:rPr>
        <w:t>7</w:t>
      </w:r>
      <w:r>
        <w:rPr>
          <w:color w:val="000000"/>
          <w:sz w:val="32"/>
          <w:szCs w:val="32"/>
        </w:rPr>
        <w:fldChar w:fldCharType="end"/>
      </w:r>
      <w:r>
        <w:rPr>
          <w:color w:val="000000"/>
          <w:sz w:val="32"/>
          <w:szCs w:val="32"/>
        </w:rPr>
        <w:fldChar w:fldCharType="end"/>
      </w:r>
    </w:p>
    <w:p>
      <w:pPr>
        <w:pStyle w:val="8"/>
        <w:widowControl w:val="0"/>
        <w:spacing w:line="596" w:lineRule="exact"/>
        <w:ind w:firstLine="560"/>
        <w:jc w:val="distribute"/>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"_Toc85643102" </w:instrText>
      </w:r>
      <w:r>
        <w:rPr>
          <w:rFonts w:eastAsia="仿宋_GB2312"/>
          <w:color w:val="000000"/>
          <w:sz w:val="32"/>
          <w:szCs w:val="32"/>
        </w:rPr>
        <w:fldChar w:fldCharType="separate"/>
      </w:r>
      <w:r>
        <w:rPr>
          <w:rStyle w:val="11"/>
          <w:rFonts w:eastAsia="仿宋_GB2312"/>
          <w:color w:val="000000"/>
          <w:sz w:val="32"/>
          <w:szCs w:val="32"/>
        </w:rPr>
        <w:t>1 总论</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_Toc85643102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8"/>
        <w:widowControl w:val="0"/>
        <w:spacing w:line="596" w:lineRule="exact"/>
        <w:ind w:firstLine="560"/>
        <w:jc w:val="distribute"/>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"_Toc85643120" </w:instrText>
      </w:r>
      <w:r>
        <w:rPr>
          <w:rFonts w:eastAsia="仿宋_GB2312"/>
          <w:color w:val="000000"/>
          <w:sz w:val="32"/>
          <w:szCs w:val="32"/>
        </w:rPr>
        <w:fldChar w:fldCharType="separate"/>
      </w:r>
      <w:r>
        <w:rPr>
          <w:rStyle w:val="11"/>
          <w:rFonts w:eastAsia="仿宋_GB2312"/>
          <w:color w:val="000000"/>
          <w:sz w:val="32"/>
          <w:szCs w:val="32"/>
        </w:rPr>
        <w:t>2 项目建设背景与必要性</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_Toc85643120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8"/>
        <w:widowControl w:val="0"/>
        <w:spacing w:line="596" w:lineRule="exact"/>
        <w:ind w:firstLine="560"/>
        <w:jc w:val="distribute"/>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"_Toc85643129" </w:instrText>
      </w:r>
      <w:r>
        <w:rPr>
          <w:rFonts w:eastAsia="仿宋_GB2312"/>
          <w:color w:val="000000"/>
          <w:sz w:val="32"/>
          <w:szCs w:val="32"/>
        </w:rPr>
        <w:fldChar w:fldCharType="separate"/>
      </w:r>
      <w:r>
        <w:rPr>
          <w:rStyle w:val="11"/>
          <w:rFonts w:eastAsia="仿宋_GB2312"/>
          <w:color w:val="000000"/>
          <w:sz w:val="32"/>
          <w:szCs w:val="32"/>
        </w:rPr>
        <w:t>3 项目建设条件</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_Toc85643129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8"/>
        <w:widowControl w:val="0"/>
        <w:spacing w:line="596" w:lineRule="exact"/>
        <w:ind w:firstLine="560"/>
        <w:jc w:val="distribute"/>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"_Toc85643140" </w:instrText>
      </w:r>
      <w:r>
        <w:rPr>
          <w:rFonts w:eastAsia="仿宋_GB2312"/>
          <w:color w:val="000000"/>
          <w:sz w:val="32"/>
          <w:szCs w:val="32"/>
        </w:rPr>
        <w:fldChar w:fldCharType="separate"/>
      </w:r>
      <w:r>
        <w:rPr>
          <w:rStyle w:val="11"/>
          <w:rFonts w:eastAsia="仿宋_GB2312"/>
          <w:color w:val="000000"/>
          <w:sz w:val="32"/>
          <w:szCs w:val="32"/>
        </w:rPr>
        <w:t>4 指导思想与建设目标</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_Toc85643140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8"/>
        <w:widowControl w:val="0"/>
        <w:spacing w:line="596" w:lineRule="exact"/>
        <w:ind w:firstLine="560"/>
        <w:jc w:val="distribute"/>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"_Toc85643144" </w:instrText>
      </w:r>
      <w:r>
        <w:rPr>
          <w:rFonts w:eastAsia="仿宋_GB2312"/>
          <w:color w:val="000000"/>
          <w:sz w:val="32"/>
          <w:szCs w:val="32"/>
        </w:rPr>
        <w:fldChar w:fldCharType="separate"/>
      </w:r>
      <w:r>
        <w:rPr>
          <w:rStyle w:val="11"/>
          <w:rFonts w:eastAsia="仿宋_GB2312"/>
          <w:color w:val="000000"/>
          <w:sz w:val="32"/>
          <w:szCs w:val="32"/>
        </w:rPr>
        <w:t>5 项目建设方案</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_Toc85643144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8"/>
        <w:widowControl w:val="0"/>
        <w:spacing w:line="596" w:lineRule="exact"/>
        <w:ind w:firstLine="560"/>
        <w:jc w:val="distribute"/>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"_Toc85643157" </w:instrText>
      </w:r>
      <w:r>
        <w:rPr>
          <w:rFonts w:eastAsia="仿宋_GB2312"/>
          <w:color w:val="000000"/>
          <w:sz w:val="32"/>
          <w:szCs w:val="32"/>
        </w:rPr>
        <w:fldChar w:fldCharType="separate"/>
      </w:r>
      <w:r>
        <w:rPr>
          <w:rStyle w:val="11"/>
          <w:rFonts w:eastAsia="仿宋_GB2312"/>
          <w:color w:val="000000"/>
          <w:sz w:val="32"/>
          <w:szCs w:val="32"/>
        </w:rPr>
        <w:t>6 防灾减灾、安全卫生、节能节水措施</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_Toc85643157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8"/>
        <w:widowControl w:val="0"/>
        <w:spacing w:line="596" w:lineRule="exact"/>
        <w:ind w:firstLine="560"/>
        <w:jc w:val="distribute"/>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"_Toc85643185" </w:instrText>
      </w:r>
      <w:r>
        <w:rPr>
          <w:rFonts w:eastAsia="仿宋_GB2312"/>
          <w:color w:val="000000"/>
          <w:sz w:val="32"/>
          <w:szCs w:val="32"/>
        </w:rPr>
        <w:fldChar w:fldCharType="separate"/>
      </w:r>
      <w:r>
        <w:rPr>
          <w:rStyle w:val="11"/>
          <w:rFonts w:eastAsia="仿宋_GB2312"/>
          <w:color w:val="000000"/>
          <w:sz w:val="32"/>
          <w:szCs w:val="32"/>
        </w:rPr>
        <w:t>7 项目组织管理</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_Toc85643185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8"/>
        <w:widowControl w:val="0"/>
        <w:spacing w:line="596" w:lineRule="exact"/>
        <w:ind w:firstLine="560"/>
        <w:jc w:val="distribute"/>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"_Toc85643181" </w:instrText>
      </w:r>
      <w:r>
        <w:rPr>
          <w:rFonts w:eastAsia="仿宋_GB2312"/>
          <w:color w:val="000000"/>
          <w:sz w:val="32"/>
          <w:szCs w:val="32"/>
        </w:rPr>
        <w:fldChar w:fldCharType="separate"/>
      </w:r>
      <w:r>
        <w:rPr>
          <w:rStyle w:val="11"/>
          <w:rFonts w:eastAsia="仿宋_GB2312"/>
          <w:color w:val="000000"/>
          <w:sz w:val="32"/>
          <w:szCs w:val="32"/>
        </w:rPr>
        <w:t>8 招标方案</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_Toc85643181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8"/>
        <w:widowControl w:val="0"/>
        <w:spacing w:line="596" w:lineRule="exact"/>
        <w:ind w:firstLine="560"/>
        <w:jc w:val="distribute"/>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"_Toc85643188" </w:instrText>
      </w:r>
      <w:r>
        <w:rPr>
          <w:rFonts w:eastAsia="仿宋_GB2312"/>
          <w:color w:val="000000"/>
          <w:sz w:val="32"/>
          <w:szCs w:val="32"/>
        </w:rPr>
        <w:fldChar w:fldCharType="separate"/>
      </w:r>
      <w:r>
        <w:rPr>
          <w:rStyle w:val="11"/>
          <w:rFonts w:eastAsia="仿宋_GB2312"/>
          <w:color w:val="000000"/>
          <w:sz w:val="32"/>
          <w:szCs w:val="32"/>
        </w:rPr>
        <w:t>9 实施进度</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_Toc85643188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8"/>
        <w:widowControl w:val="0"/>
        <w:spacing w:line="596" w:lineRule="exact"/>
        <w:ind w:firstLine="560"/>
        <w:jc w:val="distribute"/>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"_Toc85643172" </w:instrText>
      </w:r>
      <w:r>
        <w:rPr>
          <w:rFonts w:eastAsia="仿宋_GB2312"/>
          <w:color w:val="000000"/>
          <w:sz w:val="32"/>
          <w:szCs w:val="32"/>
        </w:rPr>
        <w:fldChar w:fldCharType="separate"/>
      </w:r>
      <w:r>
        <w:rPr>
          <w:rStyle w:val="11"/>
          <w:rFonts w:eastAsia="仿宋_GB2312"/>
          <w:color w:val="000000"/>
          <w:sz w:val="32"/>
          <w:szCs w:val="32"/>
        </w:rPr>
        <w:t>10 投资估算及效益分析</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_Toc85643172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8"/>
        <w:widowControl w:val="0"/>
        <w:spacing w:line="596" w:lineRule="exact"/>
        <w:ind w:firstLine="560"/>
        <w:jc w:val="distribute"/>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"_Toc85643176" </w:instrText>
      </w:r>
      <w:r>
        <w:rPr>
          <w:rFonts w:eastAsia="仿宋_GB2312"/>
          <w:color w:val="000000"/>
          <w:sz w:val="32"/>
          <w:szCs w:val="32"/>
        </w:rPr>
        <w:fldChar w:fldCharType="separate"/>
      </w:r>
      <w:r>
        <w:rPr>
          <w:rStyle w:val="11"/>
          <w:rFonts w:eastAsia="仿宋_GB2312"/>
          <w:color w:val="000000"/>
          <w:sz w:val="32"/>
          <w:szCs w:val="32"/>
        </w:rPr>
        <w:t>11 环境影响分析</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_Toc85643176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spacing w:line="596" w:lineRule="exact"/>
        <w:ind w:right="233" w:rightChars="111" w:firstLine="798"/>
        <w:jc w:val="distribute"/>
        <w:rPr>
          <w:rFonts w:eastAsia="仿宋_GB2312"/>
          <w:color w:val="000000"/>
          <w:sz w:val="32"/>
          <w:szCs w:val="32"/>
        </w:rPr>
      </w:pPr>
      <w:r>
        <w:rPr>
          <w:rFonts w:eastAsia="仿宋_GB2312"/>
          <w:color w:val="000000"/>
          <w:sz w:val="32"/>
          <w:szCs w:val="32"/>
        </w:rPr>
        <w:t>12 风险与社会稳定性评价.........................................26</w:t>
      </w:r>
    </w:p>
    <w:p>
      <w:pPr>
        <w:pStyle w:val="8"/>
        <w:widowControl w:val="0"/>
        <w:spacing w:line="596" w:lineRule="exact"/>
        <w:ind w:firstLine="560"/>
        <w:jc w:val="distribute"/>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"_Toc85643191" </w:instrText>
      </w:r>
      <w:r>
        <w:rPr>
          <w:rFonts w:eastAsia="仿宋_GB2312"/>
          <w:color w:val="000000"/>
          <w:sz w:val="32"/>
          <w:szCs w:val="32"/>
        </w:rPr>
        <w:fldChar w:fldCharType="separate"/>
      </w:r>
      <w:r>
        <w:rPr>
          <w:rStyle w:val="11"/>
          <w:rFonts w:eastAsia="仿宋_GB2312"/>
          <w:color w:val="000000"/>
          <w:sz w:val="32"/>
          <w:szCs w:val="32"/>
        </w:rPr>
        <w:t>13 结论与建议</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_Toc85643191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8"/>
        <w:widowControl w:val="0"/>
        <w:spacing w:line="596" w:lineRule="exact"/>
        <w:ind w:firstLine="560"/>
        <w:jc w:val="distribute"/>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"_Toc85643194" </w:instrText>
      </w:r>
      <w:r>
        <w:rPr>
          <w:rFonts w:eastAsia="仿宋_GB2312"/>
          <w:color w:val="000000"/>
          <w:sz w:val="32"/>
          <w:szCs w:val="32"/>
        </w:rPr>
        <w:fldChar w:fldCharType="separate"/>
      </w:r>
      <w:r>
        <w:rPr>
          <w:rStyle w:val="11"/>
          <w:rFonts w:eastAsia="仿宋_GB2312"/>
          <w:color w:val="000000"/>
          <w:sz w:val="32"/>
          <w:szCs w:val="32"/>
        </w:rPr>
        <w:t>14 附表</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_Toc85643194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pStyle w:val="8"/>
        <w:widowControl w:val="0"/>
        <w:spacing w:line="596" w:lineRule="exact"/>
        <w:ind w:firstLine="560"/>
        <w:jc w:val="distribute"/>
        <w:rPr>
          <w:rFonts w:eastAsia="仿宋_GB2312"/>
          <w:color w:val="000000"/>
          <w:sz w:val="32"/>
          <w:szCs w:val="32"/>
        </w:rPr>
      </w:pPr>
      <w:r>
        <w:rPr>
          <w:rFonts w:eastAsia="仿宋_GB2312"/>
          <w:color w:val="000000"/>
          <w:sz w:val="32"/>
          <w:szCs w:val="32"/>
        </w:rPr>
        <w:t>15 附件</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_Toc85643199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p>
    <w:p>
      <w:pPr>
        <w:pStyle w:val="8"/>
        <w:widowControl w:val="0"/>
        <w:spacing w:line="596" w:lineRule="exact"/>
        <w:ind w:firstLine="560"/>
        <w:jc w:val="distribute"/>
        <w:rPr>
          <w:rStyle w:val="11"/>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HYPERLINK \l "_Toc85643198" </w:instrText>
      </w:r>
      <w:r>
        <w:rPr>
          <w:rFonts w:eastAsia="仿宋_GB2312"/>
          <w:color w:val="000000"/>
          <w:sz w:val="32"/>
          <w:szCs w:val="32"/>
        </w:rPr>
        <w:fldChar w:fldCharType="separate"/>
      </w:r>
      <w:r>
        <w:rPr>
          <w:rStyle w:val="11"/>
          <w:rFonts w:eastAsia="仿宋_GB2312"/>
          <w:color w:val="000000"/>
          <w:sz w:val="32"/>
          <w:szCs w:val="32"/>
        </w:rPr>
        <w:t>16 附图</w:t>
      </w:r>
      <w:r>
        <w:rPr>
          <w:rFonts w:eastAsia="仿宋_GB2312"/>
          <w:color w:val="000000"/>
          <w:sz w:val="32"/>
          <w:szCs w:val="32"/>
        </w:rPr>
        <w:tab/>
      </w:r>
      <w:r>
        <w:rPr>
          <w:rFonts w:eastAsia="仿宋_GB2312"/>
          <w:color w:val="000000"/>
          <w:sz w:val="32"/>
          <w:szCs w:val="32"/>
        </w:rPr>
        <w:fldChar w:fldCharType="begin"/>
      </w:r>
      <w:r>
        <w:rPr>
          <w:rFonts w:eastAsia="仿宋_GB2312"/>
          <w:color w:val="000000"/>
          <w:sz w:val="32"/>
          <w:szCs w:val="32"/>
        </w:rPr>
        <w:instrText xml:space="preserve"> PAGEREF _Toc85643198 \h </w:instrText>
      </w:r>
      <w:r>
        <w:rPr>
          <w:rFonts w:eastAsia="仿宋_GB2312"/>
          <w:color w:val="000000"/>
          <w:sz w:val="32"/>
          <w:szCs w:val="32"/>
        </w:rPr>
        <w:fldChar w:fldCharType="separate"/>
      </w:r>
      <w:r>
        <w:rPr>
          <w:rFonts w:eastAsia="仿宋_GB2312"/>
          <w:color w:val="000000"/>
          <w:sz w:val="32"/>
          <w:szCs w:val="32"/>
        </w:rPr>
        <w:t>7</w:t>
      </w:r>
      <w:r>
        <w:rPr>
          <w:rFonts w:eastAsia="仿宋_GB2312"/>
          <w:color w:val="000000"/>
          <w:sz w:val="32"/>
          <w:szCs w:val="32"/>
        </w:rPr>
        <w:fldChar w:fldCharType="end"/>
      </w:r>
      <w:r>
        <w:rPr>
          <w:rFonts w:eastAsia="仿宋_GB2312"/>
          <w:color w:val="000000"/>
          <w:sz w:val="32"/>
          <w:szCs w:val="32"/>
        </w:rPr>
        <w:fldChar w:fldCharType="end"/>
      </w:r>
    </w:p>
    <w:p>
      <w:pPr>
        <w:spacing w:line="596" w:lineRule="exact"/>
        <w:ind w:firstLine="560"/>
        <w:jc w:val="distribute"/>
        <w:rPr>
          <w:color w:val="000000"/>
          <w:sz w:val="44"/>
          <w:szCs w:val="44"/>
        </w:rPr>
        <w:sectPr>
          <w:pgSz w:w="11906" w:h="16838"/>
          <w:pgMar w:top="1871" w:right="1531" w:bottom="1531" w:left="1588" w:header="851" w:footer="1304" w:gutter="0"/>
          <w:cols w:space="720" w:num="1"/>
          <w:docGrid w:type="lines" w:linePitch="381" w:charSpace="0"/>
        </w:sectPr>
      </w:pPr>
      <w:r>
        <w:rPr>
          <w:bCs/>
          <w:color w:val="000000"/>
          <w:lang w:val="zh-CN"/>
        </w:rPr>
        <w:fldChar w:fldCharType="end"/>
      </w:r>
    </w:p>
    <w:p>
      <w:pPr>
        <w:adjustRightInd w:val="0"/>
        <w:snapToGrid w:val="0"/>
        <w:spacing w:line="596" w:lineRule="exact"/>
        <w:jc w:val="center"/>
        <w:outlineLvl w:val="0"/>
        <w:rPr>
          <w:rFonts w:eastAsia="仿宋_GB2312"/>
          <w:color w:val="000000"/>
          <w:sz w:val="32"/>
          <w:szCs w:val="32"/>
        </w:rPr>
      </w:pPr>
      <w:bookmarkStart w:id="16" w:name="_Toc85643100"/>
      <w:bookmarkStart w:id="17" w:name="_Toc80020773"/>
      <w:bookmarkStart w:id="18" w:name="_Toc19958"/>
    </w:p>
    <w:p>
      <w:pPr>
        <w:adjustRightInd w:val="0"/>
        <w:snapToGrid w:val="0"/>
        <w:spacing w:line="596" w:lineRule="exact"/>
        <w:jc w:val="center"/>
        <w:outlineLvl w:val="0"/>
        <w:rPr>
          <w:rFonts w:eastAsia="方正小标宋简体"/>
          <w:color w:val="000000"/>
          <w:sz w:val="42"/>
          <w:szCs w:val="42"/>
        </w:rPr>
      </w:pPr>
      <w:r>
        <w:rPr>
          <w:rFonts w:eastAsia="方正小标宋简体"/>
          <w:color w:val="000000"/>
          <w:sz w:val="42"/>
          <w:szCs w:val="42"/>
        </w:rPr>
        <w:t>第一部分  总则</w:t>
      </w:r>
      <w:bookmarkEnd w:id="16"/>
      <w:bookmarkEnd w:id="17"/>
    </w:p>
    <w:p>
      <w:pPr>
        <w:adjustRightInd w:val="0"/>
        <w:snapToGrid w:val="0"/>
        <w:spacing w:line="596" w:lineRule="exact"/>
        <w:ind w:firstLine="643"/>
        <w:rPr>
          <w:rFonts w:eastAsia="仿宋_GB2312"/>
          <w:b/>
          <w:bCs/>
          <w:color w:val="000000"/>
          <w:sz w:val="32"/>
          <w:szCs w:val="32"/>
        </w:rPr>
      </w:pPr>
    </w:p>
    <w:p>
      <w:pPr>
        <w:adjustRightInd w:val="0"/>
        <w:snapToGrid w:val="0"/>
        <w:spacing w:line="596" w:lineRule="exact"/>
        <w:ind w:firstLine="643"/>
        <w:rPr>
          <w:rFonts w:eastAsia="仿宋_GB2312"/>
          <w:color w:val="000000"/>
          <w:sz w:val="32"/>
          <w:szCs w:val="32"/>
        </w:rPr>
      </w:pPr>
      <w:r>
        <w:rPr>
          <w:rFonts w:eastAsia="仿宋_GB2312"/>
          <w:b/>
          <w:bCs/>
          <w:color w:val="000000"/>
          <w:sz w:val="32"/>
          <w:szCs w:val="32"/>
        </w:rPr>
        <w:t>第一条</w:t>
      </w:r>
      <w:r>
        <w:rPr>
          <w:rFonts w:eastAsia="仿宋_GB2312"/>
          <w:color w:val="000000"/>
          <w:sz w:val="32"/>
          <w:szCs w:val="32"/>
        </w:rPr>
        <w:t xml:space="preserve">  为规范 “双重”工程建设项目可行性研究报告的编制，保证可行性研究报告的科学性、完整性和规范性，依据国家相关法规及规范，制定本指南。</w:t>
      </w:r>
    </w:p>
    <w:p>
      <w:pPr>
        <w:adjustRightInd w:val="0"/>
        <w:snapToGrid w:val="0"/>
        <w:spacing w:line="596" w:lineRule="exact"/>
        <w:ind w:firstLine="643"/>
        <w:rPr>
          <w:rFonts w:eastAsia="仿宋_GB2312"/>
          <w:color w:val="000000"/>
          <w:sz w:val="32"/>
          <w:szCs w:val="32"/>
        </w:rPr>
      </w:pPr>
      <w:r>
        <w:rPr>
          <w:rFonts w:eastAsia="仿宋_GB2312"/>
          <w:b/>
          <w:bCs/>
          <w:color w:val="000000"/>
          <w:sz w:val="32"/>
          <w:szCs w:val="32"/>
        </w:rPr>
        <w:t xml:space="preserve">第二条 </w:t>
      </w:r>
      <w:r>
        <w:rPr>
          <w:rFonts w:eastAsia="仿宋_GB2312"/>
          <w:color w:val="000000"/>
          <w:sz w:val="32"/>
          <w:szCs w:val="32"/>
        </w:rPr>
        <w:t xml:space="preserve"> 本指南适用于林业和草原部门主管的“双重”工程所涉及的申请使用中央预算内投资的重点保护和生态修复项目可行性研究报告的编制，具体项目包括青藏高原生态屏障区生态保护和修复重大工程、黄河重点生态区（含黄土高原生态屏障）生态保护和修复重大工程、长江重点生态区（含川滇生态屏障）生态保护和修复重大工程、东北森林带生态保护和修复重大工程、北方防沙带生态保护和修复重大工程、南方丘陵山地带生态保护和修复重大工程、海岸带生态保护和修复重大工程等“三区四带”所涉及的生态保护和修复项目。其他林业和草原生态保护和修复项目可行性研究报告的编制可参照执行。</w:t>
      </w:r>
    </w:p>
    <w:p>
      <w:pPr>
        <w:adjustRightInd w:val="0"/>
        <w:snapToGrid w:val="0"/>
        <w:spacing w:line="596" w:lineRule="exact"/>
        <w:ind w:firstLine="643"/>
        <w:rPr>
          <w:rFonts w:eastAsia="仿宋_GB2312"/>
          <w:color w:val="000000"/>
          <w:sz w:val="32"/>
          <w:szCs w:val="32"/>
        </w:rPr>
      </w:pPr>
      <w:r>
        <w:rPr>
          <w:rFonts w:eastAsia="仿宋_GB2312"/>
          <w:b/>
          <w:bCs/>
          <w:color w:val="000000"/>
          <w:sz w:val="32"/>
          <w:szCs w:val="32"/>
        </w:rPr>
        <w:t>第三条</w:t>
      </w:r>
      <w:r>
        <w:rPr>
          <w:rFonts w:eastAsia="仿宋_GB2312"/>
          <w:color w:val="000000"/>
          <w:sz w:val="32"/>
          <w:szCs w:val="32"/>
        </w:rPr>
        <w:t xml:space="preserve">  编制“双重”工程项目的可行性研究报告应根据已批准的相关规划、现行的标准规范，按照国家发展和改革委员会的林业和草原建设项目投资管理要求，在充分调查研究的基础上，从投资、技术、经济、环境、社会等方面论证和评价项目建设的可行性。</w:t>
      </w:r>
    </w:p>
    <w:p>
      <w:pPr>
        <w:adjustRightInd w:val="0"/>
        <w:snapToGrid w:val="0"/>
        <w:spacing w:line="596" w:lineRule="exact"/>
        <w:ind w:firstLine="643"/>
        <w:rPr>
          <w:rFonts w:eastAsia="仿宋_GB2312"/>
          <w:color w:val="000000"/>
          <w:sz w:val="32"/>
          <w:szCs w:val="32"/>
        </w:rPr>
      </w:pPr>
      <w:r>
        <w:rPr>
          <w:rFonts w:eastAsia="仿宋_GB2312"/>
          <w:b/>
          <w:bCs/>
          <w:color w:val="000000"/>
          <w:sz w:val="32"/>
          <w:szCs w:val="32"/>
        </w:rPr>
        <w:t xml:space="preserve">第四条 </w:t>
      </w:r>
      <w:r>
        <w:rPr>
          <w:rFonts w:eastAsia="仿宋_GB2312"/>
          <w:color w:val="000000"/>
          <w:sz w:val="32"/>
          <w:szCs w:val="32"/>
        </w:rPr>
        <w:t xml:space="preserve"> 可行性研究报告应由具有相应专业资信评价等级的工程咨询单位编制，工程咨询单位严格遵守国家和行业有关法规、规范和本指南的要求，独立、公正、科学编制可行性研究报告，若干单位协作承担项目的可行性研究报告编制工作，各单位均对可行性研究报告的真实性和合法性负责。</w:t>
      </w:r>
    </w:p>
    <w:p>
      <w:pPr>
        <w:adjustRightInd w:val="0"/>
        <w:snapToGrid w:val="0"/>
        <w:spacing w:line="596" w:lineRule="exact"/>
        <w:ind w:firstLine="643"/>
        <w:rPr>
          <w:rFonts w:eastAsia="仿宋_GB2312"/>
          <w:color w:val="000000"/>
          <w:sz w:val="32"/>
          <w:szCs w:val="32"/>
        </w:rPr>
      </w:pPr>
      <w:r>
        <w:rPr>
          <w:rFonts w:eastAsia="仿宋_GB2312"/>
          <w:b/>
          <w:bCs/>
          <w:color w:val="000000"/>
          <w:sz w:val="32"/>
          <w:szCs w:val="32"/>
        </w:rPr>
        <w:t>第五条</w:t>
      </w:r>
      <w:r>
        <w:rPr>
          <w:rFonts w:eastAsia="仿宋_GB2312"/>
          <w:color w:val="000000"/>
          <w:sz w:val="32"/>
          <w:szCs w:val="32"/>
        </w:rPr>
        <w:t xml:space="preserve">  可行性研究报告编制的深度应能充分反映项目可行性研究成果，内容齐全，数据准确，论据充分，结论明确，满足项目投资决策和开展项目初步设计的要求；选用的技术方案能够达到集约和节约实施项目的要求；对建设项目及项目中的重大技术和经济方案，应进行两个(含）以上方案的比选；应附有相关的附表、附件、附图等。</w:t>
      </w:r>
    </w:p>
    <w:p>
      <w:pPr>
        <w:adjustRightInd w:val="0"/>
        <w:snapToGrid w:val="0"/>
        <w:spacing w:line="596" w:lineRule="exact"/>
        <w:ind w:firstLine="643"/>
        <w:rPr>
          <w:rFonts w:eastAsia="仿宋_GB2312"/>
          <w:color w:val="000000"/>
          <w:sz w:val="32"/>
          <w:szCs w:val="32"/>
        </w:rPr>
      </w:pPr>
      <w:r>
        <w:rPr>
          <w:rFonts w:eastAsia="仿宋_GB2312"/>
          <w:b/>
          <w:bCs/>
          <w:color w:val="000000"/>
          <w:sz w:val="32"/>
          <w:szCs w:val="32"/>
        </w:rPr>
        <w:t>第六条</w:t>
      </w:r>
      <w:r>
        <w:rPr>
          <w:rFonts w:eastAsia="仿宋_GB2312"/>
          <w:color w:val="000000"/>
          <w:sz w:val="32"/>
          <w:szCs w:val="32"/>
        </w:rPr>
        <w:t xml:space="preserve">  可行性研究报告涉及的基本术语应符合相关标准和习惯用法，对可行性研究报告内容有重要影响的术语，应给出必要的定义或做出解释说明。</w:t>
      </w:r>
    </w:p>
    <w:p>
      <w:pPr>
        <w:adjustRightInd w:val="0"/>
        <w:snapToGrid w:val="0"/>
        <w:spacing w:line="596" w:lineRule="exact"/>
        <w:ind w:firstLine="643"/>
        <w:rPr>
          <w:rFonts w:eastAsia="仿宋_GB2312"/>
          <w:color w:val="000000"/>
          <w:sz w:val="32"/>
          <w:szCs w:val="32"/>
        </w:rPr>
      </w:pPr>
      <w:r>
        <w:rPr>
          <w:rFonts w:eastAsia="仿宋_GB2312"/>
          <w:b/>
          <w:bCs/>
          <w:color w:val="000000"/>
          <w:sz w:val="32"/>
          <w:szCs w:val="32"/>
        </w:rPr>
        <w:t>第七条</w:t>
      </w:r>
      <w:r>
        <w:rPr>
          <w:rFonts w:eastAsia="仿宋_GB2312"/>
          <w:color w:val="000000"/>
          <w:sz w:val="32"/>
          <w:szCs w:val="32"/>
        </w:rPr>
        <w:t xml:space="preserve">  可行性研究报告的装订形式依次为封面、编制单位资信证书（影印件）、编制单位职签页、编制人员名单页、前言（可选）、目录（二级以上）、正文、附表、附件、附图。</w:t>
      </w:r>
    </w:p>
    <w:p>
      <w:pPr>
        <w:adjustRightInd w:val="0"/>
        <w:snapToGrid w:val="0"/>
        <w:spacing w:line="596" w:lineRule="exact"/>
        <w:ind w:firstLine="643"/>
        <w:rPr>
          <w:rFonts w:eastAsia="仿宋_GB2312"/>
          <w:color w:val="000000"/>
          <w:sz w:val="32"/>
          <w:szCs w:val="32"/>
        </w:rPr>
      </w:pPr>
      <w:r>
        <w:rPr>
          <w:rFonts w:eastAsia="仿宋_GB2312"/>
          <w:b/>
          <w:bCs/>
          <w:color w:val="000000"/>
          <w:sz w:val="32"/>
          <w:szCs w:val="32"/>
        </w:rPr>
        <w:t xml:space="preserve">第八条  </w:t>
      </w:r>
      <w:r>
        <w:rPr>
          <w:rFonts w:eastAsia="仿宋_GB2312"/>
          <w:color w:val="000000"/>
          <w:sz w:val="32"/>
          <w:szCs w:val="32"/>
        </w:rPr>
        <w:t>可行性研究报告封面内容包括项目名称、项目编号（可选）、编制单位（加盖公章）和日期。职签页内容包括项目名称、编制单位、编制单位法人代表（签章）、编制单位技术质量负责人（签章）、项目负责人（签章）、注册咨询工程师（签章）等。</w:t>
      </w:r>
    </w:p>
    <w:p>
      <w:pPr>
        <w:adjustRightInd w:val="0"/>
        <w:snapToGrid w:val="0"/>
        <w:spacing w:line="596" w:lineRule="exact"/>
        <w:ind w:firstLine="643"/>
        <w:rPr>
          <w:rFonts w:eastAsia="仿宋_GB2312"/>
          <w:color w:val="000000"/>
          <w:sz w:val="32"/>
          <w:szCs w:val="32"/>
        </w:rPr>
      </w:pPr>
      <w:r>
        <w:rPr>
          <w:rFonts w:eastAsia="仿宋_GB2312"/>
          <w:b/>
          <w:bCs/>
          <w:color w:val="000000"/>
          <w:sz w:val="32"/>
          <w:szCs w:val="32"/>
        </w:rPr>
        <w:t xml:space="preserve">第九条  </w:t>
      </w:r>
      <w:r>
        <w:rPr>
          <w:rFonts w:eastAsia="仿宋_GB2312"/>
          <w:color w:val="000000"/>
          <w:sz w:val="32"/>
          <w:szCs w:val="32"/>
        </w:rPr>
        <w:t>可行性研究报告正文的主要内容与顺序为：总论，项目建设背景与必要性，项目建设条件，指导思想与建设目标，项目建设方案，防灾减灾、安全卫生、节能节水措施，项目组织管理，招标方案，实施进度，投资估算与效益分析，环境影响分析，风险与社会稳定性评价，结论与建议。</w:t>
      </w:r>
    </w:p>
    <w:p>
      <w:pPr>
        <w:adjustRightInd w:val="0"/>
        <w:snapToGrid w:val="0"/>
        <w:spacing w:line="596" w:lineRule="exact"/>
        <w:ind w:firstLine="643"/>
        <w:rPr>
          <w:rFonts w:eastAsia="仿宋_GB2312"/>
          <w:color w:val="000000"/>
          <w:sz w:val="32"/>
          <w:szCs w:val="32"/>
        </w:rPr>
      </w:pPr>
      <w:r>
        <w:rPr>
          <w:rFonts w:eastAsia="仿宋_GB2312"/>
          <w:b/>
          <w:bCs/>
          <w:color w:val="000000"/>
          <w:sz w:val="32"/>
          <w:szCs w:val="32"/>
        </w:rPr>
        <w:t>第十条</w:t>
      </w:r>
      <w:r>
        <w:rPr>
          <w:rFonts w:eastAsia="仿宋_GB2312"/>
          <w:color w:val="000000"/>
          <w:sz w:val="32"/>
          <w:szCs w:val="32"/>
        </w:rPr>
        <w:t xml:space="preserve">  可行性研究报告的章节编号采用阿拉伯数字，分级宜小于4级，一级标题用2号黑体或宋体加粗，二级标题用3号黑体，三级标题用小3号楷体，四级标题用4号宋体加粗或仿宋加粗，正文用4号宋体或仿宋体。</w:t>
      </w:r>
    </w:p>
    <w:p>
      <w:pPr>
        <w:adjustRightInd w:val="0"/>
        <w:snapToGrid w:val="0"/>
        <w:spacing w:line="596" w:lineRule="exact"/>
        <w:ind w:firstLine="643"/>
        <w:rPr>
          <w:rFonts w:eastAsia="仿宋_GB2312"/>
          <w:color w:val="000000"/>
          <w:sz w:val="32"/>
          <w:szCs w:val="32"/>
        </w:rPr>
      </w:pPr>
      <w:r>
        <w:rPr>
          <w:rFonts w:eastAsia="仿宋_GB2312"/>
          <w:b/>
          <w:bCs/>
          <w:color w:val="000000"/>
          <w:sz w:val="32"/>
          <w:szCs w:val="32"/>
        </w:rPr>
        <w:t xml:space="preserve">第十一条 </w:t>
      </w:r>
      <w:r>
        <w:rPr>
          <w:rFonts w:eastAsia="仿宋_GB2312"/>
          <w:color w:val="000000"/>
          <w:sz w:val="32"/>
          <w:szCs w:val="32"/>
        </w:rPr>
        <w:t xml:space="preserve"> 可行性研究报告的各类附图应遵守《中华人民共和国测绘法》、《地图管理条例》、《公开地图内容表示若干规定》等法律法规和条例的规定，地理要素表示方式和注记要素等应符合国家和林草行业的相关标准和规范。</w:t>
      </w:r>
    </w:p>
    <w:p>
      <w:pPr>
        <w:adjustRightInd w:val="0"/>
        <w:snapToGrid w:val="0"/>
        <w:spacing w:line="596" w:lineRule="exact"/>
        <w:ind w:firstLine="643"/>
        <w:rPr>
          <w:rFonts w:eastAsia="仿宋_GB2312"/>
          <w:color w:val="000000"/>
          <w:sz w:val="32"/>
          <w:szCs w:val="32"/>
        </w:rPr>
      </w:pPr>
      <w:r>
        <w:rPr>
          <w:rFonts w:eastAsia="仿宋_GB2312"/>
          <w:b/>
          <w:bCs/>
          <w:color w:val="000000"/>
          <w:sz w:val="32"/>
          <w:szCs w:val="32"/>
        </w:rPr>
        <w:t>第十二条</w:t>
      </w:r>
      <w:r>
        <w:rPr>
          <w:rFonts w:eastAsia="仿宋_GB2312"/>
          <w:color w:val="000000"/>
          <w:sz w:val="32"/>
          <w:szCs w:val="32"/>
        </w:rPr>
        <w:t xml:space="preserve">  可行性研究报告宜用A4标准白纸双面印制，左侧装订；附表和附图宜用A4或A3标准白纸宋体或仿宋字体印制。</w:t>
      </w:r>
    </w:p>
    <w:p>
      <w:pPr>
        <w:pStyle w:val="2"/>
        <w:keepNext w:val="0"/>
        <w:keepLines w:val="0"/>
        <w:numPr>
          <w:ilvl w:val="0"/>
          <w:numId w:val="1"/>
        </w:numPr>
        <w:spacing w:line="580" w:lineRule="exact"/>
        <w:rPr>
          <w:color w:val="000000"/>
          <w:sz w:val="44"/>
          <w:szCs w:val="44"/>
        </w:rPr>
        <w:sectPr>
          <w:pgSz w:w="11906" w:h="16838"/>
          <w:pgMar w:top="1871" w:right="1531" w:bottom="1531" w:left="1588" w:header="851" w:footer="1304" w:gutter="0"/>
          <w:cols w:space="720" w:num="1"/>
          <w:docGrid w:type="lines" w:linePitch="381" w:charSpace="0"/>
        </w:sectPr>
      </w:pPr>
      <w:bookmarkStart w:id="19" w:name="_Toc80020774"/>
    </w:p>
    <w:p>
      <w:pPr>
        <w:adjustRightInd w:val="0"/>
        <w:snapToGrid w:val="0"/>
        <w:spacing w:line="596" w:lineRule="exact"/>
        <w:jc w:val="center"/>
        <w:outlineLvl w:val="0"/>
        <w:rPr>
          <w:rFonts w:eastAsia="方正黑体_GBK"/>
          <w:color w:val="000000"/>
          <w:sz w:val="44"/>
          <w:szCs w:val="36"/>
        </w:rPr>
      </w:pPr>
      <w:bookmarkStart w:id="20" w:name="_Toc85643101"/>
    </w:p>
    <w:p>
      <w:pPr>
        <w:adjustRightInd w:val="0"/>
        <w:snapToGrid w:val="0"/>
        <w:spacing w:line="596" w:lineRule="exact"/>
        <w:jc w:val="center"/>
        <w:outlineLvl w:val="0"/>
        <w:rPr>
          <w:rFonts w:eastAsia="方正小标宋简体"/>
          <w:color w:val="000000"/>
          <w:sz w:val="42"/>
          <w:szCs w:val="42"/>
        </w:rPr>
      </w:pPr>
      <w:r>
        <w:rPr>
          <w:rFonts w:eastAsia="方正小标宋简体"/>
          <w:color w:val="000000"/>
          <w:sz w:val="42"/>
          <w:szCs w:val="42"/>
        </w:rPr>
        <w:t>第二部分  编制大纲及要求</w:t>
      </w:r>
      <w:bookmarkEnd w:id="20"/>
    </w:p>
    <w:p>
      <w:pPr>
        <w:adjustRightInd w:val="0"/>
        <w:snapToGrid w:val="0"/>
        <w:spacing w:line="596" w:lineRule="exact"/>
        <w:ind w:firstLine="560"/>
        <w:rPr>
          <w:rFonts w:eastAsia="方正仿宋_GBK"/>
          <w:color w:val="000000"/>
          <w:sz w:val="32"/>
          <w:szCs w:val="32"/>
        </w:rPr>
      </w:pP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重点区域生态保护和修复工程建设项目可行性研究报告参照本大纲及要求编制。可根据实际建设内容对大纲进行调整，建设内容超出本大纲的可进一步细化，不涉及的建设内容可适当删减，相应的顺序号进行依次调整。</w:t>
      </w:r>
    </w:p>
    <w:p>
      <w:pPr>
        <w:adjustRightInd w:val="0"/>
        <w:snapToGrid w:val="0"/>
        <w:spacing w:line="596" w:lineRule="exact"/>
        <w:ind w:firstLine="640" w:firstLineChars="200"/>
        <w:rPr>
          <w:rFonts w:eastAsia="仿宋_GB2312"/>
          <w:color w:val="000000"/>
          <w:sz w:val="32"/>
          <w:szCs w:val="32"/>
        </w:rPr>
      </w:pPr>
    </w:p>
    <w:p>
      <w:pPr>
        <w:pStyle w:val="2"/>
        <w:keepNext w:val="0"/>
        <w:keepLines w:val="0"/>
        <w:numPr>
          <w:ilvl w:val="0"/>
          <w:numId w:val="1"/>
        </w:numPr>
        <w:adjustRightInd w:val="0"/>
        <w:snapToGrid w:val="0"/>
        <w:spacing w:before="0" w:after="0" w:line="596" w:lineRule="exact"/>
        <w:rPr>
          <w:rFonts w:hint="eastAsia" w:ascii="黑体" w:hAnsi="黑体"/>
          <w:color w:val="000000"/>
        </w:rPr>
      </w:pPr>
      <w:r>
        <w:rPr>
          <w:rFonts w:hint="eastAsia" w:ascii="黑体" w:hAnsi="黑体"/>
          <w:color w:val="000000"/>
        </w:rPr>
        <w:t xml:space="preserve"> </w:t>
      </w:r>
      <w:bookmarkStart w:id="21" w:name="_Toc85643102"/>
      <w:r>
        <w:rPr>
          <w:rFonts w:hint="eastAsia" w:ascii="黑体" w:hAnsi="黑体"/>
          <w:color w:val="000000"/>
        </w:rPr>
        <w:t xml:space="preserve"> 总论</w:t>
      </w:r>
      <w:bookmarkEnd w:id="18"/>
      <w:bookmarkEnd w:id="19"/>
      <w:bookmarkEnd w:id="21"/>
    </w:p>
    <w:p>
      <w:pPr>
        <w:adjustRightInd w:val="0"/>
        <w:snapToGrid w:val="0"/>
        <w:spacing w:line="596" w:lineRule="exact"/>
        <w:ind w:firstLine="640" w:firstLineChars="200"/>
        <w:rPr>
          <w:rFonts w:eastAsia="仿宋_GB2312"/>
          <w:color w:val="000000"/>
          <w:sz w:val="32"/>
          <w:szCs w:val="32"/>
        </w:rPr>
      </w:pP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22" w:name="_Toc80020775"/>
      <w:bookmarkStart w:id="23" w:name="_Toc85643103"/>
      <w:r>
        <w:rPr>
          <w:rFonts w:ascii="Times New Roman" w:hAnsi="Times New Roman"/>
          <w:color w:val="000000"/>
        </w:rPr>
        <w:t>项目提要</w:t>
      </w:r>
      <w:bookmarkEnd w:id="22"/>
      <w:bookmarkEnd w:id="23"/>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24" w:name="_Toc85643104"/>
      <w:bookmarkStart w:id="25" w:name="_Toc80020776"/>
      <w:r>
        <w:rPr>
          <w:rFonts w:eastAsia="楷体_GB2312"/>
          <w:color w:val="000000"/>
          <w:sz w:val="32"/>
        </w:rPr>
        <w:t>项目名称</w:t>
      </w:r>
      <w:bookmarkEnd w:id="24"/>
      <w:bookmarkEnd w:id="25"/>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项目的全称。</w:t>
      </w:r>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26" w:name="_Toc80020777"/>
      <w:bookmarkStart w:id="27" w:name="_Toc85643105"/>
      <w:r>
        <w:rPr>
          <w:rFonts w:eastAsia="楷体_GB2312"/>
          <w:color w:val="000000"/>
          <w:sz w:val="32"/>
        </w:rPr>
        <w:t>项目类型</w:t>
      </w:r>
      <w:bookmarkEnd w:id="26"/>
      <w:bookmarkEnd w:id="27"/>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项目所属重大工程名称、气候分区及工程类型。</w:t>
      </w:r>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28" w:name="_Toc80020778"/>
      <w:bookmarkStart w:id="29" w:name="_Toc85643106"/>
      <w:r>
        <w:rPr>
          <w:rFonts w:eastAsia="楷体_GB2312"/>
          <w:color w:val="000000"/>
          <w:sz w:val="32"/>
        </w:rPr>
        <w:t>主管</w:t>
      </w:r>
      <w:bookmarkEnd w:id="28"/>
      <w:r>
        <w:rPr>
          <w:rFonts w:eastAsia="楷体_GB2312"/>
          <w:color w:val="000000"/>
          <w:sz w:val="32"/>
        </w:rPr>
        <w:t>部门</w:t>
      </w:r>
      <w:bookmarkEnd w:id="29"/>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项目主管部门的全称。</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项目主管部门原则上为省（自治区、直辖市）发展和改革委员会。</w:t>
      </w:r>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30" w:name="_Toc85643107"/>
      <w:bookmarkStart w:id="31" w:name="_Toc80020779"/>
      <w:r>
        <w:rPr>
          <w:rFonts w:eastAsia="楷体_GB2312"/>
          <w:color w:val="000000"/>
          <w:sz w:val="32"/>
        </w:rPr>
        <w:t>建设单位</w:t>
      </w:r>
      <w:bookmarkEnd w:id="30"/>
      <w:bookmarkEnd w:id="31"/>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项目建设单位的全称、所在地址及法定代表人。</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建设范围为单个市（盟、州）的项目建设单位原则上为市级林业和草原主管部门。</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建设范围跨市（盟、州）的项目建设单位原则上为省级林业和草原主管部门。</w:t>
      </w:r>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32" w:name="_Toc80020780"/>
      <w:bookmarkStart w:id="33" w:name="_Toc85643108"/>
      <w:r>
        <w:rPr>
          <w:rFonts w:eastAsia="楷体_GB2312"/>
          <w:color w:val="000000"/>
          <w:sz w:val="32"/>
        </w:rPr>
        <w:t>咨询单位</w:t>
      </w:r>
      <w:bookmarkEnd w:id="32"/>
      <w:bookmarkEnd w:id="33"/>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可行性研究报告编制单位的全称。</w:t>
      </w:r>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34" w:name="_Toc85643109"/>
      <w:bookmarkStart w:id="35" w:name="_Toc80020781"/>
      <w:r>
        <w:rPr>
          <w:rFonts w:eastAsia="楷体_GB2312"/>
          <w:color w:val="000000"/>
          <w:sz w:val="32"/>
        </w:rPr>
        <w:t>建设地点</w:t>
      </w:r>
      <w:bookmarkEnd w:id="34"/>
      <w:bookmarkEnd w:id="35"/>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项目的建设地点，具体到县级单位。</w:t>
      </w:r>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36" w:name="_Toc85643110"/>
      <w:bookmarkStart w:id="37" w:name="_Toc80020782"/>
      <w:r>
        <w:rPr>
          <w:rFonts w:eastAsia="楷体_GB2312"/>
          <w:color w:val="000000"/>
          <w:sz w:val="32"/>
        </w:rPr>
        <w:t>建设范围</w:t>
      </w:r>
      <w:bookmarkEnd w:id="36"/>
      <w:bookmarkEnd w:id="37"/>
      <w:r>
        <w:rPr>
          <w:rFonts w:eastAsia="楷体_GB2312"/>
          <w:color w:val="000000"/>
          <w:sz w:val="32"/>
        </w:rPr>
        <w:t>与分区布局</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项目实施的具体范围，包括边界坐标。</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简要说明项目建设分区布局。</w:t>
      </w:r>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38" w:name="_Toc85643111"/>
      <w:bookmarkStart w:id="39" w:name="_Toc80020783"/>
      <w:r>
        <w:rPr>
          <w:rFonts w:eastAsia="楷体_GB2312"/>
          <w:color w:val="000000"/>
          <w:sz w:val="32"/>
        </w:rPr>
        <w:t>建设内容</w:t>
      </w:r>
      <w:bookmarkEnd w:id="38"/>
      <w:bookmarkEnd w:id="39"/>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项目主要建设内容及规模。</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建设规模的面积单位采用“亩”或“万亩”（下同），其它建设规模单位参考国家和林草行业有关要求。</w:t>
      </w:r>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40" w:name="_Toc85643113"/>
      <w:bookmarkStart w:id="41" w:name="_Toc80020785"/>
      <w:r>
        <w:rPr>
          <w:rFonts w:eastAsia="楷体_GB2312"/>
          <w:color w:val="000000"/>
          <w:sz w:val="32"/>
        </w:rPr>
        <w:t>项目投资</w:t>
      </w:r>
      <w:bookmarkEnd w:id="40"/>
      <w:bookmarkEnd w:id="41"/>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项目建设投资金额、分项金额。</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项目建设年度投资金额。</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项目建设资金来源。</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资金单位采用“万元”（下同）。</w:t>
      </w:r>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42" w:name="_Toc85643114"/>
      <w:bookmarkStart w:id="43" w:name="_Toc80020786"/>
      <w:r>
        <w:rPr>
          <w:rFonts w:eastAsia="楷体_GB2312"/>
          <w:color w:val="000000"/>
          <w:sz w:val="32"/>
        </w:rPr>
        <w:t>建设期限</w:t>
      </w:r>
      <w:bookmarkEnd w:id="42"/>
      <w:bookmarkEnd w:id="43"/>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项目建设需要的时间期限（造林项目可包含2~3年管护期）；</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明确各年度建设内容及建设范围。</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44" w:name="_Toc80004853"/>
      <w:bookmarkStart w:id="45" w:name="_Toc80020787"/>
      <w:bookmarkStart w:id="46" w:name="_Toc54598714"/>
      <w:bookmarkStart w:id="47" w:name="_Toc61342711"/>
      <w:bookmarkStart w:id="48" w:name="_Toc85643115"/>
      <w:r>
        <w:rPr>
          <w:rFonts w:ascii="Times New Roman" w:hAnsi="Times New Roman"/>
          <w:color w:val="000000"/>
        </w:rPr>
        <w:t>编制依据</w:t>
      </w:r>
      <w:bookmarkEnd w:id="44"/>
      <w:bookmarkEnd w:id="45"/>
      <w:bookmarkEnd w:id="46"/>
      <w:bookmarkEnd w:id="47"/>
      <w:bookmarkEnd w:id="48"/>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（1）报告编制所依据的法律法规和政策文件。</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（2）报告编制所依据的技术标准。</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（3）报告编制所依据相关规划。</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（4）报告编制所依据有关文件资料。</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（5）说明主要资料和数据的来源与获取方法。</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49" w:name="_Toc85643112"/>
      <w:bookmarkStart w:id="50" w:name="_Toc80020784"/>
      <w:r>
        <w:rPr>
          <w:rFonts w:ascii="Times New Roman" w:hAnsi="Times New Roman"/>
          <w:color w:val="000000"/>
        </w:rPr>
        <w:t>主要技术经济指标</w:t>
      </w:r>
      <w:bookmarkEnd w:id="49"/>
      <w:bookmarkEnd w:id="50"/>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项目建设的主要技术经济指标。</w:t>
      </w:r>
    </w:p>
    <w:p>
      <w:pPr>
        <w:pStyle w:val="5"/>
        <w:spacing w:before="156" w:beforeLines="50" w:after="156" w:afterLines="50"/>
        <w:ind w:firstLine="482"/>
        <w:jc w:val="center"/>
        <w:rPr>
          <w:rFonts w:ascii="Times New Roman" w:hAnsi="Times New Roman"/>
          <w:bCs/>
          <w:color w:val="000000"/>
          <w:sz w:val="28"/>
          <w:szCs w:val="28"/>
        </w:rPr>
      </w:pPr>
      <w:r>
        <w:rPr>
          <w:rFonts w:ascii="Times New Roman" w:hAnsi="Times New Roman"/>
          <w:bCs/>
          <w:color w:val="000000"/>
          <w:sz w:val="28"/>
          <w:szCs w:val="28"/>
        </w:rPr>
        <w:t>主要技术经济指标表</w:t>
      </w:r>
    </w:p>
    <w:tbl>
      <w:tblPr>
        <w:tblStyle w:val="9"/>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4116"/>
        <w:gridCol w:w="747"/>
        <w:gridCol w:w="708"/>
        <w:gridCol w:w="1560"/>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77" w:type="dxa"/>
            <w:shd w:val="clear" w:color="auto" w:fill="D8D8D8"/>
            <w:noWrap/>
            <w:vAlign w:val="center"/>
          </w:tcPr>
          <w:p>
            <w:pPr>
              <w:jc w:val="center"/>
              <w:rPr>
                <w:rFonts w:eastAsia="黑体"/>
                <w:bCs/>
                <w:color w:val="000000"/>
                <w:kern w:val="0"/>
                <w:szCs w:val="21"/>
              </w:rPr>
            </w:pPr>
            <w:r>
              <w:rPr>
                <w:rFonts w:eastAsia="黑体"/>
                <w:bCs/>
                <w:color w:val="000000"/>
                <w:kern w:val="0"/>
                <w:szCs w:val="21"/>
              </w:rPr>
              <w:t>序号</w:t>
            </w:r>
          </w:p>
        </w:tc>
        <w:tc>
          <w:tcPr>
            <w:tcW w:w="4116" w:type="dxa"/>
            <w:shd w:val="clear" w:color="auto" w:fill="D8D8D8"/>
            <w:noWrap/>
            <w:vAlign w:val="center"/>
          </w:tcPr>
          <w:p>
            <w:pPr>
              <w:jc w:val="center"/>
              <w:rPr>
                <w:rFonts w:eastAsia="黑体"/>
                <w:bCs/>
                <w:color w:val="000000"/>
                <w:kern w:val="0"/>
                <w:szCs w:val="21"/>
              </w:rPr>
            </w:pPr>
            <w:r>
              <w:rPr>
                <w:rFonts w:eastAsia="黑体"/>
                <w:bCs/>
                <w:color w:val="000000"/>
                <w:kern w:val="0"/>
                <w:szCs w:val="21"/>
              </w:rPr>
              <w:t>指标内容</w:t>
            </w:r>
          </w:p>
        </w:tc>
        <w:tc>
          <w:tcPr>
            <w:tcW w:w="747" w:type="dxa"/>
            <w:shd w:val="clear" w:color="auto" w:fill="D8D8D8"/>
            <w:noWrap/>
            <w:vAlign w:val="center"/>
          </w:tcPr>
          <w:p>
            <w:pPr>
              <w:jc w:val="center"/>
              <w:rPr>
                <w:rFonts w:eastAsia="黑体"/>
                <w:bCs/>
                <w:color w:val="000000"/>
                <w:kern w:val="0"/>
                <w:szCs w:val="21"/>
              </w:rPr>
            </w:pPr>
            <w:r>
              <w:rPr>
                <w:rFonts w:eastAsia="黑体"/>
                <w:bCs/>
                <w:color w:val="000000"/>
                <w:kern w:val="0"/>
                <w:szCs w:val="21"/>
              </w:rPr>
              <w:t>单位</w:t>
            </w:r>
          </w:p>
        </w:tc>
        <w:tc>
          <w:tcPr>
            <w:tcW w:w="708" w:type="dxa"/>
            <w:shd w:val="clear" w:color="auto" w:fill="D8D8D8"/>
            <w:noWrap/>
            <w:vAlign w:val="center"/>
          </w:tcPr>
          <w:p>
            <w:pPr>
              <w:jc w:val="center"/>
              <w:rPr>
                <w:rFonts w:eastAsia="黑体"/>
                <w:bCs/>
                <w:color w:val="000000"/>
                <w:kern w:val="0"/>
                <w:szCs w:val="21"/>
              </w:rPr>
            </w:pPr>
            <w:r>
              <w:rPr>
                <w:rFonts w:eastAsia="黑体"/>
                <w:bCs/>
                <w:color w:val="000000"/>
                <w:kern w:val="0"/>
                <w:szCs w:val="21"/>
              </w:rPr>
              <w:t>数量</w:t>
            </w:r>
          </w:p>
        </w:tc>
        <w:tc>
          <w:tcPr>
            <w:tcW w:w="1560" w:type="dxa"/>
            <w:shd w:val="clear" w:color="auto" w:fill="D8D8D8"/>
            <w:noWrap/>
            <w:vAlign w:val="center"/>
          </w:tcPr>
          <w:p>
            <w:pPr>
              <w:jc w:val="center"/>
              <w:rPr>
                <w:rFonts w:eastAsia="黑体"/>
                <w:bCs/>
                <w:color w:val="000000"/>
                <w:kern w:val="0"/>
                <w:szCs w:val="21"/>
              </w:rPr>
            </w:pPr>
            <w:r>
              <w:rPr>
                <w:rFonts w:eastAsia="黑体"/>
                <w:bCs/>
                <w:color w:val="000000"/>
                <w:kern w:val="0"/>
                <w:szCs w:val="21"/>
              </w:rPr>
              <w:t>投资（万元）</w:t>
            </w:r>
          </w:p>
        </w:tc>
        <w:tc>
          <w:tcPr>
            <w:tcW w:w="708" w:type="dxa"/>
            <w:shd w:val="clear" w:color="auto" w:fill="D8D8D8"/>
            <w:noWrap/>
            <w:vAlign w:val="center"/>
          </w:tcPr>
          <w:p>
            <w:pPr>
              <w:jc w:val="center"/>
              <w:rPr>
                <w:rFonts w:eastAsia="黑体"/>
                <w:bCs/>
                <w:color w:val="000000"/>
                <w:kern w:val="0"/>
                <w:szCs w:val="21"/>
              </w:rPr>
            </w:pPr>
            <w:r>
              <w:rPr>
                <w:rFonts w:eastAsia="黑体"/>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b/>
                <w:bCs/>
                <w:color w:val="000000"/>
                <w:kern w:val="0"/>
                <w:szCs w:val="21"/>
              </w:rPr>
            </w:pPr>
            <w:r>
              <w:rPr>
                <w:b/>
                <w:bCs/>
                <w:color w:val="000000"/>
                <w:kern w:val="0"/>
                <w:szCs w:val="21"/>
              </w:rPr>
              <w:t>一</w:t>
            </w:r>
          </w:p>
        </w:tc>
        <w:tc>
          <w:tcPr>
            <w:tcW w:w="4116" w:type="dxa"/>
            <w:noWrap/>
            <w:vAlign w:val="center"/>
          </w:tcPr>
          <w:p>
            <w:pPr>
              <w:jc w:val="left"/>
              <w:rPr>
                <w:b/>
                <w:bCs/>
                <w:color w:val="000000"/>
                <w:kern w:val="0"/>
                <w:szCs w:val="21"/>
              </w:rPr>
            </w:pPr>
            <w:r>
              <w:rPr>
                <w:b/>
                <w:bCs/>
                <w:color w:val="000000"/>
                <w:kern w:val="0"/>
                <w:szCs w:val="21"/>
              </w:rPr>
              <w:t>项目建设地点</w:t>
            </w:r>
          </w:p>
        </w:tc>
        <w:tc>
          <w:tcPr>
            <w:tcW w:w="3723" w:type="dxa"/>
            <w:gridSpan w:val="4"/>
            <w:noWrap/>
            <w:vAlign w:val="center"/>
          </w:tcPr>
          <w:p>
            <w:pPr>
              <w:jc w:val="left"/>
              <w:rPr>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b/>
                <w:bCs/>
                <w:color w:val="000000"/>
                <w:kern w:val="0"/>
                <w:szCs w:val="21"/>
              </w:rPr>
            </w:pPr>
            <w:r>
              <w:rPr>
                <w:b/>
                <w:bCs/>
                <w:color w:val="000000"/>
                <w:kern w:val="0"/>
                <w:szCs w:val="21"/>
              </w:rPr>
              <w:t>二</w:t>
            </w:r>
          </w:p>
        </w:tc>
        <w:tc>
          <w:tcPr>
            <w:tcW w:w="4116" w:type="dxa"/>
            <w:noWrap/>
            <w:vAlign w:val="center"/>
          </w:tcPr>
          <w:p>
            <w:pPr>
              <w:jc w:val="left"/>
              <w:rPr>
                <w:b/>
                <w:bCs/>
                <w:color w:val="000000"/>
                <w:kern w:val="0"/>
                <w:szCs w:val="21"/>
              </w:rPr>
            </w:pPr>
            <w:r>
              <w:rPr>
                <w:b/>
                <w:bCs/>
                <w:color w:val="000000"/>
                <w:kern w:val="0"/>
                <w:szCs w:val="21"/>
              </w:rPr>
              <w:t>建设内容</w:t>
            </w:r>
          </w:p>
        </w:tc>
        <w:tc>
          <w:tcPr>
            <w:tcW w:w="747" w:type="dxa"/>
            <w:noWrap/>
            <w:vAlign w:val="center"/>
          </w:tcPr>
          <w:p>
            <w:pPr>
              <w:jc w:val="center"/>
              <w:rPr>
                <w:b/>
                <w:color w:val="000000"/>
                <w:kern w:val="0"/>
                <w:szCs w:val="21"/>
              </w:rPr>
            </w:pPr>
          </w:p>
        </w:tc>
        <w:tc>
          <w:tcPr>
            <w:tcW w:w="708" w:type="dxa"/>
            <w:noWrap/>
            <w:vAlign w:val="center"/>
          </w:tcPr>
          <w:p>
            <w:pPr>
              <w:jc w:val="center"/>
              <w:rPr>
                <w:b/>
                <w:color w:val="000000"/>
                <w:kern w:val="0"/>
                <w:szCs w:val="21"/>
              </w:rPr>
            </w:pPr>
          </w:p>
        </w:tc>
        <w:tc>
          <w:tcPr>
            <w:tcW w:w="1560" w:type="dxa"/>
            <w:noWrap/>
            <w:vAlign w:val="center"/>
          </w:tcPr>
          <w:p>
            <w:pPr>
              <w:jc w:val="center"/>
              <w:rPr>
                <w:b/>
                <w:color w:val="000000"/>
                <w:kern w:val="0"/>
                <w:szCs w:val="21"/>
              </w:rPr>
            </w:pPr>
          </w:p>
        </w:tc>
        <w:tc>
          <w:tcPr>
            <w:tcW w:w="708" w:type="dxa"/>
            <w:noWrap/>
            <w:vAlign w:val="center"/>
          </w:tcPr>
          <w:p>
            <w:pPr>
              <w:jc w:val="center"/>
              <w:rPr>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777" w:type="dxa"/>
            <w:noWrap/>
            <w:vAlign w:val="center"/>
          </w:tcPr>
          <w:p>
            <w:pPr>
              <w:jc w:val="center"/>
              <w:rPr>
                <w:bCs/>
                <w:color w:val="000000"/>
                <w:kern w:val="0"/>
                <w:szCs w:val="21"/>
              </w:rPr>
            </w:pPr>
            <w:r>
              <w:rPr>
                <w:bCs/>
                <w:color w:val="000000"/>
                <w:kern w:val="0"/>
                <w:szCs w:val="21"/>
              </w:rPr>
              <w:t>1</w:t>
            </w:r>
          </w:p>
        </w:tc>
        <w:tc>
          <w:tcPr>
            <w:tcW w:w="4116" w:type="dxa"/>
            <w:noWrap/>
            <w:vAlign w:val="center"/>
          </w:tcPr>
          <w:p>
            <w:pPr>
              <w:jc w:val="left"/>
              <w:rPr>
                <w:bCs/>
                <w:color w:val="000000"/>
                <w:kern w:val="0"/>
                <w:szCs w:val="21"/>
              </w:rPr>
            </w:pPr>
            <w:r>
              <w:rPr>
                <w:bCs/>
                <w:color w:val="000000"/>
                <w:kern w:val="0"/>
                <w:szCs w:val="21"/>
              </w:rPr>
              <w:t>森林生态系统综合治理</w:t>
            </w:r>
          </w:p>
        </w:tc>
        <w:tc>
          <w:tcPr>
            <w:tcW w:w="747" w:type="dxa"/>
            <w:noWrap/>
            <w:vAlign w:val="center"/>
          </w:tcPr>
          <w:p>
            <w:pPr>
              <w:jc w:val="center"/>
              <w:rPr>
                <w:b/>
                <w:color w:val="000000"/>
                <w:kern w:val="0"/>
                <w:szCs w:val="21"/>
              </w:rPr>
            </w:pPr>
          </w:p>
        </w:tc>
        <w:tc>
          <w:tcPr>
            <w:tcW w:w="708" w:type="dxa"/>
            <w:noWrap/>
            <w:vAlign w:val="center"/>
          </w:tcPr>
          <w:p>
            <w:pPr>
              <w:jc w:val="center"/>
              <w:rPr>
                <w:b/>
                <w:color w:val="000000"/>
                <w:kern w:val="0"/>
                <w:szCs w:val="21"/>
              </w:rPr>
            </w:pPr>
          </w:p>
        </w:tc>
        <w:tc>
          <w:tcPr>
            <w:tcW w:w="1560" w:type="dxa"/>
            <w:noWrap/>
            <w:vAlign w:val="center"/>
          </w:tcPr>
          <w:p>
            <w:pPr>
              <w:jc w:val="center"/>
              <w:rPr>
                <w:b/>
                <w:color w:val="000000"/>
                <w:kern w:val="0"/>
                <w:szCs w:val="21"/>
              </w:rPr>
            </w:pPr>
          </w:p>
        </w:tc>
        <w:tc>
          <w:tcPr>
            <w:tcW w:w="708" w:type="dxa"/>
            <w:noWrap/>
            <w:vAlign w:val="center"/>
          </w:tcPr>
          <w:p>
            <w:pPr>
              <w:jc w:val="center"/>
              <w:rPr>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人工造林</w:t>
            </w:r>
          </w:p>
        </w:tc>
        <w:tc>
          <w:tcPr>
            <w:tcW w:w="747"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飞播造林</w:t>
            </w:r>
          </w:p>
        </w:tc>
        <w:tc>
          <w:tcPr>
            <w:tcW w:w="747" w:type="dxa"/>
            <w:noWrap/>
            <w:vAlign w:val="center"/>
          </w:tcPr>
          <w:p>
            <w:pPr>
              <w:jc w:val="center"/>
              <w:rPr>
                <w:color w:val="000000"/>
                <w:kern w:val="0"/>
                <w:szCs w:val="21"/>
              </w:rPr>
            </w:pPr>
          </w:p>
        </w:tc>
        <w:tc>
          <w:tcPr>
            <w:tcW w:w="708" w:type="dxa"/>
            <w:noWrap/>
            <w:vAlign w:val="center"/>
          </w:tcPr>
          <w:p>
            <w:pPr>
              <w:jc w:val="center"/>
              <w:rPr>
                <w:color w:val="000000"/>
                <w:kern w:val="0"/>
                <w:szCs w:val="21"/>
              </w:rPr>
            </w:pPr>
          </w:p>
        </w:tc>
        <w:tc>
          <w:tcPr>
            <w:tcW w:w="1560" w:type="dxa"/>
            <w:noWrap/>
            <w:vAlign w:val="center"/>
          </w:tcPr>
          <w:p>
            <w:pPr>
              <w:jc w:val="center"/>
              <w:rPr>
                <w:color w:val="000000"/>
                <w:kern w:val="0"/>
                <w:szCs w:val="21"/>
              </w:rPr>
            </w:pPr>
          </w:p>
        </w:tc>
        <w:tc>
          <w:tcPr>
            <w:tcW w:w="708" w:type="dxa"/>
            <w:noWrap/>
            <w:vAlign w:val="center"/>
          </w:tcPr>
          <w:p>
            <w:pPr>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封山育林</w:t>
            </w:r>
          </w:p>
        </w:tc>
        <w:tc>
          <w:tcPr>
            <w:tcW w:w="747" w:type="dxa"/>
            <w:noWrap/>
            <w:vAlign w:val="center"/>
          </w:tcPr>
          <w:p>
            <w:pPr>
              <w:jc w:val="center"/>
              <w:rPr>
                <w:color w:val="000000"/>
                <w:kern w:val="0"/>
                <w:szCs w:val="21"/>
              </w:rPr>
            </w:pPr>
          </w:p>
        </w:tc>
        <w:tc>
          <w:tcPr>
            <w:tcW w:w="708" w:type="dxa"/>
            <w:noWrap/>
            <w:vAlign w:val="center"/>
          </w:tcPr>
          <w:p>
            <w:pPr>
              <w:jc w:val="center"/>
              <w:rPr>
                <w:color w:val="000000"/>
                <w:kern w:val="0"/>
                <w:szCs w:val="21"/>
              </w:rPr>
            </w:pPr>
          </w:p>
        </w:tc>
        <w:tc>
          <w:tcPr>
            <w:tcW w:w="1560" w:type="dxa"/>
            <w:noWrap/>
            <w:vAlign w:val="center"/>
          </w:tcPr>
          <w:p>
            <w:pPr>
              <w:jc w:val="center"/>
              <w:rPr>
                <w:color w:val="000000"/>
                <w:kern w:val="0"/>
                <w:szCs w:val="21"/>
              </w:rPr>
            </w:pPr>
          </w:p>
        </w:tc>
        <w:tc>
          <w:tcPr>
            <w:tcW w:w="708" w:type="dxa"/>
            <w:noWrap/>
            <w:vAlign w:val="center"/>
          </w:tcPr>
          <w:p>
            <w:pPr>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退化林修复</w:t>
            </w:r>
          </w:p>
        </w:tc>
        <w:tc>
          <w:tcPr>
            <w:tcW w:w="747"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w:t>
            </w:r>
          </w:p>
        </w:tc>
        <w:tc>
          <w:tcPr>
            <w:tcW w:w="747"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bCs/>
                <w:color w:val="000000"/>
                <w:kern w:val="0"/>
                <w:szCs w:val="21"/>
              </w:rPr>
            </w:pPr>
            <w:r>
              <w:rPr>
                <w:bCs/>
                <w:color w:val="000000"/>
                <w:kern w:val="0"/>
                <w:szCs w:val="21"/>
              </w:rPr>
              <w:t>2</w:t>
            </w:r>
          </w:p>
        </w:tc>
        <w:tc>
          <w:tcPr>
            <w:tcW w:w="4116" w:type="dxa"/>
            <w:noWrap/>
            <w:vAlign w:val="center"/>
          </w:tcPr>
          <w:p>
            <w:pPr>
              <w:jc w:val="left"/>
              <w:rPr>
                <w:bCs/>
                <w:color w:val="000000"/>
                <w:kern w:val="0"/>
                <w:szCs w:val="21"/>
              </w:rPr>
            </w:pPr>
            <w:r>
              <w:rPr>
                <w:bCs/>
                <w:color w:val="000000"/>
                <w:kern w:val="0"/>
                <w:szCs w:val="21"/>
              </w:rPr>
              <w:t>草原生态系统综合治理</w:t>
            </w:r>
          </w:p>
        </w:tc>
        <w:tc>
          <w:tcPr>
            <w:tcW w:w="747" w:type="dxa"/>
            <w:noWrap/>
            <w:vAlign w:val="center"/>
          </w:tcPr>
          <w:p>
            <w:pPr>
              <w:jc w:val="center"/>
              <w:rPr>
                <w:bCs/>
                <w:color w:val="000000"/>
                <w:kern w:val="0"/>
                <w:szCs w:val="21"/>
              </w:rPr>
            </w:pPr>
            <w:r>
              <w:rPr>
                <w:bCs/>
                <w:color w:val="000000"/>
                <w:kern w:val="0"/>
                <w:szCs w:val="21"/>
              </w:rPr>
              <w:t>　</w:t>
            </w:r>
          </w:p>
        </w:tc>
        <w:tc>
          <w:tcPr>
            <w:tcW w:w="708" w:type="dxa"/>
            <w:noWrap/>
            <w:vAlign w:val="center"/>
          </w:tcPr>
          <w:p>
            <w:pPr>
              <w:jc w:val="center"/>
              <w:rPr>
                <w:bCs/>
                <w:color w:val="000000"/>
                <w:kern w:val="0"/>
                <w:szCs w:val="21"/>
              </w:rPr>
            </w:pPr>
            <w:r>
              <w:rPr>
                <w:bCs/>
                <w:color w:val="000000"/>
                <w:kern w:val="0"/>
                <w:szCs w:val="21"/>
              </w:rPr>
              <w:t>　</w:t>
            </w:r>
          </w:p>
        </w:tc>
        <w:tc>
          <w:tcPr>
            <w:tcW w:w="1560" w:type="dxa"/>
            <w:noWrap/>
            <w:vAlign w:val="center"/>
          </w:tcPr>
          <w:p>
            <w:pPr>
              <w:jc w:val="center"/>
              <w:rPr>
                <w:bCs/>
                <w:color w:val="000000"/>
                <w:kern w:val="0"/>
                <w:szCs w:val="21"/>
              </w:rPr>
            </w:pPr>
            <w:r>
              <w:rPr>
                <w:bCs/>
                <w:color w:val="000000"/>
                <w:kern w:val="0"/>
                <w:szCs w:val="21"/>
              </w:rPr>
              <w:t>　</w:t>
            </w:r>
          </w:p>
        </w:tc>
        <w:tc>
          <w:tcPr>
            <w:tcW w:w="708" w:type="dxa"/>
            <w:noWrap/>
            <w:vAlign w:val="center"/>
          </w:tcPr>
          <w:p>
            <w:pPr>
              <w:jc w:val="center"/>
              <w:rPr>
                <w:bCs/>
                <w:color w:val="000000"/>
                <w:kern w:val="0"/>
                <w:szCs w:val="21"/>
              </w:rPr>
            </w:pPr>
            <w:r>
              <w:rPr>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人工种草</w:t>
            </w:r>
          </w:p>
        </w:tc>
        <w:tc>
          <w:tcPr>
            <w:tcW w:w="747"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草原改良</w:t>
            </w:r>
          </w:p>
        </w:tc>
        <w:tc>
          <w:tcPr>
            <w:tcW w:w="747"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w:t>
            </w:r>
          </w:p>
        </w:tc>
        <w:tc>
          <w:tcPr>
            <w:tcW w:w="747" w:type="dxa"/>
            <w:noWrap/>
            <w:vAlign w:val="center"/>
          </w:tcPr>
          <w:p>
            <w:pPr>
              <w:jc w:val="center"/>
              <w:rPr>
                <w:color w:val="000000"/>
                <w:kern w:val="0"/>
                <w:szCs w:val="21"/>
              </w:rPr>
            </w:pPr>
          </w:p>
        </w:tc>
        <w:tc>
          <w:tcPr>
            <w:tcW w:w="708" w:type="dxa"/>
            <w:noWrap/>
            <w:vAlign w:val="center"/>
          </w:tcPr>
          <w:p>
            <w:pPr>
              <w:jc w:val="center"/>
              <w:rPr>
                <w:color w:val="000000"/>
                <w:kern w:val="0"/>
                <w:szCs w:val="21"/>
              </w:rPr>
            </w:pPr>
          </w:p>
        </w:tc>
        <w:tc>
          <w:tcPr>
            <w:tcW w:w="1560" w:type="dxa"/>
            <w:noWrap/>
            <w:vAlign w:val="center"/>
          </w:tcPr>
          <w:p>
            <w:pPr>
              <w:jc w:val="center"/>
              <w:rPr>
                <w:color w:val="000000"/>
                <w:kern w:val="0"/>
                <w:szCs w:val="21"/>
              </w:rPr>
            </w:pPr>
          </w:p>
        </w:tc>
        <w:tc>
          <w:tcPr>
            <w:tcW w:w="708" w:type="dxa"/>
            <w:noWrap/>
            <w:vAlign w:val="center"/>
          </w:tcPr>
          <w:p>
            <w:pPr>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bCs/>
                <w:color w:val="000000"/>
                <w:kern w:val="0"/>
                <w:szCs w:val="21"/>
              </w:rPr>
            </w:pPr>
            <w:r>
              <w:rPr>
                <w:bCs/>
                <w:color w:val="000000"/>
                <w:kern w:val="0"/>
                <w:szCs w:val="21"/>
              </w:rPr>
              <w:t>3</w:t>
            </w:r>
          </w:p>
        </w:tc>
        <w:tc>
          <w:tcPr>
            <w:tcW w:w="4116" w:type="dxa"/>
            <w:noWrap/>
            <w:vAlign w:val="center"/>
          </w:tcPr>
          <w:p>
            <w:pPr>
              <w:jc w:val="left"/>
              <w:rPr>
                <w:bCs/>
                <w:color w:val="000000"/>
                <w:kern w:val="0"/>
                <w:szCs w:val="21"/>
              </w:rPr>
            </w:pPr>
            <w:r>
              <w:rPr>
                <w:bCs/>
                <w:color w:val="000000"/>
                <w:kern w:val="0"/>
                <w:szCs w:val="21"/>
              </w:rPr>
              <w:t>湿地生态系统综合治理</w:t>
            </w:r>
          </w:p>
        </w:tc>
        <w:tc>
          <w:tcPr>
            <w:tcW w:w="747"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bCs/>
                <w:color w:val="000000"/>
                <w:kern w:val="0"/>
                <w:szCs w:val="21"/>
              </w:rPr>
            </w:pPr>
          </w:p>
        </w:tc>
        <w:tc>
          <w:tcPr>
            <w:tcW w:w="4116" w:type="dxa"/>
            <w:noWrap/>
            <w:vAlign w:val="center"/>
          </w:tcPr>
          <w:p>
            <w:pPr>
              <w:jc w:val="left"/>
              <w:rPr>
                <w:bCs/>
                <w:color w:val="000000"/>
                <w:kern w:val="0"/>
                <w:szCs w:val="21"/>
              </w:rPr>
            </w:pPr>
            <w:r>
              <w:rPr>
                <w:bCs/>
                <w:color w:val="000000"/>
                <w:kern w:val="0"/>
                <w:szCs w:val="21"/>
              </w:rPr>
              <w:t>湿地保护基础设施（管护基础设施、界桩界碑等管理标识、巡护系统等）</w:t>
            </w:r>
          </w:p>
        </w:tc>
        <w:tc>
          <w:tcPr>
            <w:tcW w:w="747" w:type="dxa"/>
            <w:noWrap/>
            <w:vAlign w:val="center"/>
          </w:tcPr>
          <w:p>
            <w:pPr>
              <w:jc w:val="center"/>
              <w:rPr>
                <w:color w:val="000000"/>
                <w:kern w:val="0"/>
                <w:szCs w:val="21"/>
              </w:rPr>
            </w:pPr>
          </w:p>
        </w:tc>
        <w:tc>
          <w:tcPr>
            <w:tcW w:w="708" w:type="dxa"/>
            <w:noWrap/>
            <w:vAlign w:val="center"/>
          </w:tcPr>
          <w:p>
            <w:pPr>
              <w:jc w:val="center"/>
              <w:rPr>
                <w:color w:val="000000"/>
                <w:kern w:val="0"/>
                <w:szCs w:val="21"/>
              </w:rPr>
            </w:pPr>
          </w:p>
        </w:tc>
        <w:tc>
          <w:tcPr>
            <w:tcW w:w="1560" w:type="dxa"/>
            <w:noWrap/>
            <w:vAlign w:val="center"/>
          </w:tcPr>
          <w:p>
            <w:pPr>
              <w:jc w:val="center"/>
              <w:rPr>
                <w:color w:val="000000"/>
                <w:kern w:val="0"/>
                <w:szCs w:val="21"/>
              </w:rPr>
            </w:pPr>
          </w:p>
        </w:tc>
        <w:tc>
          <w:tcPr>
            <w:tcW w:w="708" w:type="dxa"/>
            <w:noWrap/>
            <w:vAlign w:val="center"/>
          </w:tcPr>
          <w:p>
            <w:pPr>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退化湿地修复（退化湿地恢复、湿地生态修复和野生动植物生境恢复</w:t>
            </w:r>
            <w:r>
              <w:rPr>
                <w:bCs/>
                <w:color w:val="000000"/>
                <w:kern w:val="0"/>
                <w:szCs w:val="21"/>
              </w:rPr>
              <w:t>等</w:t>
            </w:r>
            <w:r>
              <w:rPr>
                <w:color w:val="000000"/>
                <w:kern w:val="0"/>
                <w:szCs w:val="21"/>
              </w:rPr>
              <w:t>）</w:t>
            </w:r>
          </w:p>
        </w:tc>
        <w:tc>
          <w:tcPr>
            <w:tcW w:w="747"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p>
        </w:tc>
        <w:tc>
          <w:tcPr>
            <w:tcW w:w="1560" w:type="dxa"/>
            <w:noWrap/>
            <w:vAlign w:val="center"/>
          </w:tcPr>
          <w:p>
            <w:pPr>
              <w:jc w:val="center"/>
              <w:rPr>
                <w:color w:val="000000"/>
                <w:kern w:val="0"/>
                <w:szCs w:val="21"/>
              </w:rPr>
            </w:pPr>
          </w:p>
        </w:tc>
        <w:tc>
          <w:tcPr>
            <w:tcW w:w="708" w:type="dxa"/>
            <w:noWrap/>
            <w:vAlign w:val="center"/>
          </w:tcPr>
          <w:p>
            <w:pPr>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科研监测（生态定位站、水文水质监测站、关键物种监测站等）</w:t>
            </w:r>
          </w:p>
        </w:tc>
        <w:tc>
          <w:tcPr>
            <w:tcW w:w="747"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w:t>
            </w:r>
          </w:p>
        </w:tc>
        <w:tc>
          <w:tcPr>
            <w:tcW w:w="747" w:type="dxa"/>
            <w:noWrap/>
            <w:vAlign w:val="center"/>
          </w:tcPr>
          <w:p>
            <w:pPr>
              <w:jc w:val="center"/>
              <w:rPr>
                <w:color w:val="000000"/>
                <w:kern w:val="0"/>
                <w:szCs w:val="21"/>
              </w:rPr>
            </w:pP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r>
              <w:rPr>
                <w:color w:val="000000"/>
                <w:kern w:val="0"/>
                <w:szCs w:val="21"/>
              </w:rPr>
              <w:t>4</w:t>
            </w:r>
          </w:p>
        </w:tc>
        <w:tc>
          <w:tcPr>
            <w:tcW w:w="4116" w:type="dxa"/>
            <w:noWrap/>
            <w:vAlign w:val="center"/>
          </w:tcPr>
          <w:p>
            <w:pPr>
              <w:jc w:val="left"/>
              <w:rPr>
                <w:bCs/>
                <w:color w:val="000000"/>
                <w:kern w:val="0"/>
                <w:szCs w:val="21"/>
              </w:rPr>
            </w:pPr>
            <w:r>
              <w:rPr>
                <w:bCs/>
                <w:color w:val="000000"/>
                <w:kern w:val="0"/>
                <w:szCs w:val="21"/>
              </w:rPr>
              <w:t>荒漠生态系统综合治理</w:t>
            </w:r>
          </w:p>
        </w:tc>
        <w:tc>
          <w:tcPr>
            <w:tcW w:w="747"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沙化土地综合治理</w:t>
            </w:r>
          </w:p>
        </w:tc>
        <w:tc>
          <w:tcPr>
            <w:tcW w:w="747"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石漠化综合治理</w:t>
            </w:r>
          </w:p>
        </w:tc>
        <w:tc>
          <w:tcPr>
            <w:tcW w:w="747"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w:t>
            </w:r>
          </w:p>
        </w:tc>
        <w:tc>
          <w:tcPr>
            <w:tcW w:w="747"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b/>
                <w:bCs/>
                <w:color w:val="000000"/>
                <w:kern w:val="0"/>
                <w:szCs w:val="21"/>
              </w:rPr>
            </w:pPr>
            <w:r>
              <w:rPr>
                <w:b/>
                <w:bCs/>
                <w:color w:val="000000"/>
                <w:kern w:val="0"/>
                <w:szCs w:val="21"/>
              </w:rPr>
              <w:t>三</w:t>
            </w:r>
          </w:p>
        </w:tc>
        <w:tc>
          <w:tcPr>
            <w:tcW w:w="4116" w:type="dxa"/>
            <w:noWrap/>
            <w:vAlign w:val="center"/>
          </w:tcPr>
          <w:p>
            <w:pPr>
              <w:jc w:val="left"/>
              <w:rPr>
                <w:b/>
                <w:bCs/>
                <w:color w:val="000000"/>
                <w:kern w:val="0"/>
                <w:szCs w:val="21"/>
              </w:rPr>
            </w:pPr>
            <w:r>
              <w:rPr>
                <w:b/>
                <w:bCs/>
                <w:color w:val="000000"/>
                <w:kern w:val="0"/>
                <w:szCs w:val="21"/>
              </w:rPr>
              <w:t>投资指标</w:t>
            </w:r>
          </w:p>
        </w:tc>
        <w:tc>
          <w:tcPr>
            <w:tcW w:w="747" w:type="dxa"/>
            <w:noWrap/>
            <w:vAlign w:val="center"/>
          </w:tcPr>
          <w:p>
            <w:pPr>
              <w:jc w:val="center"/>
              <w:rPr>
                <w:b/>
                <w:bCs/>
                <w:color w:val="000000"/>
                <w:kern w:val="0"/>
                <w:szCs w:val="21"/>
              </w:rPr>
            </w:pPr>
            <w:r>
              <w:rPr>
                <w:b/>
                <w:bCs/>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bCs/>
                <w:color w:val="000000"/>
                <w:kern w:val="0"/>
                <w:szCs w:val="21"/>
              </w:rPr>
            </w:pPr>
            <w:r>
              <w:rPr>
                <w:bCs/>
                <w:color w:val="000000"/>
                <w:kern w:val="0"/>
                <w:szCs w:val="21"/>
              </w:rPr>
              <w:t>1</w:t>
            </w:r>
          </w:p>
        </w:tc>
        <w:tc>
          <w:tcPr>
            <w:tcW w:w="4116" w:type="dxa"/>
            <w:noWrap/>
            <w:vAlign w:val="center"/>
          </w:tcPr>
          <w:p>
            <w:pPr>
              <w:jc w:val="left"/>
              <w:rPr>
                <w:bCs/>
                <w:color w:val="000000"/>
                <w:kern w:val="0"/>
                <w:szCs w:val="21"/>
              </w:rPr>
            </w:pPr>
            <w:r>
              <w:rPr>
                <w:bCs/>
                <w:color w:val="000000"/>
                <w:kern w:val="0"/>
                <w:szCs w:val="21"/>
              </w:rPr>
              <w:t>建设投资</w:t>
            </w:r>
          </w:p>
        </w:tc>
        <w:tc>
          <w:tcPr>
            <w:tcW w:w="747" w:type="dxa"/>
            <w:noWrap/>
            <w:vAlign w:val="center"/>
          </w:tcPr>
          <w:p>
            <w:pPr>
              <w:jc w:val="center"/>
              <w:rPr>
                <w:bCs/>
                <w:color w:val="000000"/>
                <w:kern w:val="0"/>
                <w:szCs w:val="21"/>
              </w:rPr>
            </w:pPr>
          </w:p>
        </w:tc>
        <w:tc>
          <w:tcPr>
            <w:tcW w:w="708" w:type="dxa"/>
            <w:noWrap/>
            <w:vAlign w:val="center"/>
          </w:tcPr>
          <w:p>
            <w:pPr>
              <w:jc w:val="center"/>
              <w:rPr>
                <w:color w:val="000000"/>
                <w:kern w:val="0"/>
                <w:szCs w:val="21"/>
              </w:rPr>
            </w:pPr>
          </w:p>
        </w:tc>
        <w:tc>
          <w:tcPr>
            <w:tcW w:w="1560" w:type="dxa"/>
            <w:noWrap/>
            <w:vAlign w:val="center"/>
          </w:tcPr>
          <w:p>
            <w:pPr>
              <w:jc w:val="center"/>
              <w:rPr>
                <w:color w:val="000000"/>
                <w:kern w:val="0"/>
                <w:szCs w:val="21"/>
              </w:rPr>
            </w:pPr>
          </w:p>
        </w:tc>
        <w:tc>
          <w:tcPr>
            <w:tcW w:w="708" w:type="dxa"/>
            <w:noWrap/>
            <w:vAlign w:val="center"/>
          </w:tcPr>
          <w:p>
            <w:pPr>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工程费用</w:t>
            </w:r>
          </w:p>
        </w:tc>
        <w:tc>
          <w:tcPr>
            <w:tcW w:w="747"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工程建设其他费用</w:t>
            </w:r>
          </w:p>
        </w:tc>
        <w:tc>
          <w:tcPr>
            <w:tcW w:w="747"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预备费</w:t>
            </w:r>
          </w:p>
        </w:tc>
        <w:tc>
          <w:tcPr>
            <w:tcW w:w="747"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bCs/>
                <w:color w:val="000000"/>
                <w:kern w:val="0"/>
                <w:szCs w:val="21"/>
              </w:rPr>
            </w:pPr>
            <w:r>
              <w:rPr>
                <w:bCs/>
                <w:color w:val="000000"/>
                <w:kern w:val="0"/>
                <w:szCs w:val="21"/>
              </w:rPr>
              <w:t>2</w:t>
            </w:r>
          </w:p>
        </w:tc>
        <w:tc>
          <w:tcPr>
            <w:tcW w:w="4116" w:type="dxa"/>
            <w:noWrap/>
            <w:vAlign w:val="center"/>
          </w:tcPr>
          <w:p>
            <w:pPr>
              <w:jc w:val="left"/>
              <w:rPr>
                <w:bCs/>
                <w:color w:val="000000"/>
                <w:kern w:val="0"/>
                <w:szCs w:val="21"/>
              </w:rPr>
            </w:pPr>
            <w:r>
              <w:rPr>
                <w:bCs/>
                <w:color w:val="000000"/>
                <w:kern w:val="0"/>
                <w:szCs w:val="21"/>
              </w:rPr>
              <w:t>资金来源</w:t>
            </w:r>
          </w:p>
        </w:tc>
        <w:tc>
          <w:tcPr>
            <w:tcW w:w="747" w:type="dxa"/>
            <w:noWrap/>
            <w:vAlign w:val="center"/>
          </w:tcPr>
          <w:p>
            <w:pPr>
              <w:jc w:val="center"/>
              <w:rPr>
                <w:bCs/>
                <w:color w:val="000000"/>
                <w:kern w:val="0"/>
                <w:szCs w:val="21"/>
              </w:rPr>
            </w:pPr>
            <w:r>
              <w:rPr>
                <w:bCs/>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中央投资</w:t>
            </w:r>
          </w:p>
        </w:tc>
        <w:tc>
          <w:tcPr>
            <w:tcW w:w="747"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地方投资</w:t>
            </w:r>
          </w:p>
        </w:tc>
        <w:tc>
          <w:tcPr>
            <w:tcW w:w="747"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社会资金</w:t>
            </w:r>
          </w:p>
        </w:tc>
        <w:tc>
          <w:tcPr>
            <w:tcW w:w="747"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c>
          <w:tcPr>
            <w:tcW w:w="1560" w:type="dxa"/>
            <w:noWrap/>
            <w:vAlign w:val="center"/>
          </w:tcPr>
          <w:p>
            <w:pPr>
              <w:jc w:val="center"/>
              <w:rPr>
                <w:color w:val="000000"/>
                <w:kern w:val="0"/>
                <w:szCs w:val="21"/>
              </w:rPr>
            </w:pPr>
            <w:r>
              <w:rPr>
                <w:color w:val="000000"/>
                <w:kern w:val="0"/>
                <w:szCs w:val="21"/>
              </w:rPr>
              <w:t>　</w:t>
            </w:r>
          </w:p>
        </w:tc>
        <w:tc>
          <w:tcPr>
            <w:tcW w:w="708" w:type="dxa"/>
            <w:noWrap/>
            <w:vAlign w:val="center"/>
          </w:tcPr>
          <w:p>
            <w:pPr>
              <w:jc w:val="center"/>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77" w:type="dxa"/>
            <w:noWrap/>
            <w:vAlign w:val="center"/>
          </w:tcPr>
          <w:p>
            <w:pPr>
              <w:jc w:val="center"/>
              <w:rPr>
                <w:color w:val="000000"/>
                <w:kern w:val="0"/>
                <w:szCs w:val="21"/>
              </w:rPr>
            </w:pPr>
          </w:p>
        </w:tc>
        <w:tc>
          <w:tcPr>
            <w:tcW w:w="4116" w:type="dxa"/>
            <w:noWrap/>
            <w:vAlign w:val="center"/>
          </w:tcPr>
          <w:p>
            <w:pPr>
              <w:jc w:val="left"/>
              <w:rPr>
                <w:color w:val="000000"/>
                <w:kern w:val="0"/>
                <w:szCs w:val="21"/>
              </w:rPr>
            </w:pPr>
            <w:r>
              <w:rPr>
                <w:color w:val="000000"/>
                <w:kern w:val="0"/>
                <w:szCs w:val="21"/>
              </w:rPr>
              <w:t>...</w:t>
            </w:r>
          </w:p>
        </w:tc>
        <w:tc>
          <w:tcPr>
            <w:tcW w:w="747" w:type="dxa"/>
            <w:noWrap/>
            <w:vAlign w:val="center"/>
          </w:tcPr>
          <w:p>
            <w:pPr>
              <w:jc w:val="center"/>
              <w:rPr>
                <w:color w:val="000000"/>
                <w:kern w:val="0"/>
                <w:szCs w:val="21"/>
              </w:rPr>
            </w:pPr>
          </w:p>
        </w:tc>
        <w:tc>
          <w:tcPr>
            <w:tcW w:w="708" w:type="dxa"/>
            <w:noWrap/>
            <w:vAlign w:val="center"/>
          </w:tcPr>
          <w:p>
            <w:pPr>
              <w:jc w:val="center"/>
              <w:rPr>
                <w:color w:val="000000"/>
                <w:kern w:val="0"/>
                <w:szCs w:val="21"/>
              </w:rPr>
            </w:pPr>
          </w:p>
        </w:tc>
        <w:tc>
          <w:tcPr>
            <w:tcW w:w="1560" w:type="dxa"/>
            <w:noWrap/>
            <w:vAlign w:val="center"/>
          </w:tcPr>
          <w:p>
            <w:pPr>
              <w:jc w:val="center"/>
              <w:rPr>
                <w:color w:val="000000"/>
                <w:kern w:val="0"/>
                <w:szCs w:val="21"/>
              </w:rPr>
            </w:pPr>
          </w:p>
        </w:tc>
        <w:tc>
          <w:tcPr>
            <w:tcW w:w="708" w:type="dxa"/>
            <w:noWrap/>
            <w:vAlign w:val="center"/>
          </w:tcPr>
          <w:p>
            <w:pPr>
              <w:jc w:val="center"/>
              <w:rPr>
                <w:color w:val="000000"/>
                <w:kern w:val="0"/>
                <w:szCs w:val="21"/>
              </w:rPr>
            </w:pPr>
          </w:p>
        </w:tc>
      </w:tr>
    </w:tbl>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51" w:name="_Toc54598717"/>
      <w:bookmarkStart w:id="52" w:name="_Toc61342715"/>
      <w:bookmarkStart w:id="53" w:name="_Toc85643117"/>
      <w:bookmarkStart w:id="54" w:name="_Toc80004858"/>
      <w:bookmarkStart w:id="55" w:name="_Toc80020792"/>
      <w:r>
        <w:rPr>
          <w:rFonts w:ascii="Times New Roman" w:hAnsi="Times New Roman"/>
          <w:color w:val="000000"/>
        </w:rPr>
        <w:t>研究结论</w:t>
      </w:r>
      <w:bookmarkEnd w:id="51"/>
      <w:bookmarkEnd w:id="52"/>
      <w:bookmarkEnd w:id="53"/>
      <w:bookmarkEnd w:id="54"/>
      <w:bookmarkEnd w:id="55"/>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56" w:name="_Toc80020793"/>
      <w:bookmarkStart w:id="57" w:name="_Toc85643118"/>
      <w:r>
        <w:rPr>
          <w:rFonts w:eastAsia="楷体_GB2312"/>
          <w:color w:val="000000"/>
          <w:sz w:val="32"/>
        </w:rPr>
        <w:t>结论概述</w:t>
      </w:r>
      <w:bookmarkEnd w:id="56"/>
      <w:bookmarkEnd w:id="57"/>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简述研究结论。</w:t>
      </w:r>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58" w:name="_Toc85643119"/>
      <w:bookmarkStart w:id="59" w:name="_Toc80020794"/>
      <w:r>
        <w:rPr>
          <w:rFonts w:eastAsia="楷体_GB2312"/>
          <w:color w:val="000000"/>
          <w:sz w:val="32"/>
        </w:rPr>
        <w:t>问题与建议</w:t>
      </w:r>
      <w:bookmarkEnd w:id="58"/>
      <w:bookmarkEnd w:id="59"/>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简述项目建设过程中可能存在的问题和改进的方法。其中，存在的问题包括区域生态系统存在的问题和项目地生态系统保护与修复工作中存在的问题。</w:t>
      </w:r>
    </w:p>
    <w:p>
      <w:pPr>
        <w:adjustRightInd w:val="0"/>
        <w:snapToGrid w:val="0"/>
        <w:spacing w:line="596" w:lineRule="exact"/>
        <w:ind w:firstLine="560"/>
        <w:rPr>
          <w:rFonts w:eastAsia="仿宋_GB2312"/>
          <w:color w:val="000000"/>
          <w:sz w:val="32"/>
          <w:szCs w:val="32"/>
        </w:rPr>
      </w:pPr>
    </w:p>
    <w:p>
      <w:pPr>
        <w:pStyle w:val="2"/>
        <w:keepNext w:val="0"/>
        <w:keepLines w:val="0"/>
        <w:numPr>
          <w:ilvl w:val="0"/>
          <w:numId w:val="1"/>
        </w:numPr>
        <w:adjustRightInd w:val="0"/>
        <w:snapToGrid w:val="0"/>
        <w:spacing w:before="0" w:after="0" w:line="596" w:lineRule="exact"/>
        <w:rPr>
          <w:rFonts w:ascii="黑体" w:hAnsi="黑体"/>
          <w:color w:val="000000"/>
        </w:rPr>
      </w:pPr>
      <w:bookmarkStart w:id="60" w:name="_Toc22702"/>
      <w:bookmarkStart w:id="61" w:name="_Toc80020795"/>
      <w:r>
        <w:rPr>
          <w:rFonts w:ascii="黑体" w:hAnsi="黑体"/>
          <w:color w:val="000000"/>
        </w:rPr>
        <w:t xml:space="preserve">  </w:t>
      </w:r>
      <w:bookmarkStart w:id="62" w:name="_Toc85643120"/>
      <w:r>
        <w:rPr>
          <w:rFonts w:ascii="黑体" w:hAnsi="黑体"/>
          <w:color w:val="000000"/>
        </w:rPr>
        <w:t>项目建设背景与必要性</w:t>
      </w:r>
      <w:bookmarkEnd w:id="60"/>
      <w:bookmarkEnd w:id="61"/>
      <w:bookmarkEnd w:id="62"/>
    </w:p>
    <w:p>
      <w:pPr>
        <w:adjustRightInd w:val="0"/>
        <w:snapToGrid w:val="0"/>
        <w:spacing w:line="596" w:lineRule="exact"/>
        <w:rPr>
          <w:color w:val="000000"/>
        </w:rPr>
      </w:pP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63" w:name="_Toc85643121"/>
      <w:bookmarkStart w:id="64" w:name="_Toc80020796"/>
      <w:bookmarkStart w:id="65" w:name="_Toc80004860"/>
      <w:bookmarkStart w:id="66" w:name="_Toc29363"/>
      <w:r>
        <w:rPr>
          <w:rFonts w:ascii="Times New Roman" w:hAnsi="Times New Roman"/>
          <w:color w:val="000000"/>
        </w:rPr>
        <w:t>项目建设背景</w:t>
      </w:r>
      <w:bookmarkEnd w:id="63"/>
      <w:bookmarkEnd w:id="64"/>
      <w:bookmarkEnd w:id="65"/>
      <w:bookmarkEnd w:id="66"/>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67" w:name="_Toc19146"/>
      <w:bookmarkStart w:id="68" w:name="_Toc85643122"/>
      <w:r>
        <w:rPr>
          <w:rFonts w:eastAsia="楷体_GB2312"/>
          <w:color w:val="000000"/>
          <w:sz w:val="32"/>
        </w:rPr>
        <w:t>政策背景</w:t>
      </w:r>
      <w:bookmarkEnd w:id="67"/>
      <w:bookmarkEnd w:id="68"/>
    </w:p>
    <w:p>
      <w:pPr>
        <w:adjustRightInd w:val="0"/>
        <w:snapToGrid w:val="0"/>
        <w:spacing w:line="596" w:lineRule="exact"/>
        <w:ind w:firstLine="560"/>
        <w:rPr>
          <w:rFonts w:eastAsia="仿宋_GB2312"/>
          <w:color w:val="000000"/>
          <w:sz w:val="32"/>
          <w:szCs w:val="32"/>
        </w:rPr>
      </w:pPr>
      <w:bookmarkStart w:id="69" w:name="_Toc4606"/>
      <w:r>
        <w:rPr>
          <w:rFonts w:eastAsia="仿宋_GB2312"/>
          <w:color w:val="000000"/>
          <w:sz w:val="32"/>
          <w:szCs w:val="32"/>
        </w:rPr>
        <w:t>（1）说明支撑项目的有关国家政策和地方政策文件情况。</w:t>
      </w:r>
      <w:bookmarkEnd w:id="69"/>
    </w:p>
    <w:p>
      <w:pPr>
        <w:adjustRightInd w:val="0"/>
        <w:snapToGrid w:val="0"/>
        <w:spacing w:line="596" w:lineRule="exact"/>
        <w:ind w:firstLine="560"/>
        <w:rPr>
          <w:rFonts w:eastAsia="仿宋_GB2312"/>
          <w:color w:val="000000"/>
          <w:sz w:val="32"/>
          <w:szCs w:val="32"/>
        </w:rPr>
      </w:pPr>
      <w:bookmarkStart w:id="70" w:name="_Toc18473"/>
      <w:r>
        <w:rPr>
          <w:rFonts w:eastAsia="仿宋_GB2312"/>
          <w:color w:val="000000"/>
          <w:sz w:val="32"/>
          <w:szCs w:val="32"/>
        </w:rPr>
        <w:t>（2）说明与项目有关的国土空间规划、“双重”规划等国家和行业重大规划基本情况和要求。</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（3）</w:t>
      </w:r>
      <w:bookmarkEnd w:id="70"/>
      <w:bookmarkStart w:id="71" w:name="_Toc21447"/>
      <w:r>
        <w:rPr>
          <w:rFonts w:eastAsia="仿宋_GB2312"/>
          <w:color w:val="000000"/>
          <w:sz w:val="32"/>
          <w:szCs w:val="32"/>
        </w:rPr>
        <w:t>说明与项目有关的区域发展和建设规划等基本情况和要求。</w:t>
      </w:r>
      <w:bookmarkEnd w:id="71"/>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72" w:name="_Toc29245"/>
      <w:bookmarkStart w:id="73" w:name="_Toc85643123"/>
      <w:r>
        <w:rPr>
          <w:rFonts w:eastAsia="楷体_GB2312"/>
          <w:color w:val="000000"/>
          <w:sz w:val="32"/>
        </w:rPr>
        <w:t>区域背景</w:t>
      </w:r>
      <w:bookmarkEnd w:id="72"/>
      <w:bookmarkEnd w:id="73"/>
    </w:p>
    <w:p>
      <w:pPr>
        <w:adjustRightInd w:val="0"/>
        <w:snapToGrid w:val="0"/>
        <w:spacing w:line="596" w:lineRule="exact"/>
        <w:ind w:firstLine="560"/>
        <w:rPr>
          <w:rFonts w:eastAsia="仿宋_GB2312"/>
          <w:color w:val="000000"/>
          <w:sz w:val="32"/>
          <w:szCs w:val="32"/>
        </w:rPr>
      </w:pPr>
      <w:bookmarkStart w:id="74" w:name="_Toc12244"/>
      <w:r>
        <w:rPr>
          <w:rFonts w:eastAsia="仿宋_GB2312"/>
          <w:color w:val="000000"/>
          <w:sz w:val="32"/>
          <w:szCs w:val="32"/>
        </w:rPr>
        <w:t>（1）</w:t>
      </w:r>
      <w:bookmarkEnd w:id="74"/>
      <w:r>
        <w:rPr>
          <w:rFonts w:eastAsia="仿宋_GB2312"/>
          <w:color w:val="000000"/>
          <w:sz w:val="32"/>
          <w:szCs w:val="32"/>
        </w:rPr>
        <w:t>国家重点生态保护修复重大工程规划区域范围内的生态建设需求。</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（2）项目实施区域社会经济状况及生态修复价值。</w:t>
      </w:r>
    </w:p>
    <w:p>
      <w:pPr>
        <w:adjustRightInd w:val="0"/>
        <w:snapToGrid w:val="0"/>
        <w:spacing w:line="596" w:lineRule="exact"/>
        <w:ind w:firstLine="560"/>
        <w:rPr>
          <w:rFonts w:eastAsia="仿宋_GB2312"/>
          <w:color w:val="000000"/>
          <w:sz w:val="32"/>
          <w:szCs w:val="32"/>
        </w:rPr>
      </w:pPr>
      <w:bookmarkStart w:id="75" w:name="_Toc3693"/>
      <w:r>
        <w:rPr>
          <w:rFonts w:eastAsia="仿宋_GB2312"/>
          <w:color w:val="000000"/>
          <w:sz w:val="32"/>
          <w:szCs w:val="32"/>
        </w:rPr>
        <w:t>（3）其他</w:t>
      </w:r>
      <w:bookmarkEnd w:id="75"/>
      <w:bookmarkStart w:id="76" w:name="_Toc22786"/>
      <w:r>
        <w:rPr>
          <w:rFonts w:eastAsia="仿宋_GB2312"/>
          <w:color w:val="000000"/>
          <w:sz w:val="32"/>
          <w:szCs w:val="32"/>
        </w:rPr>
        <w:t>可根据需要，简要说明社会、文化、历史、人文、宗教信仰等方面的相关情况。</w:t>
      </w:r>
      <w:bookmarkEnd w:id="76"/>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77" w:name="_Toc85643124"/>
      <w:bookmarkStart w:id="78" w:name="_Toc32680"/>
      <w:r>
        <w:rPr>
          <w:rFonts w:eastAsia="楷体_GB2312"/>
          <w:color w:val="000000"/>
          <w:sz w:val="32"/>
        </w:rPr>
        <w:t>项目由来</w:t>
      </w:r>
      <w:bookmarkEnd w:id="77"/>
      <w:bookmarkEnd w:id="78"/>
    </w:p>
    <w:p>
      <w:pPr>
        <w:adjustRightInd w:val="0"/>
        <w:snapToGrid w:val="0"/>
        <w:spacing w:line="596" w:lineRule="exact"/>
        <w:ind w:firstLine="560"/>
        <w:rPr>
          <w:rFonts w:eastAsia="仿宋_GB2312"/>
          <w:color w:val="000000"/>
          <w:sz w:val="32"/>
          <w:szCs w:val="32"/>
        </w:rPr>
      </w:pPr>
      <w:bookmarkStart w:id="79" w:name="_Toc185"/>
      <w:r>
        <w:rPr>
          <w:rFonts w:eastAsia="仿宋_GB2312"/>
          <w:color w:val="000000"/>
          <w:sz w:val="32"/>
          <w:szCs w:val="32"/>
        </w:rPr>
        <w:t>简述项目提出的过程。</w:t>
      </w:r>
      <w:bookmarkEnd w:id="79"/>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80" w:name="_Toc5529"/>
      <w:bookmarkStart w:id="81" w:name="_Toc85643126"/>
      <w:bookmarkStart w:id="82" w:name="_Toc80004862"/>
      <w:bookmarkStart w:id="83" w:name="_Toc80020798"/>
      <w:r>
        <w:rPr>
          <w:rFonts w:ascii="Times New Roman" w:hAnsi="Times New Roman"/>
          <w:color w:val="000000"/>
        </w:rPr>
        <w:t>项目建设的必要性</w:t>
      </w:r>
      <w:bookmarkEnd w:id="80"/>
      <w:bookmarkEnd w:id="81"/>
      <w:bookmarkEnd w:id="82"/>
      <w:bookmarkEnd w:id="83"/>
      <w:bookmarkStart w:id="84" w:name="_Toc27209"/>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85" w:name="_Toc85643127"/>
      <w:bookmarkStart w:id="86" w:name="_Toc27649"/>
      <w:r>
        <w:rPr>
          <w:rFonts w:eastAsia="楷体_GB2312"/>
          <w:color w:val="000000"/>
          <w:sz w:val="32"/>
        </w:rPr>
        <w:t>宏观上项目建设的必要性</w:t>
      </w:r>
      <w:bookmarkEnd w:id="85"/>
      <w:bookmarkEnd w:id="86"/>
    </w:p>
    <w:p>
      <w:pPr>
        <w:adjustRightInd w:val="0"/>
        <w:snapToGrid w:val="0"/>
        <w:spacing w:line="596" w:lineRule="exact"/>
        <w:ind w:firstLine="560"/>
        <w:rPr>
          <w:rFonts w:eastAsia="仿宋_GB2312"/>
          <w:color w:val="000000"/>
          <w:sz w:val="32"/>
          <w:szCs w:val="32"/>
        </w:rPr>
      </w:pPr>
      <w:bookmarkStart w:id="87" w:name="_Toc10231"/>
      <w:r>
        <w:rPr>
          <w:rFonts w:eastAsia="仿宋_GB2312"/>
          <w:color w:val="000000"/>
          <w:sz w:val="32"/>
          <w:szCs w:val="32"/>
        </w:rPr>
        <w:t>从国家生态文明建设、宏观经济发展方针、行业相关政策、行业及区域规划、技术政策等方面简述项目建设的依据和理由。</w:t>
      </w:r>
    </w:p>
    <w:bookmarkEnd w:id="87"/>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88" w:name="_Toc85643128"/>
      <w:r>
        <w:rPr>
          <w:rFonts w:eastAsia="楷体_GB2312"/>
          <w:color w:val="000000"/>
          <w:sz w:val="32"/>
        </w:rPr>
        <w:t>区域范围内项目建设的必要性</w:t>
      </w:r>
      <w:bookmarkEnd w:id="88"/>
    </w:p>
    <w:p>
      <w:pPr>
        <w:adjustRightInd w:val="0"/>
        <w:snapToGrid w:val="0"/>
        <w:spacing w:line="596" w:lineRule="exact"/>
        <w:ind w:firstLine="560"/>
        <w:rPr>
          <w:rFonts w:eastAsia="仿宋_GB2312"/>
          <w:color w:val="000000"/>
          <w:sz w:val="32"/>
          <w:szCs w:val="32"/>
        </w:rPr>
      </w:pPr>
      <w:bookmarkStart w:id="89" w:name="_Toc19421"/>
      <w:r>
        <w:rPr>
          <w:rFonts w:eastAsia="仿宋_GB2312"/>
          <w:color w:val="000000"/>
          <w:sz w:val="32"/>
          <w:szCs w:val="32"/>
        </w:rPr>
        <w:t>项目建设对项目所在区域提高山水林田湖草沙冰综合治理能力、对改善当地民生和社会可持续发展的必要性。</w:t>
      </w:r>
    </w:p>
    <w:p>
      <w:pPr>
        <w:adjustRightInd w:val="0"/>
        <w:snapToGrid w:val="0"/>
        <w:spacing w:line="596" w:lineRule="exact"/>
        <w:ind w:firstLine="149" w:firstLineChars="71"/>
        <w:rPr>
          <w:color w:val="000000"/>
        </w:rPr>
      </w:pPr>
    </w:p>
    <w:bookmarkEnd w:id="89"/>
    <w:p>
      <w:pPr>
        <w:pStyle w:val="2"/>
        <w:keepNext w:val="0"/>
        <w:keepLines w:val="0"/>
        <w:numPr>
          <w:ilvl w:val="0"/>
          <w:numId w:val="1"/>
        </w:numPr>
        <w:adjustRightInd w:val="0"/>
        <w:snapToGrid w:val="0"/>
        <w:spacing w:before="0" w:after="0" w:line="596" w:lineRule="exact"/>
        <w:rPr>
          <w:rFonts w:ascii="黑体" w:hAnsi="黑体"/>
          <w:color w:val="000000"/>
        </w:rPr>
      </w:pPr>
      <w:bookmarkStart w:id="90" w:name="_Toc11281"/>
      <w:bookmarkStart w:id="91" w:name="_Toc80020799"/>
      <w:r>
        <w:rPr>
          <w:rFonts w:ascii="黑体" w:hAnsi="黑体"/>
          <w:color w:val="000000"/>
        </w:rPr>
        <w:t xml:space="preserve"> </w:t>
      </w:r>
      <w:bookmarkStart w:id="92" w:name="_Toc85643129"/>
      <w:r>
        <w:rPr>
          <w:rFonts w:ascii="黑体" w:hAnsi="黑体"/>
          <w:color w:val="000000"/>
        </w:rPr>
        <w:t xml:space="preserve"> 项目建设条件</w:t>
      </w:r>
      <w:bookmarkEnd w:id="90"/>
      <w:bookmarkEnd w:id="91"/>
      <w:bookmarkEnd w:id="92"/>
    </w:p>
    <w:p>
      <w:pPr>
        <w:adjustRightInd w:val="0"/>
        <w:snapToGrid w:val="0"/>
        <w:spacing w:line="596" w:lineRule="exact"/>
        <w:ind w:firstLine="560"/>
        <w:rPr>
          <w:rFonts w:eastAsia="仿宋_GB2312"/>
          <w:color w:val="000000"/>
          <w:sz w:val="32"/>
          <w:szCs w:val="32"/>
        </w:rPr>
      </w:pPr>
      <w:bookmarkStart w:id="93" w:name="_Toc23759"/>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说明项目建设所在区域的自然地理、土地与自然资源、社会经济、基础设施、种苗供应、公共服务及场地等基本情况。</w:t>
      </w:r>
      <w:bookmarkEnd w:id="93"/>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94" w:name="_Toc80004864"/>
      <w:bookmarkStart w:id="95" w:name="_Toc80020800"/>
      <w:bookmarkStart w:id="96" w:name="_Toc85643130"/>
      <w:r>
        <w:rPr>
          <w:rFonts w:ascii="Times New Roman" w:hAnsi="Times New Roman"/>
          <w:color w:val="000000"/>
        </w:rPr>
        <w:t>自然地理</w:t>
      </w:r>
      <w:bookmarkEnd w:id="94"/>
      <w:bookmarkEnd w:id="95"/>
      <w:r>
        <w:rPr>
          <w:rFonts w:ascii="Times New Roman" w:hAnsi="Times New Roman"/>
          <w:color w:val="000000"/>
        </w:rPr>
        <w:t>条件</w:t>
      </w:r>
      <w:bookmarkEnd w:id="96"/>
    </w:p>
    <w:p>
      <w:pPr>
        <w:pStyle w:val="4"/>
        <w:keepNext w:val="0"/>
        <w:keepLines w:val="0"/>
        <w:numPr>
          <w:ilvl w:val="2"/>
          <w:numId w:val="1"/>
        </w:numPr>
        <w:adjustRightInd w:val="0"/>
        <w:snapToGrid w:val="0"/>
        <w:spacing w:line="596" w:lineRule="exact"/>
        <w:ind w:left="567" w:firstLine="0"/>
        <w:rPr>
          <w:rFonts w:eastAsia="楷体_GB2312"/>
          <w:color w:val="000000"/>
          <w:sz w:val="32"/>
        </w:rPr>
      </w:pPr>
      <w:r>
        <w:rPr>
          <w:rFonts w:eastAsia="楷体_GB2312"/>
          <w:color w:val="000000"/>
          <w:sz w:val="32"/>
        </w:rPr>
        <w:t>地理位置</w:t>
      </w:r>
    </w:p>
    <w:p>
      <w:pPr>
        <w:pStyle w:val="4"/>
        <w:keepNext w:val="0"/>
        <w:keepLines w:val="0"/>
        <w:numPr>
          <w:ilvl w:val="2"/>
          <w:numId w:val="1"/>
        </w:numPr>
        <w:adjustRightInd w:val="0"/>
        <w:snapToGrid w:val="0"/>
        <w:spacing w:line="596" w:lineRule="exact"/>
        <w:ind w:left="567" w:firstLine="0"/>
        <w:rPr>
          <w:rFonts w:eastAsia="楷体_GB2312"/>
          <w:color w:val="000000"/>
          <w:sz w:val="32"/>
        </w:rPr>
      </w:pPr>
      <w:r>
        <w:rPr>
          <w:rFonts w:eastAsia="楷体_GB2312"/>
          <w:color w:val="000000"/>
          <w:sz w:val="32"/>
        </w:rPr>
        <w:t>地形地貌</w:t>
      </w:r>
    </w:p>
    <w:p>
      <w:pPr>
        <w:pStyle w:val="4"/>
        <w:keepNext w:val="0"/>
        <w:keepLines w:val="0"/>
        <w:numPr>
          <w:ilvl w:val="2"/>
          <w:numId w:val="1"/>
        </w:numPr>
        <w:adjustRightInd w:val="0"/>
        <w:snapToGrid w:val="0"/>
        <w:spacing w:line="596" w:lineRule="exact"/>
        <w:ind w:left="567" w:firstLine="0"/>
        <w:rPr>
          <w:rFonts w:eastAsia="楷体_GB2312"/>
          <w:color w:val="000000"/>
          <w:sz w:val="32"/>
        </w:rPr>
      </w:pPr>
      <w:r>
        <w:rPr>
          <w:rFonts w:eastAsia="楷体_GB2312"/>
          <w:color w:val="000000"/>
          <w:sz w:val="32"/>
        </w:rPr>
        <w:t>气候条件</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重点说明气温、降水量、蒸发量、风向、光照、无霜期等。</w:t>
      </w:r>
    </w:p>
    <w:p>
      <w:pPr>
        <w:pStyle w:val="4"/>
        <w:keepNext w:val="0"/>
        <w:keepLines w:val="0"/>
        <w:numPr>
          <w:ilvl w:val="2"/>
          <w:numId w:val="1"/>
        </w:numPr>
        <w:adjustRightInd w:val="0"/>
        <w:snapToGrid w:val="0"/>
        <w:spacing w:line="596" w:lineRule="exact"/>
        <w:ind w:left="567" w:firstLine="0"/>
        <w:rPr>
          <w:rFonts w:eastAsia="楷体_GB2312"/>
          <w:color w:val="000000"/>
          <w:sz w:val="32"/>
        </w:rPr>
      </w:pPr>
      <w:r>
        <w:rPr>
          <w:rFonts w:eastAsia="楷体_GB2312"/>
          <w:color w:val="000000"/>
          <w:sz w:val="32"/>
        </w:rPr>
        <w:t>水文条件</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重点说明河流湖泊数量及径流量、水源、土壤含水量、地下水水位等。</w:t>
      </w:r>
    </w:p>
    <w:p>
      <w:pPr>
        <w:pStyle w:val="4"/>
        <w:keepNext w:val="0"/>
        <w:keepLines w:val="0"/>
        <w:numPr>
          <w:ilvl w:val="2"/>
          <w:numId w:val="1"/>
        </w:numPr>
        <w:adjustRightInd w:val="0"/>
        <w:snapToGrid w:val="0"/>
        <w:spacing w:line="596" w:lineRule="exact"/>
        <w:ind w:left="567" w:firstLine="0"/>
        <w:rPr>
          <w:rFonts w:eastAsia="楷体_GB2312"/>
          <w:color w:val="000000"/>
          <w:sz w:val="32"/>
        </w:rPr>
      </w:pPr>
      <w:r>
        <w:rPr>
          <w:rFonts w:eastAsia="楷体_GB2312"/>
          <w:color w:val="000000"/>
          <w:sz w:val="32"/>
        </w:rPr>
        <w:t>土壤条件</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重点说明土壤类型、土壤理化性质、土壤肥力等。</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97" w:name="_Toc85643131"/>
      <w:bookmarkStart w:id="98" w:name="_Toc80020801"/>
      <w:bookmarkStart w:id="99" w:name="_Toc80004865"/>
      <w:r>
        <w:rPr>
          <w:rFonts w:ascii="Times New Roman" w:hAnsi="Times New Roman"/>
          <w:color w:val="000000"/>
        </w:rPr>
        <w:t>土地与自然资源条件</w:t>
      </w:r>
      <w:bookmarkEnd w:id="97"/>
      <w:bookmarkEnd w:id="98"/>
      <w:bookmarkEnd w:id="99"/>
    </w:p>
    <w:p>
      <w:pPr>
        <w:pStyle w:val="4"/>
        <w:keepNext w:val="0"/>
        <w:keepLines w:val="0"/>
        <w:numPr>
          <w:ilvl w:val="2"/>
          <w:numId w:val="1"/>
        </w:numPr>
        <w:adjustRightInd w:val="0"/>
        <w:snapToGrid w:val="0"/>
        <w:spacing w:line="596" w:lineRule="exact"/>
        <w:ind w:left="567" w:firstLine="0"/>
        <w:rPr>
          <w:rFonts w:eastAsia="楷体_GB2312"/>
          <w:color w:val="000000"/>
          <w:sz w:val="32"/>
        </w:rPr>
      </w:pPr>
      <w:r>
        <w:rPr>
          <w:rFonts w:eastAsia="楷体_GB2312"/>
          <w:color w:val="000000"/>
          <w:sz w:val="32"/>
        </w:rPr>
        <w:t>土地利用结构</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根据国土“三调”数据说明各类土地面积。并分析土地资源对项目建设的支撑条件。</w:t>
      </w:r>
    </w:p>
    <w:p>
      <w:pPr>
        <w:pStyle w:val="4"/>
        <w:keepNext w:val="0"/>
        <w:keepLines w:val="0"/>
        <w:numPr>
          <w:ilvl w:val="2"/>
          <w:numId w:val="1"/>
        </w:numPr>
        <w:adjustRightInd w:val="0"/>
        <w:snapToGrid w:val="0"/>
        <w:spacing w:line="596" w:lineRule="exact"/>
        <w:ind w:left="567" w:firstLine="0"/>
        <w:rPr>
          <w:rFonts w:eastAsia="楷体_GB2312"/>
          <w:color w:val="000000"/>
          <w:sz w:val="32"/>
        </w:rPr>
      </w:pPr>
      <w:r>
        <w:rPr>
          <w:rFonts w:eastAsia="楷体_GB2312"/>
          <w:color w:val="000000"/>
          <w:sz w:val="32"/>
        </w:rPr>
        <w:t>森林资源</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重点说明森林资源总量、退化林分面积及程度等，作为建设项目布局的依据。</w:t>
      </w:r>
    </w:p>
    <w:p>
      <w:pPr>
        <w:pStyle w:val="4"/>
        <w:keepNext w:val="0"/>
        <w:keepLines w:val="0"/>
        <w:numPr>
          <w:ilvl w:val="2"/>
          <w:numId w:val="1"/>
        </w:numPr>
        <w:adjustRightInd w:val="0"/>
        <w:snapToGrid w:val="0"/>
        <w:spacing w:line="596" w:lineRule="exact"/>
        <w:ind w:left="567" w:firstLine="0"/>
        <w:rPr>
          <w:rFonts w:eastAsia="楷体_GB2312"/>
          <w:color w:val="000000"/>
          <w:sz w:val="32"/>
        </w:rPr>
      </w:pPr>
      <w:r>
        <w:rPr>
          <w:rFonts w:eastAsia="楷体_GB2312"/>
          <w:color w:val="000000"/>
          <w:sz w:val="32"/>
        </w:rPr>
        <w:t>湿地资源</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重点说明湿地资源总量、湿地退化原因、退化湿地面积及程度等，作为建设项目布局的依据。</w:t>
      </w:r>
    </w:p>
    <w:p>
      <w:pPr>
        <w:pStyle w:val="4"/>
        <w:keepNext w:val="0"/>
        <w:keepLines w:val="0"/>
        <w:numPr>
          <w:ilvl w:val="2"/>
          <w:numId w:val="1"/>
        </w:numPr>
        <w:adjustRightInd w:val="0"/>
        <w:snapToGrid w:val="0"/>
        <w:spacing w:line="596" w:lineRule="exact"/>
        <w:ind w:left="567" w:firstLine="0"/>
        <w:rPr>
          <w:rFonts w:eastAsia="楷体_GB2312"/>
          <w:color w:val="000000"/>
          <w:sz w:val="32"/>
        </w:rPr>
      </w:pPr>
      <w:r>
        <w:rPr>
          <w:rFonts w:eastAsia="楷体_GB2312"/>
          <w:color w:val="000000"/>
          <w:sz w:val="32"/>
        </w:rPr>
        <w:t>草原资源</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重点说明草原资源总量、退化草原面积及程度等，作为建设项目布局的依据。</w:t>
      </w:r>
    </w:p>
    <w:p>
      <w:pPr>
        <w:pStyle w:val="4"/>
        <w:keepNext w:val="0"/>
        <w:keepLines w:val="0"/>
        <w:numPr>
          <w:ilvl w:val="2"/>
          <w:numId w:val="1"/>
        </w:numPr>
        <w:adjustRightInd w:val="0"/>
        <w:snapToGrid w:val="0"/>
        <w:spacing w:line="596" w:lineRule="exact"/>
        <w:ind w:left="567" w:firstLine="0"/>
        <w:rPr>
          <w:rFonts w:eastAsia="楷体_GB2312"/>
          <w:color w:val="000000"/>
          <w:sz w:val="32"/>
        </w:rPr>
      </w:pPr>
      <w:r>
        <w:rPr>
          <w:rFonts w:eastAsia="楷体_GB2312"/>
          <w:color w:val="000000"/>
          <w:sz w:val="32"/>
        </w:rPr>
        <w:t>水资源</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重点说明水资源总量、水资源利用结构、区域水资源平衡等，分析生态用水潜力和水资源承载力，作为建设项目布局的依据。干旱、极干旱区的项目建设，水平衡分析应具体化。</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100" w:name="_Toc80004866"/>
      <w:bookmarkStart w:id="101" w:name="_Toc85643133"/>
      <w:bookmarkStart w:id="102" w:name="_Toc80020802"/>
      <w:r>
        <w:rPr>
          <w:rFonts w:ascii="Times New Roman" w:hAnsi="Times New Roman"/>
          <w:color w:val="000000"/>
        </w:rPr>
        <w:t>社会经济条件</w:t>
      </w:r>
      <w:bookmarkEnd w:id="100"/>
      <w:bookmarkEnd w:id="101"/>
      <w:bookmarkEnd w:id="102"/>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（1）行政区划、人口组成及其结构等基本情况。</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（2）区域产业结构、财政收入水平及社会经济发展现状等。</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（3）道路交通、公用设施（给排水、电力、通讯）等基本情况。</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（4）林业草原事业发展建设情况、林草产业发展情况。</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项目区社会经济条件需要能够支撑项目的建设和运营。</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103" w:name="_Toc80004867"/>
      <w:bookmarkStart w:id="104" w:name="_Toc85643134"/>
      <w:bookmarkStart w:id="105" w:name="_Toc80020803"/>
      <w:r>
        <w:rPr>
          <w:rFonts w:ascii="Times New Roman" w:hAnsi="Times New Roman"/>
          <w:color w:val="000000"/>
        </w:rPr>
        <w:t>建设单位基本情况</w:t>
      </w:r>
      <w:bookmarkEnd w:id="103"/>
      <w:bookmarkEnd w:id="104"/>
      <w:bookmarkEnd w:id="105"/>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单位名称、机构设置、人员构成、技术力量、财务状况和运营情况及相关项目建设经验等。</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r>
        <w:rPr>
          <w:rFonts w:ascii="Times New Roman" w:hAnsi="Times New Roman"/>
          <w:color w:val="000000"/>
        </w:rPr>
        <w:t>建设条件分析</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（1）说明项目前期基础工作。包括工作成效、政府和社会支持、技术准备、建设模式、工作经验等。</w:t>
      </w:r>
    </w:p>
    <w:p>
      <w:pPr>
        <w:adjustRightInd w:val="0"/>
        <w:snapToGrid w:val="0"/>
        <w:spacing w:line="596" w:lineRule="exact"/>
        <w:ind w:firstLine="560"/>
        <w:rPr>
          <w:rFonts w:eastAsia="仿宋_GB2312"/>
          <w:color w:val="000000"/>
          <w:sz w:val="32"/>
          <w:szCs w:val="32"/>
        </w:rPr>
      </w:pPr>
      <w:bookmarkStart w:id="106" w:name="_Toc80004870"/>
      <w:bookmarkStart w:id="107" w:name="_Toc80020806"/>
      <w:bookmarkStart w:id="108" w:name="_Toc85643138"/>
      <w:r>
        <w:rPr>
          <w:rFonts w:eastAsia="仿宋_GB2312"/>
          <w:color w:val="000000"/>
          <w:sz w:val="32"/>
          <w:szCs w:val="32"/>
        </w:rPr>
        <w:t>（2）现有相关项目</w:t>
      </w:r>
      <w:bookmarkEnd w:id="106"/>
      <w:bookmarkEnd w:id="107"/>
      <w:bookmarkEnd w:id="108"/>
      <w:r>
        <w:rPr>
          <w:rFonts w:eastAsia="仿宋_GB2312"/>
          <w:color w:val="000000"/>
          <w:sz w:val="32"/>
          <w:szCs w:val="32"/>
        </w:rPr>
        <w:t>。根据建设单位主持的以往类似项目，总结社会及相关部门对此类项目支持、配合的可能性及程度等。</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（3）</w:t>
      </w:r>
      <w:bookmarkStart w:id="109" w:name="_Toc80004869"/>
      <w:bookmarkStart w:id="110" w:name="_Toc80020805"/>
      <w:bookmarkStart w:id="111" w:name="_Toc85643136"/>
      <w:r>
        <w:rPr>
          <w:rFonts w:eastAsia="仿宋_GB2312"/>
          <w:color w:val="000000"/>
          <w:sz w:val="32"/>
          <w:szCs w:val="32"/>
        </w:rPr>
        <w:t>种苗供应</w:t>
      </w:r>
      <w:bookmarkEnd w:id="109"/>
      <w:bookmarkEnd w:id="110"/>
      <w:bookmarkEnd w:id="111"/>
      <w:r>
        <w:rPr>
          <w:rFonts w:eastAsia="仿宋_GB2312"/>
          <w:color w:val="000000"/>
          <w:sz w:val="32"/>
          <w:szCs w:val="32"/>
        </w:rPr>
        <w:t>情况。包括现有苗圃、采种基地情况，种苗供应能力及潜力，种苗树种的选择、外调种苗的可能性及经济合理性分析等；可选择草种的种类、种植方式等。</w:t>
      </w:r>
    </w:p>
    <w:p>
      <w:pPr>
        <w:adjustRightInd w:val="0"/>
        <w:snapToGrid w:val="0"/>
        <w:spacing w:line="570" w:lineRule="exact"/>
        <w:ind w:firstLine="560"/>
        <w:rPr>
          <w:rFonts w:eastAsia="仿宋_GB2312"/>
          <w:color w:val="000000"/>
          <w:sz w:val="32"/>
          <w:szCs w:val="32"/>
        </w:rPr>
      </w:pPr>
      <w:r>
        <w:rPr>
          <w:rFonts w:eastAsia="仿宋_GB2312"/>
          <w:color w:val="000000"/>
          <w:sz w:val="32"/>
          <w:szCs w:val="32"/>
        </w:rPr>
        <w:t>（4）不利因素分析。重点分析自然灾害、火灾、林草有害生物害等灾害类型及发生的规模、频次，以及土地资源、水资源约束条件等。</w:t>
      </w:r>
    </w:p>
    <w:p>
      <w:pPr>
        <w:pStyle w:val="3"/>
        <w:keepNext w:val="0"/>
        <w:keepLines w:val="0"/>
        <w:numPr>
          <w:ilvl w:val="1"/>
          <w:numId w:val="1"/>
        </w:numPr>
        <w:adjustRightInd w:val="0"/>
        <w:snapToGrid w:val="0"/>
        <w:spacing w:before="0" w:after="0" w:line="570" w:lineRule="exact"/>
        <w:ind w:left="567" w:firstLine="0"/>
        <w:rPr>
          <w:rFonts w:ascii="Times New Roman" w:hAnsi="Times New Roman"/>
          <w:color w:val="000000"/>
        </w:rPr>
      </w:pPr>
      <w:bookmarkStart w:id="112" w:name="_Toc85643139"/>
      <w:r>
        <w:rPr>
          <w:rFonts w:ascii="Times New Roman" w:hAnsi="Times New Roman"/>
          <w:color w:val="000000"/>
        </w:rPr>
        <w:t>其他需要分析的项目建设条件</w:t>
      </w:r>
      <w:bookmarkEnd w:id="112"/>
    </w:p>
    <w:p>
      <w:pPr>
        <w:adjustRightInd w:val="0"/>
        <w:snapToGrid w:val="0"/>
        <w:spacing w:line="570" w:lineRule="exact"/>
        <w:ind w:firstLine="560"/>
        <w:rPr>
          <w:color w:val="000000"/>
        </w:rPr>
      </w:pPr>
    </w:p>
    <w:bookmarkEnd w:id="84"/>
    <w:p>
      <w:pPr>
        <w:pStyle w:val="2"/>
        <w:keepNext w:val="0"/>
        <w:keepLines w:val="0"/>
        <w:numPr>
          <w:ilvl w:val="0"/>
          <w:numId w:val="1"/>
        </w:numPr>
        <w:adjustRightInd w:val="0"/>
        <w:snapToGrid w:val="0"/>
        <w:spacing w:before="0" w:after="0" w:line="570" w:lineRule="exact"/>
        <w:rPr>
          <w:rFonts w:ascii="黑体" w:hAnsi="黑体"/>
          <w:color w:val="000000"/>
        </w:rPr>
      </w:pPr>
      <w:bookmarkStart w:id="113" w:name="_Toc21282"/>
      <w:bookmarkStart w:id="114" w:name="_Toc80020809"/>
      <w:bookmarkStart w:id="115" w:name="_Toc54598722"/>
      <w:bookmarkStart w:id="116" w:name="_Toc61342720"/>
      <w:r>
        <w:rPr>
          <w:rFonts w:ascii="黑体" w:hAnsi="黑体"/>
          <w:color w:val="000000"/>
        </w:rPr>
        <w:t xml:space="preserve"> </w:t>
      </w:r>
      <w:bookmarkEnd w:id="113"/>
      <w:bookmarkEnd w:id="114"/>
      <w:bookmarkStart w:id="117" w:name="_Toc85643140"/>
      <w:r>
        <w:rPr>
          <w:rFonts w:ascii="黑体" w:hAnsi="黑体"/>
          <w:color w:val="000000"/>
        </w:rPr>
        <w:t xml:space="preserve"> 指导思想与建设目标</w:t>
      </w:r>
      <w:bookmarkEnd w:id="117"/>
    </w:p>
    <w:p>
      <w:pPr>
        <w:adjustRightInd w:val="0"/>
        <w:snapToGrid w:val="0"/>
        <w:spacing w:line="570" w:lineRule="exact"/>
        <w:rPr>
          <w:color w:val="000000"/>
        </w:rPr>
      </w:pPr>
    </w:p>
    <w:p>
      <w:pPr>
        <w:pStyle w:val="3"/>
        <w:keepNext w:val="0"/>
        <w:keepLines w:val="0"/>
        <w:numPr>
          <w:ilvl w:val="1"/>
          <w:numId w:val="1"/>
        </w:numPr>
        <w:adjustRightInd w:val="0"/>
        <w:snapToGrid w:val="0"/>
        <w:spacing w:before="0" w:after="0" w:line="570" w:lineRule="exact"/>
        <w:ind w:left="567" w:firstLine="0"/>
        <w:rPr>
          <w:rFonts w:ascii="Times New Roman" w:hAnsi="Times New Roman"/>
          <w:color w:val="000000"/>
        </w:rPr>
      </w:pPr>
      <w:bookmarkStart w:id="118" w:name="_Toc80020810"/>
      <w:bookmarkStart w:id="119" w:name="_Toc85643141"/>
      <w:bookmarkStart w:id="120" w:name="_Toc80004874"/>
      <w:r>
        <w:rPr>
          <w:rFonts w:ascii="Times New Roman" w:hAnsi="Times New Roman"/>
          <w:color w:val="000000"/>
        </w:rPr>
        <w:t>指导思想</w:t>
      </w:r>
      <w:bookmarkEnd w:id="118"/>
      <w:bookmarkEnd w:id="119"/>
      <w:bookmarkEnd w:id="120"/>
    </w:p>
    <w:p>
      <w:pPr>
        <w:adjustRightInd w:val="0"/>
        <w:snapToGrid w:val="0"/>
        <w:spacing w:line="570" w:lineRule="exact"/>
        <w:ind w:firstLine="560"/>
        <w:rPr>
          <w:rFonts w:eastAsia="仿宋_GB2312"/>
          <w:color w:val="000000"/>
          <w:sz w:val="32"/>
          <w:szCs w:val="32"/>
        </w:rPr>
      </w:pPr>
      <w:r>
        <w:rPr>
          <w:rFonts w:eastAsia="仿宋_GB2312"/>
          <w:color w:val="000000"/>
          <w:sz w:val="32"/>
          <w:szCs w:val="32"/>
        </w:rPr>
        <w:t>阐述项目建设的指导思想。重点突出绿水青山就是金山银山理念，山水林田湖草沙冰综合治理、系统治理、源头治理，科学绿化等内容。</w:t>
      </w:r>
    </w:p>
    <w:p>
      <w:pPr>
        <w:pStyle w:val="3"/>
        <w:keepNext w:val="0"/>
        <w:keepLines w:val="0"/>
        <w:numPr>
          <w:ilvl w:val="1"/>
          <w:numId w:val="1"/>
        </w:numPr>
        <w:adjustRightInd w:val="0"/>
        <w:snapToGrid w:val="0"/>
        <w:spacing w:before="0" w:after="0" w:line="570" w:lineRule="exact"/>
        <w:ind w:left="567" w:firstLine="0"/>
        <w:rPr>
          <w:rFonts w:ascii="Times New Roman" w:hAnsi="Times New Roman"/>
          <w:color w:val="000000"/>
        </w:rPr>
      </w:pPr>
      <w:bookmarkStart w:id="121" w:name="_Toc80004875"/>
      <w:bookmarkStart w:id="122" w:name="_Toc85643142"/>
      <w:bookmarkStart w:id="123" w:name="_Toc80020811"/>
      <w:r>
        <w:rPr>
          <w:rFonts w:ascii="Times New Roman" w:hAnsi="Times New Roman"/>
          <w:color w:val="000000"/>
        </w:rPr>
        <w:t>建设原则</w:t>
      </w:r>
      <w:bookmarkEnd w:id="121"/>
      <w:bookmarkEnd w:id="122"/>
      <w:bookmarkEnd w:id="123"/>
    </w:p>
    <w:p>
      <w:pPr>
        <w:adjustRightInd w:val="0"/>
        <w:snapToGrid w:val="0"/>
        <w:spacing w:line="570" w:lineRule="exact"/>
        <w:ind w:firstLine="560"/>
        <w:rPr>
          <w:rFonts w:eastAsia="仿宋_GB2312"/>
          <w:color w:val="000000"/>
          <w:sz w:val="32"/>
          <w:szCs w:val="32"/>
        </w:rPr>
      </w:pPr>
      <w:r>
        <w:rPr>
          <w:rFonts w:eastAsia="仿宋_GB2312"/>
          <w:color w:val="000000"/>
          <w:sz w:val="32"/>
          <w:szCs w:val="32"/>
        </w:rPr>
        <w:t>阐述工程项目建设实施的基本原则。重点强调因地制宜、科学治理、精准施策、多元化筹措资金等内容。</w:t>
      </w:r>
    </w:p>
    <w:p>
      <w:pPr>
        <w:pStyle w:val="3"/>
        <w:keepNext w:val="0"/>
        <w:keepLines w:val="0"/>
        <w:numPr>
          <w:ilvl w:val="1"/>
          <w:numId w:val="1"/>
        </w:numPr>
        <w:adjustRightInd w:val="0"/>
        <w:snapToGrid w:val="0"/>
        <w:spacing w:before="0" w:after="0" w:line="570" w:lineRule="exact"/>
        <w:ind w:left="567" w:firstLine="0"/>
        <w:rPr>
          <w:rFonts w:ascii="Times New Roman" w:hAnsi="Times New Roman"/>
          <w:color w:val="000000"/>
        </w:rPr>
      </w:pPr>
      <w:bookmarkStart w:id="124" w:name="_Toc80020812"/>
      <w:bookmarkStart w:id="125" w:name="_Toc80004876"/>
      <w:bookmarkStart w:id="126" w:name="_Toc85643143"/>
      <w:r>
        <w:rPr>
          <w:rFonts w:ascii="Times New Roman" w:hAnsi="Times New Roman"/>
          <w:color w:val="000000"/>
        </w:rPr>
        <w:t>建设目标</w:t>
      </w:r>
      <w:bookmarkEnd w:id="124"/>
      <w:bookmarkEnd w:id="125"/>
      <w:bookmarkEnd w:id="126"/>
    </w:p>
    <w:p>
      <w:pPr>
        <w:adjustRightInd w:val="0"/>
        <w:snapToGrid w:val="0"/>
        <w:spacing w:line="570" w:lineRule="exact"/>
        <w:ind w:firstLine="560"/>
        <w:rPr>
          <w:rFonts w:eastAsia="仿宋_GB2312"/>
          <w:color w:val="000000"/>
          <w:sz w:val="32"/>
          <w:szCs w:val="32"/>
        </w:rPr>
      </w:pPr>
      <w:r>
        <w:rPr>
          <w:rFonts w:eastAsia="仿宋_GB2312"/>
          <w:color w:val="000000"/>
          <w:sz w:val="32"/>
          <w:szCs w:val="32"/>
        </w:rPr>
        <w:t>包括总体目标、年度目标两部分。</w:t>
      </w:r>
    </w:p>
    <w:p>
      <w:pPr>
        <w:adjustRightInd w:val="0"/>
        <w:snapToGrid w:val="0"/>
        <w:spacing w:line="570" w:lineRule="exact"/>
        <w:ind w:firstLine="560"/>
        <w:rPr>
          <w:rFonts w:eastAsia="仿宋_GB2312"/>
          <w:color w:val="000000"/>
          <w:sz w:val="32"/>
          <w:szCs w:val="32"/>
        </w:rPr>
      </w:pPr>
      <w:r>
        <w:rPr>
          <w:rFonts w:eastAsia="仿宋_GB2312"/>
          <w:color w:val="000000"/>
          <w:sz w:val="32"/>
          <w:szCs w:val="32"/>
        </w:rPr>
        <w:t>总体目标：立足项目区域经济社会发展阶段，准确聚焦区域生态系统重点问题，着重抓好区域内国家重点生态功能区、生态保护红线、重点国家级自然保护地的生态保护和修复，量化生态系统保护和修复指标，明确项目主攻方向和目标任务，解决区域的重点生态修复问题。</w:t>
      </w:r>
    </w:p>
    <w:p>
      <w:pPr>
        <w:adjustRightInd w:val="0"/>
        <w:snapToGrid w:val="0"/>
        <w:spacing w:line="570" w:lineRule="exact"/>
        <w:ind w:firstLine="560"/>
        <w:rPr>
          <w:rFonts w:eastAsia="仿宋_GB2312"/>
          <w:color w:val="000000"/>
          <w:sz w:val="32"/>
          <w:szCs w:val="32"/>
        </w:rPr>
      </w:pPr>
      <w:r>
        <w:rPr>
          <w:rFonts w:eastAsia="仿宋_GB2312"/>
          <w:color w:val="000000"/>
          <w:sz w:val="32"/>
          <w:szCs w:val="32"/>
        </w:rPr>
        <w:t>年度目标：依据项目建设总体目标和建设内容，结合项目实施周期长度，将建设任务分解为年度完成指标。</w:t>
      </w:r>
    </w:p>
    <w:p>
      <w:pPr>
        <w:adjustRightInd w:val="0"/>
        <w:snapToGrid w:val="0"/>
        <w:spacing w:line="570" w:lineRule="exact"/>
        <w:ind w:firstLine="560"/>
        <w:rPr>
          <w:color w:val="000000"/>
          <w:szCs w:val="28"/>
        </w:rPr>
      </w:pPr>
    </w:p>
    <w:p>
      <w:pPr>
        <w:pStyle w:val="2"/>
        <w:keepNext w:val="0"/>
        <w:keepLines w:val="0"/>
        <w:numPr>
          <w:ilvl w:val="0"/>
          <w:numId w:val="1"/>
        </w:numPr>
        <w:adjustRightInd w:val="0"/>
        <w:snapToGrid w:val="0"/>
        <w:spacing w:before="0" w:after="0" w:line="570" w:lineRule="exact"/>
        <w:rPr>
          <w:rFonts w:ascii="黑体" w:hAnsi="黑体"/>
          <w:color w:val="000000"/>
        </w:rPr>
      </w:pPr>
      <w:bookmarkStart w:id="127" w:name="_Toc80004877"/>
      <w:bookmarkStart w:id="128" w:name="_Toc80020813"/>
      <w:r>
        <w:rPr>
          <w:rFonts w:ascii="黑体" w:hAnsi="黑体"/>
          <w:color w:val="000000"/>
        </w:rPr>
        <w:t xml:space="preserve"> </w:t>
      </w:r>
      <w:bookmarkStart w:id="129" w:name="_Toc85643144"/>
      <w:r>
        <w:rPr>
          <w:rFonts w:ascii="黑体" w:hAnsi="黑体"/>
          <w:color w:val="000000"/>
        </w:rPr>
        <w:t xml:space="preserve"> 项目建设</w:t>
      </w:r>
      <w:bookmarkEnd w:id="127"/>
      <w:bookmarkEnd w:id="128"/>
      <w:r>
        <w:rPr>
          <w:rFonts w:ascii="黑体" w:hAnsi="黑体"/>
          <w:color w:val="000000"/>
        </w:rPr>
        <w:t>方案</w:t>
      </w:r>
      <w:bookmarkEnd w:id="129"/>
    </w:p>
    <w:p>
      <w:pPr>
        <w:adjustRightInd w:val="0"/>
        <w:snapToGrid w:val="0"/>
        <w:spacing w:line="570" w:lineRule="exact"/>
        <w:ind w:firstLine="560"/>
        <w:rPr>
          <w:rFonts w:eastAsia="方正仿宋_GBK"/>
          <w:color w:val="000000"/>
        </w:rPr>
      </w:pPr>
    </w:p>
    <w:p>
      <w:pPr>
        <w:adjustRightInd w:val="0"/>
        <w:snapToGrid w:val="0"/>
        <w:spacing w:line="570" w:lineRule="exact"/>
        <w:ind w:firstLine="560"/>
        <w:rPr>
          <w:rFonts w:eastAsia="仿宋_GB2312"/>
          <w:color w:val="000000"/>
          <w:sz w:val="32"/>
          <w:szCs w:val="32"/>
        </w:rPr>
      </w:pPr>
      <w:r>
        <w:rPr>
          <w:rFonts w:eastAsia="仿宋_GB2312"/>
          <w:color w:val="000000"/>
          <w:sz w:val="32"/>
          <w:szCs w:val="32"/>
        </w:rPr>
        <w:t>统筹推进山水林田湖草沙冰系统治理，落实国土空间用途管制要求，严守生态保护红线、永久基本农田、城镇发展边界三条控制线，维护生态系统原真性、完整性、连通性和多样性，按照“双重”规划确定的分区开展生态系统保护和修复工程建设，保障国家和区域生态安全，优化生态系统格局，提升生态服务功能，提高区域生态效益。</w:t>
      </w:r>
    </w:p>
    <w:p>
      <w:pPr>
        <w:pStyle w:val="3"/>
        <w:keepNext w:val="0"/>
        <w:keepLines w:val="0"/>
        <w:numPr>
          <w:ilvl w:val="1"/>
          <w:numId w:val="1"/>
        </w:numPr>
        <w:adjustRightInd w:val="0"/>
        <w:snapToGrid w:val="0"/>
        <w:spacing w:before="0" w:after="0" w:line="570" w:lineRule="exact"/>
        <w:ind w:left="567" w:firstLine="0"/>
        <w:rPr>
          <w:rFonts w:ascii="Times New Roman" w:hAnsi="Times New Roman"/>
          <w:color w:val="000000"/>
        </w:rPr>
      </w:pPr>
      <w:bookmarkStart w:id="130" w:name="_Toc85643145"/>
      <w:r>
        <w:rPr>
          <w:rFonts w:ascii="Times New Roman" w:hAnsi="Times New Roman"/>
          <w:color w:val="000000"/>
        </w:rPr>
        <w:t>项目建设布局</w:t>
      </w:r>
      <w:bookmarkEnd w:id="130"/>
    </w:p>
    <w:p>
      <w:pPr>
        <w:pStyle w:val="4"/>
        <w:keepNext w:val="0"/>
        <w:keepLines w:val="0"/>
        <w:numPr>
          <w:ilvl w:val="2"/>
          <w:numId w:val="1"/>
        </w:numPr>
        <w:adjustRightInd w:val="0"/>
        <w:snapToGrid w:val="0"/>
        <w:spacing w:line="570" w:lineRule="exact"/>
        <w:ind w:left="567" w:firstLine="0"/>
        <w:rPr>
          <w:rFonts w:eastAsia="楷体_GB2312"/>
          <w:color w:val="000000"/>
          <w:sz w:val="32"/>
        </w:rPr>
      </w:pPr>
      <w:bookmarkStart w:id="131" w:name="_Toc85643146"/>
      <w:r>
        <w:rPr>
          <w:rFonts w:eastAsia="楷体_GB2312"/>
          <w:color w:val="000000"/>
          <w:sz w:val="32"/>
        </w:rPr>
        <w:t>项目布局依据</w:t>
      </w:r>
      <w:bookmarkEnd w:id="131"/>
    </w:p>
    <w:p>
      <w:pPr>
        <w:adjustRightInd w:val="0"/>
        <w:snapToGrid w:val="0"/>
        <w:spacing w:line="570" w:lineRule="exact"/>
        <w:ind w:firstLine="560"/>
        <w:rPr>
          <w:rFonts w:eastAsia="仿宋_GB2312"/>
          <w:color w:val="000000"/>
          <w:sz w:val="32"/>
          <w:szCs w:val="32"/>
        </w:rPr>
      </w:pPr>
      <w:r>
        <w:rPr>
          <w:rFonts w:eastAsia="仿宋_GB2312"/>
          <w:color w:val="000000"/>
          <w:sz w:val="32"/>
          <w:szCs w:val="32"/>
        </w:rPr>
        <w:t>可根据流域、山系、绿洲、沙区、行政区划等进行布局，将项目区划分为不同治理单元。</w:t>
      </w:r>
    </w:p>
    <w:p>
      <w:pPr>
        <w:pStyle w:val="4"/>
        <w:keepNext w:val="0"/>
        <w:keepLines w:val="0"/>
        <w:numPr>
          <w:ilvl w:val="2"/>
          <w:numId w:val="1"/>
        </w:numPr>
        <w:adjustRightInd w:val="0"/>
        <w:snapToGrid w:val="0"/>
        <w:spacing w:line="570" w:lineRule="exact"/>
        <w:ind w:left="567" w:firstLine="0"/>
        <w:rPr>
          <w:rFonts w:eastAsia="楷体_GB2312"/>
          <w:color w:val="000000"/>
          <w:sz w:val="32"/>
        </w:rPr>
      </w:pPr>
      <w:bookmarkStart w:id="132" w:name="_Toc85643147"/>
      <w:r>
        <w:rPr>
          <w:rFonts w:eastAsia="楷体_GB2312"/>
          <w:color w:val="000000"/>
          <w:sz w:val="32"/>
        </w:rPr>
        <w:t>项目布局方案</w:t>
      </w:r>
      <w:bookmarkEnd w:id="132"/>
    </w:p>
    <w:p>
      <w:pPr>
        <w:adjustRightInd w:val="0"/>
        <w:snapToGrid w:val="0"/>
        <w:spacing w:line="570" w:lineRule="exact"/>
        <w:ind w:firstLine="560"/>
        <w:rPr>
          <w:rFonts w:eastAsia="仿宋_GB2312"/>
          <w:color w:val="000000"/>
          <w:sz w:val="32"/>
          <w:szCs w:val="32"/>
        </w:rPr>
      </w:pPr>
      <w:r>
        <w:rPr>
          <w:rFonts w:eastAsia="仿宋_GB2312"/>
          <w:color w:val="000000"/>
          <w:sz w:val="32"/>
          <w:szCs w:val="32"/>
        </w:rPr>
        <w:t>治理单元A。说明主要特征、生态问题、治理思路等。</w:t>
      </w:r>
    </w:p>
    <w:p>
      <w:pPr>
        <w:adjustRightInd w:val="0"/>
        <w:snapToGrid w:val="0"/>
        <w:spacing w:line="570" w:lineRule="exact"/>
        <w:ind w:firstLine="560"/>
        <w:rPr>
          <w:rFonts w:eastAsia="仿宋_GB2312"/>
          <w:color w:val="000000"/>
          <w:sz w:val="32"/>
          <w:szCs w:val="32"/>
        </w:rPr>
      </w:pPr>
      <w:r>
        <w:rPr>
          <w:rFonts w:eastAsia="仿宋_GB2312"/>
          <w:color w:val="000000"/>
          <w:sz w:val="32"/>
          <w:szCs w:val="32"/>
        </w:rPr>
        <w:t>治理单元B。说明主要特征、生态问题、治理思路等。</w:t>
      </w:r>
    </w:p>
    <w:p>
      <w:pPr>
        <w:adjustRightInd w:val="0"/>
        <w:snapToGrid w:val="0"/>
        <w:spacing w:line="570" w:lineRule="exact"/>
        <w:ind w:firstLine="560"/>
        <w:rPr>
          <w:rFonts w:eastAsia="仿宋_GB2312"/>
          <w:color w:val="000000"/>
          <w:sz w:val="32"/>
          <w:szCs w:val="32"/>
        </w:rPr>
      </w:pPr>
      <w:r>
        <w:rPr>
          <w:rFonts w:eastAsia="仿宋_GB2312"/>
          <w:color w:val="000000"/>
          <w:sz w:val="32"/>
          <w:szCs w:val="32"/>
        </w:rPr>
        <w:t>治理单元C。说明主要特征、生态问题、治理思路等。</w:t>
      </w:r>
    </w:p>
    <w:p>
      <w:pPr>
        <w:adjustRightInd w:val="0"/>
        <w:snapToGrid w:val="0"/>
        <w:spacing w:line="570" w:lineRule="exact"/>
        <w:ind w:firstLine="560"/>
        <w:rPr>
          <w:rFonts w:eastAsia="仿宋_GB2312"/>
          <w:color w:val="000000"/>
          <w:sz w:val="32"/>
          <w:szCs w:val="32"/>
        </w:rPr>
      </w:pPr>
      <w:r>
        <w:rPr>
          <w:rFonts w:eastAsia="仿宋_GB2312"/>
          <w:color w:val="000000"/>
          <w:sz w:val="32"/>
          <w:szCs w:val="32"/>
        </w:rPr>
        <w:t>......</w:t>
      </w:r>
    </w:p>
    <w:p>
      <w:pPr>
        <w:pStyle w:val="3"/>
        <w:keepNext w:val="0"/>
        <w:keepLines w:val="0"/>
        <w:numPr>
          <w:ilvl w:val="1"/>
          <w:numId w:val="1"/>
        </w:numPr>
        <w:adjustRightInd w:val="0"/>
        <w:snapToGrid w:val="0"/>
        <w:spacing w:before="0" w:after="0" w:line="570" w:lineRule="exact"/>
        <w:ind w:left="567" w:firstLine="0"/>
        <w:rPr>
          <w:rFonts w:ascii="Times New Roman" w:hAnsi="Times New Roman"/>
          <w:color w:val="000000"/>
        </w:rPr>
      </w:pPr>
      <w:bookmarkStart w:id="133" w:name="_Toc85643148"/>
      <w:r>
        <w:rPr>
          <w:rFonts w:ascii="Times New Roman" w:hAnsi="Times New Roman"/>
          <w:color w:val="000000"/>
        </w:rPr>
        <w:t>建设内容和规模</w:t>
      </w:r>
      <w:bookmarkEnd w:id="133"/>
    </w:p>
    <w:p>
      <w:pPr>
        <w:pStyle w:val="4"/>
        <w:keepNext w:val="0"/>
        <w:keepLines w:val="0"/>
        <w:numPr>
          <w:ilvl w:val="2"/>
          <w:numId w:val="1"/>
        </w:numPr>
        <w:adjustRightInd w:val="0"/>
        <w:snapToGrid w:val="0"/>
        <w:spacing w:line="570" w:lineRule="exact"/>
        <w:ind w:left="567" w:firstLine="0"/>
        <w:rPr>
          <w:rFonts w:eastAsia="楷体_GB2312"/>
          <w:color w:val="000000"/>
          <w:sz w:val="32"/>
        </w:rPr>
      </w:pPr>
      <w:bookmarkStart w:id="134" w:name="_Toc85643149"/>
      <w:r>
        <w:rPr>
          <w:rFonts w:eastAsia="楷体_GB2312"/>
          <w:color w:val="000000"/>
          <w:sz w:val="32"/>
        </w:rPr>
        <w:t>治理单元A生态综合治理</w:t>
      </w:r>
      <w:bookmarkEnd w:id="134"/>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说明本区域人工造乔木林、人工造灌木林、飞播造林、封山（沙）育林、退化林修复、人工种草、围栏封育、飞播种草、草原改良、湿地修复、荒漠化治理等建设规模。</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编制建设任务表。</w:t>
      </w:r>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135" w:name="_Toc85643150"/>
      <w:r>
        <w:rPr>
          <w:rFonts w:eastAsia="楷体_GB2312"/>
          <w:color w:val="000000"/>
          <w:sz w:val="32"/>
        </w:rPr>
        <w:t>治理单元B生态综合治理</w:t>
      </w:r>
      <w:bookmarkEnd w:id="135"/>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说明本区域人工造乔木林、人工造灌木林、飞播造林、封山（沙）育林、退化林修复、人工种草、围栏封育、飞播种草、草原改良、湿地修复、荒漠化治理等建设规模。</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编制建设任务表。</w:t>
      </w:r>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136" w:name="_Toc85643151"/>
      <w:r>
        <w:rPr>
          <w:rFonts w:eastAsia="楷体_GB2312"/>
          <w:color w:val="000000"/>
          <w:sz w:val="32"/>
        </w:rPr>
        <w:t>治理单元C生态综合治理</w:t>
      </w:r>
      <w:bookmarkEnd w:id="136"/>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说明本区域人工造乔木林、人工造灌木林、飞播造林、封山（沙）育林、退化林修复、人工种草、围栏封育、飞播种草、草原改良、湿地修复、荒漠化治理等建设规模。</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编制建设任务表。</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137" w:name="_Toc85643152"/>
      <w:r>
        <w:rPr>
          <w:rFonts w:ascii="Times New Roman" w:hAnsi="Times New Roman"/>
          <w:color w:val="000000"/>
        </w:rPr>
        <w:t>建设技术方案</w:t>
      </w:r>
      <w:bookmarkEnd w:id="137"/>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138" w:name="_Toc85643153"/>
      <w:r>
        <w:rPr>
          <w:rFonts w:eastAsia="楷体_GB2312"/>
          <w:color w:val="000000"/>
          <w:sz w:val="32"/>
        </w:rPr>
        <w:t>森林生态系统综合治理措施</w:t>
      </w:r>
      <w:bookmarkEnd w:id="138"/>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说明人工造乔木林、人工造灌木林、飞播造林、封山（沙）育林、退化林修复等森林生态系统综合治理技术方案。</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技术措施主要包括：树种选择、苗木规格、造林方式、种子及处理、飞行作业、封育类型、封育方式、退化林修复方式等。</w:t>
      </w:r>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139" w:name="_Toc85643154"/>
      <w:r>
        <w:rPr>
          <w:rFonts w:eastAsia="楷体_GB2312"/>
          <w:color w:val="000000"/>
          <w:sz w:val="32"/>
        </w:rPr>
        <w:t>草原生态系统综合治理措施</w:t>
      </w:r>
      <w:bookmarkEnd w:id="139"/>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说明人工种草、围栏封育、飞播种草、草原改良等草原生态系统综合治理技术方案。</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技术措施主要包括草种及种子处理、播种（补播）方式、围栏设施等。</w:t>
      </w:r>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140" w:name="_Toc85643155"/>
      <w:r>
        <w:rPr>
          <w:rFonts w:eastAsia="楷体_GB2312"/>
          <w:color w:val="000000"/>
          <w:sz w:val="32"/>
        </w:rPr>
        <w:t>湿地生态系统综合治理措施</w:t>
      </w:r>
      <w:bookmarkEnd w:id="140"/>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说明退化湿地修复技术方案。</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技术措施主要包括：湿地保护基础设施（管护基础设施、界桩界碑等管理标识、巡护系统等）、退化湿地修复（退化湿地恢复、湿地生态修复和野生动植物生境恢复）和科研监测（生态定位站、水文水质监测站、关键物种监测站等）等。</w:t>
      </w:r>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141" w:name="_Toc85643156"/>
      <w:r>
        <w:rPr>
          <w:rFonts w:eastAsia="楷体_GB2312"/>
          <w:color w:val="000000"/>
          <w:sz w:val="32"/>
        </w:rPr>
        <w:t>荒漠生态系统综合治理措施</w:t>
      </w:r>
      <w:bookmarkEnd w:id="141"/>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说明沙化土地综合治理和石漠化综合治理技术方案。</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技术措施主要包括：沙障类型及规格、土地整治机械作业、引水渠、蓄水池等，以及综合治理中涉及的林草治理技术措施（可参照5.3.1和5.3.2）。</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w:t>
      </w:r>
    </w:p>
    <w:p>
      <w:pPr>
        <w:adjustRightInd w:val="0"/>
        <w:snapToGrid w:val="0"/>
        <w:spacing w:line="596" w:lineRule="exact"/>
        <w:ind w:firstLine="560"/>
        <w:rPr>
          <w:color w:val="000000"/>
        </w:rPr>
      </w:pPr>
    </w:p>
    <w:bookmarkEnd w:id="115"/>
    <w:bookmarkEnd w:id="116"/>
    <w:p>
      <w:pPr>
        <w:pStyle w:val="2"/>
        <w:keepNext w:val="0"/>
        <w:keepLines w:val="0"/>
        <w:numPr>
          <w:ilvl w:val="0"/>
          <w:numId w:val="1"/>
        </w:numPr>
        <w:adjustRightInd w:val="0"/>
        <w:snapToGrid w:val="0"/>
        <w:spacing w:before="0" w:after="0" w:line="596" w:lineRule="exact"/>
        <w:rPr>
          <w:rFonts w:ascii="黑体" w:hAnsi="黑体"/>
          <w:color w:val="000000"/>
        </w:rPr>
      </w:pPr>
      <w:bookmarkStart w:id="142" w:name="_Toc14793"/>
      <w:bookmarkStart w:id="143" w:name="_Toc80020820"/>
      <w:bookmarkStart w:id="144" w:name="_Toc61342732"/>
      <w:bookmarkStart w:id="145" w:name="_Toc54598736"/>
      <w:r>
        <w:rPr>
          <w:rFonts w:ascii="黑体" w:hAnsi="黑体"/>
          <w:color w:val="000000"/>
        </w:rPr>
        <w:t xml:space="preserve"> </w:t>
      </w:r>
      <w:bookmarkStart w:id="146" w:name="_Toc85643157"/>
      <w:r>
        <w:rPr>
          <w:rFonts w:hint="eastAsia" w:ascii="黑体" w:hAnsi="黑体"/>
          <w:color w:val="000000"/>
        </w:rPr>
        <w:t xml:space="preserve"> </w:t>
      </w:r>
      <w:r>
        <w:rPr>
          <w:rFonts w:ascii="黑体" w:hAnsi="黑体"/>
          <w:color w:val="000000"/>
        </w:rPr>
        <w:t>防灾减灾、安全卫生、节能节水措施</w:t>
      </w:r>
      <w:bookmarkEnd w:id="142"/>
      <w:bookmarkEnd w:id="143"/>
      <w:bookmarkEnd w:id="146"/>
    </w:p>
    <w:p>
      <w:pPr>
        <w:adjustRightInd w:val="0"/>
        <w:snapToGrid w:val="0"/>
        <w:spacing w:line="596" w:lineRule="exact"/>
        <w:rPr>
          <w:rFonts w:eastAsia="仿宋_GB2312"/>
          <w:color w:val="000000"/>
          <w:sz w:val="32"/>
          <w:szCs w:val="32"/>
        </w:rPr>
      </w:pP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147" w:name="_Toc80020821"/>
      <w:bookmarkStart w:id="148" w:name="_Toc85643158"/>
      <w:bookmarkStart w:id="149" w:name="_Toc80004884"/>
      <w:r>
        <w:rPr>
          <w:rFonts w:ascii="Times New Roman" w:hAnsi="Times New Roman"/>
          <w:color w:val="000000"/>
        </w:rPr>
        <w:t>森林草原防火</w:t>
      </w:r>
      <w:bookmarkEnd w:id="147"/>
      <w:bookmarkEnd w:id="148"/>
      <w:bookmarkEnd w:id="149"/>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150" w:name="_Toc85643159"/>
      <w:r>
        <w:rPr>
          <w:rFonts w:eastAsia="楷体_GB2312"/>
          <w:color w:val="000000"/>
          <w:sz w:val="32"/>
        </w:rPr>
        <w:t>防火等级</w:t>
      </w:r>
      <w:bookmarkEnd w:id="150"/>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151" w:name="_Toc85643160"/>
      <w:r>
        <w:rPr>
          <w:rFonts w:eastAsia="楷体_GB2312"/>
          <w:color w:val="000000"/>
          <w:sz w:val="32"/>
        </w:rPr>
        <w:t>防火措施及方案</w:t>
      </w:r>
      <w:bookmarkEnd w:id="151"/>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r>
        <w:rPr>
          <w:rFonts w:ascii="Times New Roman" w:hAnsi="Times New Roman"/>
          <w:color w:val="000000"/>
        </w:rPr>
        <w:t>林草有害生物防控</w:t>
      </w:r>
    </w:p>
    <w:p>
      <w:pPr>
        <w:pStyle w:val="4"/>
        <w:keepNext w:val="0"/>
        <w:keepLines w:val="0"/>
        <w:numPr>
          <w:ilvl w:val="2"/>
          <w:numId w:val="1"/>
        </w:numPr>
        <w:adjustRightInd w:val="0"/>
        <w:snapToGrid w:val="0"/>
        <w:spacing w:line="596" w:lineRule="exact"/>
        <w:ind w:left="567" w:firstLine="0"/>
        <w:rPr>
          <w:rFonts w:eastAsia="楷体_GB2312"/>
          <w:color w:val="000000"/>
          <w:sz w:val="32"/>
        </w:rPr>
      </w:pPr>
      <w:r>
        <w:rPr>
          <w:rFonts w:eastAsia="楷体_GB2312"/>
          <w:color w:val="000000"/>
          <w:sz w:val="32"/>
        </w:rPr>
        <w:t>主要有害生物</w:t>
      </w:r>
    </w:p>
    <w:p>
      <w:pPr>
        <w:pStyle w:val="4"/>
        <w:keepNext w:val="0"/>
        <w:keepLines w:val="0"/>
        <w:numPr>
          <w:ilvl w:val="2"/>
          <w:numId w:val="1"/>
        </w:numPr>
        <w:adjustRightInd w:val="0"/>
        <w:snapToGrid w:val="0"/>
        <w:spacing w:line="596" w:lineRule="exact"/>
        <w:ind w:left="567" w:firstLine="0"/>
        <w:rPr>
          <w:rFonts w:eastAsia="楷体_GB2312"/>
          <w:color w:val="000000"/>
          <w:sz w:val="32"/>
        </w:rPr>
      </w:pPr>
      <w:r>
        <w:rPr>
          <w:rFonts w:eastAsia="楷体_GB2312"/>
          <w:color w:val="000000"/>
          <w:sz w:val="32"/>
        </w:rPr>
        <w:t>有害生物防治措施</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152" w:name="_Toc80004885"/>
      <w:bookmarkStart w:id="153" w:name="_Toc85643161"/>
      <w:bookmarkStart w:id="154" w:name="_Toc80020822"/>
      <w:r>
        <w:rPr>
          <w:rFonts w:ascii="Times New Roman" w:hAnsi="Times New Roman"/>
          <w:color w:val="000000"/>
        </w:rPr>
        <w:t>劳动安全</w:t>
      </w:r>
      <w:bookmarkEnd w:id="152"/>
      <w:bookmarkEnd w:id="153"/>
      <w:bookmarkEnd w:id="154"/>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155" w:name="_Toc85643162"/>
      <w:r>
        <w:rPr>
          <w:rFonts w:eastAsia="楷体_GB2312"/>
          <w:color w:val="000000"/>
          <w:sz w:val="32"/>
        </w:rPr>
        <w:t>编制依据</w:t>
      </w:r>
      <w:bookmarkEnd w:id="155"/>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156" w:name="_Toc85643163"/>
      <w:r>
        <w:rPr>
          <w:rFonts w:eastAsia="楷体_GB2312"/>
          <w:color w:val="000000"/>
          <w:sz w:val="32"/>
        </w:rPr>
        <w:t>主要危险有害因素分析</w:t>
      </w:r>
      <w:bookmarkEnd w:id="156"/>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157" w:name="_Toc85643164"/>
      <w:r>
        <w:rPr>
          <w:rFonts w:eastAsia="楷体_GB2312"/>
          <w:color w:val="000000"/>
          <w:sz w:val="32"/>
        </w:rPr>
        <w:t>劳动安全措施</w:t>
      </w:r>
      <w:bookmarkEnd w:id="157"/>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158" w:name="_Toc80004886"/>
      <w:bookmarkStart w:id="159" w:name="_Toc85643165"/>
      <w:bookmarkStart w:id="160" w:name="_Toc80020823"/>
      <w:r>
        <w:rPr>
          <w:rFonts w:ascii="Times New Roman" w:hAnsi="Times New Roman"/>
          <w:color w:val="000000"/>
        </w:rPr>
        <w:t>职业卫生</w:t>
      </w:r>
      <w:bookmarkEnd w:id="158"/>
      <w:bookmarkEnd w:id="159"/>
      <w:bookmarkEnd w:id="160"/>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161" w:name="_Toc85643166"/>
      <w:r>
        <w:rPr>
          <w:rFonts w:eastAsia="楷体_GB2312"/>
          <w:color w:val="000000"/>
          <w:sz w:val="32"/>
        </w:rPr>
        <w:t>编制依据</w:t>
      </w:r>
      <w:bookmarkEnd w:id="161"/>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162" w:name="_Toc85643167"/>
      <w:r>
        <w:rPr>
          <w:rFonts w:eastAsia="楷体_GB2312"/>
          <w:color w:val="000000"/>
          <w:sz w:val="32"/>
        </w:rPr>
        <w:t>影响职业卫生因素分析</w:t>
      </w:r>
      <w:bookmarkEnd w:id="162"/>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163" w:name="_Toc85643168"/>
      <w:r>
        <w:rPr>
          <w:rFonts w:eastAsia="楷体_GB2312"/>
          <w:color w:val="000000"/>
          <w:sz w:val="32"/>
        </w:rPr>
        <w:t>卫生防护措施</w:t>
      </w:r>
      <w:bookmarkEnd w:id="163"/>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164" w:name="_Toc85643169"/>
      <w:bookmarkStart w:id="165" w:name="_Toc80020824"/>
      <w:bookmarkStart w:id="166" w:name="_Toc80004887"/>
      <w:r>
        <w:rPr>
          <w:rFonts w:ascii="Times New Roman" w:hAnsi="Times New Roman"/>
          <w:color w:val="000000"/>
        </w:rPr>
        <w:t>节能节水</w:t>
      </w:r>
      <w:bookmarkEnd w:id="164"/>
      <w:bookmarkEnd w:id="165"/>
      <w:bookmarkEnd w:id="166"/>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167" w:name="_Toc85643170"/>
      <w:r>
        <w:rPr>
          <w:rFonts w:eastAsia="楷体_GB2312"/>
          <w:color w:val="000000"/>
          <w:sz w:val="32"/>
        </w:rPr>
        <w:t>节能措施</w:t>
      </w:r>
      <w:bookmarkEnd w:id="167"/>
    </w:p>
    <w:p>
      <w:pPr>
        <w:pStyle w:val="4"/>
        <w:keepNext w:val="0"/>
        <w:keepLines w:val="0"/>
        <w:numPr>
          <w:ilvl w:val="2"/>
          <w:numId w:val="1"/>
        </w:numPr>
        <w:adjustRightInd w:val="0"/>
        <w:snapToGrid w:val="0"/>
        <w:spacing w:line="596" w:lineRule="exact"/>
        <w:ind w:left="567" w:firstLine="0"/>
        <w:rPr>
          <w:rFonts w:eastAsia="楷体_GB2312"/>
          <w:color w:val="000000"/>
          <w:sz w:val="32"/>
        </w:rPr>
      </w:pPr>
      <w:bookmarkStart w:id="168" w:name="_Toc85643171"/>
      <w:r>
        <w:rPr>
          <w:rFonts w:eastAsia="楷体_GB2312"/>
          <w:color w:val="000000"/>
          <w:sz w:val="32"/>
        </w:rPr>
        <w:t>节水措施</w:t>
      </w:r>
      <w:bookmarkEnd w:id="168"/>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（1）节水生产技术措施</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（2）节水工程措施</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（3）旱节水措施</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（4）水的循环使用</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（5）水耗指标及分析</w:t>
      </w:r>
    </w:p>
    <w:p>
      <w:pPr>
        <w:spacing w:line="580" w:lineRule="exact"/>
        <w:ind w:firstLine="560"/>
        <w:rPr>
          <w:rFonts w:eastAsia="方正仿宋_GBK"/>
          <w:color w:val="000000"/>
        </w:rPr>
      </w:pPr>
    </w:p>
    <w:p>
      <w:pPr>
        <w:pStyle w:val="2"/>
        <w:keepNext w:val="0"/>
        <w:keepLines w:val="0"/>
        <w:numPr>
          <w:ilvl w:val="0"/>
          <w:numId w:val="1"/>
        </w:numPr>
        <w:adjustRightInd w:val="0"/>
        <w:snapToGrid w:val="0"/>
        <w:spacing w:before="0" w:after="0" w:line="596" w:lineRule="exact"/>
        <w:rPr>
          <w:rFonts w:ascii="黑体" w:hAnsi="黑体"/>
          <w:color w:val="000000"/>
        </w:rPr>
      </w:pPr>
      <w:bookmarkStart w:id="169" w:name="_Toc80020834"/>
      <w:bookmarkStart w:id="170" w:name="_Toc85643185"/>
      <w:bookmarkStart w:id="171" w:name="_Toc22499"/>
      <w:bookmarkStart w:id="172" w:name="_Toc61342745"/>
      <w:bookmarkStart w:id="173" w:name="_Toc54598747"/>
      <w:r>
        <w:rPr>
          <w:rFonts w:ascii="黑体" w:hAnsi="黑体"/>
          <w:color w:val="000000"/>
        </w:rPr>
        <w:t xml:space="preserve">  项目组织管理</w:t>
      </w:r>
      <w:bookmarkEnd w:id="169"/>
      <w:bookmarkEnd w:id="170"/>
      <w:bookmarkEnd w:id="171"/>
      <w:bookmarkEnd w:id="172"/>
      <w:bookmarkEnd w:id="173"/>
    </w:p>
    <w:p>
      <w:pPr>
        <w:adjustRightInd w:val="0"/>
        <w:snapToGrid w:val="0"/>
        <w:spacing w:line="596" w:lineRule="exact"/>
        <w:ind w:firstLine="560"/>
        <w:rPr>
          <w:rFonts w:eastAsia="方正仿宋_GBK"/>
          <w:color w:val="000000"/>
        </w:rPr>
      </w:pP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遵照国家关于项目模式的相关规定，结合项目自身特点和实施环境，因地制宜选择适应性强的项目实施模式。</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174" w:name="_Toc80020835"/>
      <w:bookmarkStart w:id="175" w:name="_Toc85643186"/>
      <w:bookmarkStart w:id="176" w:name="_Toc80004898"/>
      <w:r>
        <w:rPr>
          <w:rFonts w:ascii="Times New Roman" w:hAnsi="Times New Roman"/>
          <w:color w:val="000000"/>
        </w:rPr>
        <w:t>建设管理</w:t>
      </w:r>
      <w:bookmarkEnd w:id="174"/>
      <w:bookmarkEnd w:id="175"/>
      <w:bookmarkEnd w:id="176"/>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按照国家有关建设管理要求，拟定项目建设管理的组织机构（项目法人），对项目的质量管理、计划管理、工程管理、资金管理、信息（档案）管理等提出管理方案。</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按照精细化管理的要求，在实施项目全过程实施闭环管理，提出“事前、事中、事后”各环节管理方案，特别要说明落地上图、监督检查、监测评估等方案。</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在工程管理中提出编制作业设计（或初步设计）的要求，对用地、用水、技术措施等进行合理性评价，并监督实施的方案。</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177" w:name="_Toc85643187"/>
      <w:bookmarkStart w:id="178" w:name="_Toc80020836"/>
      <w:bookmarkStart w:id="179" w:name="_Toc80004899"/>
      <w:r>
        <w:rPr>
          <w:rFonts w:ascii="Times New Roman" w:hAnsi="Times New Roman"/>
          <w:color w:val="000000"/>
        </w:rPr>
        <w:t>运行管理</w:t>
      </w:r>
      <w:bookmarkEnd w:id="177"/>
      <w:bookmarkEnd w:id="178"/>
      <w:bookmarkEnd w:id="179"/>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根据项目特点，拟定项目运行管理模式（机制）、保障措施及人员编制（劳动定员）。</w:t>
      </w:r>
    </w:p>
    <w:p>
      <w:pPr>
        <w:adjustRightInd w:val="0"/>
        <w:snapToGrid w:val="0"/>
        <w:spacing w:line="596" w:lineRule="exact"/>
        <w:ind w:firstLine="560"/>
        <w:rPr>
          <w:color w:val="000000"/>
        </w:rPr>
      </w:pPr>
    </w:p>
    <w:p>
      <w:pPr>
        <w:pStyle w:val="2"/>
        <w:keepNext w:val="0"/>
        <w:keepLines w:val="0"/>
        <w:numPr>
          <w:ilvl w:val="0"/>
          <w:numId w:val="1"/>
        </w:numPr>
        <w:adjustRightInd w:val="0"/>
        <w:snapToGrid w:val="0"/>
        <w:spacing w:before="0" w:after="0" w:line="596" w:lineRule="exact"/>
        <w:rPr>
          <w:rFonts w:ascii="黑体" w:hAnsi="黑体"/>
          <w:color w:val="000000"/>
        </w:rPr>
      </w:pPr>
      <w:bookmarkStart w:id="180" w:name="_Toc31188"/>
      <w:bookmarkStart w:id="181" w:name="_Toc85643181"/>
      <w:bookmarkStart w:id="182" w:name="_Toc80020830"/>
      <w:bookmarkStart w:id="183" w:name="_Toc9382"/>
      <w:bookmarkStart w:id="184" w:name="_Toc54598750"/>
      <w:bookmarkStart w:id="185" w:name="_Toc61342748"/>
      <w:bookmarkStart w:id="186" w:name="_Toc2093"/>
      <w:bookmarkStart w:id="187" w:name="_Toc80020837"/>
      <w:r>
        <w:rPr>
          <w:rFonts w:ascii="黑体" w:hAnsi="黑体"/>
          <w:color w:val="000000"/>
        </w:rPr>
        <w:t xml:space="preserve">  招标方案</w:t>
      </w:r>
      <w:bookmarkEnd w:id="180"/>
      <w:bookmarkEnd w:id="181"/>
      <w:bookmarkEnd w:id="182"/>
    </w:p>
    <w:p>
      <w:pPr>
        <w:adjustRightInd w:val="0"/>
        <w:snapToGrid w:val="0"/>
        <w:spacing w:line="596" w:lineRule="exact"/>
        <w:ind w:firstLine="560"/>
        <w:rPr>
          <w:rFonts w:eastAsia="仿宋_GB2312"/>
          <w:color w:val="000000"/>
          <w:sz w:val="32"/>
          <w:szCs w:val="32"/>
        </w:rPr>
      </w:pP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根据规定依法必须进行招标的工程可行性研究报告须明确招标范围、招标方式、组织形式，提供招标方案备案表。</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188" w:name="_Toc85643182"/>
      <w:bookmarkStart w:id="189" w:name="_Toc80020831"/>
      <w:bookmarkStart w:id="190" w:name="_Toc80004894"/>
      <w:r>
        <w:rPr>
          <w:rFonts w:ascii="Times New Roman" w:hAnsi="Times New Roman"/>
          <w:color w:val="000000"/>
        </w:rPr>
        <w:t>招标范围</w:t>
      </w:r>
      <w:bookmarkEnd w:id="188"/>
      <w:bookmarkEnd w:id="189"/>
      <w:bookmarkEnd w:id="190"/>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说明建设项目的勘察、设计、施工、监理以及重要设备、材料等采购活动的具体招标范围（全部或者部分招标）。</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191" w:name="_Toc85643183"/>
      <w:bookmarkStart w:id="192" w:name="_Toc80020833"/>
      <w:bookmarkStart w:id="193" w:name="_Toc80004896"/>
      <w:r>
        <w:rPr>
          <w:rFonts w:ascii="Times New Roman" w:hAnsi="Times New Roman"/>
          <w:color w:val="000000"/>
        </w:rPr>
        <w:t>招标方式</w:t>
      </w:r>
      <w:bookmarkEnd w:id="191"/>
      <w:bookmarkEnd w:id="192"/>
      <w:bookmarkEnd w:id="193"/>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公开招标或邀请招标。</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194" w:name="_Toc80020832"/>
      <w:bookmarkStart w:id="195" w:name="_Toc80004895"/>
      <w:bookmarkStart w:id="196" w:name="_Toc85643184"/>
      <w:r>
        <w:rPr>
          <w:rFonts w:ascii="Times New Roman" w:hAnsi="Times New Roman"/>
          <w:color w:val="000000"/>
        </w:rPr>
        <w:t>招标组织形式</w:t>
      </w:r>
      <w:bookmarkEnd w:id="194"/>
      <w:bookmarkEnd w:id="195"/>
      <w:bookmarkEnd w:id="196"/>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委托招标或自行招标。自行招标需明确说明建设单位自行招标的能力情况。</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说明项目的招标范围、招标组织形式、招标方式等内容。</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编制招标基本情况表。</w:t>
      </w:r>
    </w:p>
    <w:p>
      <w:pPr>
        <w:adjustRightInd w:val="0"/>
        <w:snapToGrid w:val="0"/>
        <w:spacing w:line="596" w:lineRule="exact"/>
        <w:ind w:firstLine="720"/>
        <w:rPr>
          <w:color w:val="000000"/>
          <w:sz w:val="36"/>
          <w:szCs w:val="28"/>
        </w:rPr>
      </w:pPr>
    </w:p>
    <w:p>
      <w:pPr>
        <w:pStyle w:val="2"/>
        <w:keepNext w:val="0"/>
        <w:keepLines w:val="0"/>
        <w:numPr>
          <w:ilvl w:val="0"/>
          <w:numId w:val="1"/>
        </w:numPr>
        <w:adjustRightInd w:val="0"/>
        <w:snapToGrid w:val="0"/>
        <w:spacing w:before="0" w:after="0" w:line="596" w:lineRule="exact"/>
        <w:rPr>
          <w:rFonts w:ascii="黑体" w:hAnsi="黑体"/>
          <w:color w:val="000000"/>
        </w:rPr>
      </w:pPr>
      <w:r>
        <w:rPr>
          <w:rFonts w:ascii="黑体" w:hAnsi="黑体"/>
          <w:color w:val="000000"/>
        </w:rPr>
        <w:t xml:space="preserve"> </w:t>
      </w:r>
      <w:bookmarkStart w:id="197" w:name="_Toc85643188"/>
      <w:r>
        <w:rPr>
          <w:rFonts w:ascii="黑体" w:hAnsi="黑体"/>
          <w:color w:val="000000"/>
        </w:rPr>
        <w:t xml:space="preserve"> 实施</w:t>
      </w:r>
      <w:bookmarkEnd w:id="183"/>
      <w:bookmarkEnd w:id="184"/>
      <w:bookmarkEnd w:id="185"/>
      <w:r>
        <w:rPr>
          <w:rFonts w:ascii="黑体" w:hAnsi="黑体"/>
          <w:color w:val="000000"/>
        </w:rPr>
        <w:t>进度</w:t>
      </w:r>
      <w:bookmarkEnd w:id="186"/>
      <w:bookmarkEnd w:id="187"/>
      <w:bookmarkEnd w:id="197"/>
    </w:p>
    <w:p>
      <w:pPr>
        <w:adjustRightInd w:val="0"/>
        <w:snapToGrid w:val="0"/>
        <w:spacing w:line="596" w:lineRule="exact"/>
        <w:ind w:firstLine="560"/>
        <w:rPr>
          <w:rFonts w:eastAsia="方正仿宋_GBK"/>
          <w:color w:val="000000"/>
        </w:rPr>
      </w:pP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制定项目进度和分级控制体系，制订总进度计划、进度检查与协调、进度信息沟通等管理制度，说明可能影响进度的不确定因素，提出进度管理程序。</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项目采用逐年实施的方式，逐渐推进。应依据总体实施计划和各项目片区实施计划，按实施年度确定子工程，分解建设任务和工程量，提出年度实施计划。</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实施计划应做到投资计划与建设工期同步，按工程进度确定资金安排。年度投资计划应根据年度建设计划确定，应明确年度资金的筹措方式和分配方案。</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198" w:name="_Toc85643189"/>
      <w:r>
        <w:rPr>
          <w:rFonts w:ascii="Times New Roman" w:hAnsi="Times New Roman"/>
          <w:color w:val="000000"/>
        </w:rPr>
        <w:t>项目建设期</w:t>
      </w:r>
      <w:bookmarkEnd w:id="198"/>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说明项目建设期。</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r>
        <w:rPr>
          <w:rFonts w:ascii="Times New Roman" w:hAnsi="Times New Roman"/>
          <w:color w:val="000000"/>
        </w:rPr>
        <w:t>项目总体进度安排</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制定项目进度计划表。</w:t>
      </w:r>
    </w:p>
    <w:p>
      <w:pPr>
        <w:adjustRightInd w:val="0"/>
        <w:snapToGrid w:val="0"/>
        <w:spacing w:line="596" w:lineRule="exact"/>
        <w:ind w:firstLine="560"/>
        <w:rPr>
          <w:rFonts w:hint="eastAsia"/>
          <w:color w:val="000000"/>
        </w:rPr>
      </w:pPr>
    </w:p>
    <w:p>
      <w:pPr>
        <w:adjustRightInd w:val="0"/>
        <w:snapToGrid w:val="0"/>
        <w:spacing w:line="596" w:lineRule="exact"/>
        <w:ind w:firstLine="560"/>
        <w:rPr>
          <w:color w:val="000000"/>
        </w:rPr>
      </w:pPr>
    </w:p>
    <w:p>
      <w:pPr>
        <w:pStyle w:val="2"/>
        <w:keepNext w:val="0"/>
        <w:keepLines w:val="0"/>
        <w:numPr>
          <w:ilvl w:val="0"/>
          <w:numId w:val="1"/>
        </w:numPr>
        <w:adjustRightInd w:val="0"/>
        <w:snapToGrid w:val="0"/>
        <w:spacing w:before="0" w:after="0" w:line="596" w:lineRule="exact"/>
        <w:rPr>
          <w:rFonts w:ascii="黑体" w:hAnsi="黑体"/>
          <w:color w:val="000000"/>
        </w:rPr>
      </w:pPr>
      <w:bookmarkStart w:id="199" w:name="_Toc54598742"/>
      <w:bookmarkStart w:id="200" w:name="_Toc80020838"/>
      <w:bookmarkStart w:id="201" w:name="_Toc61342738"/>
      <w:bookmarkStart w:id="202" w:name="_Toc15964"/>
      <w:r>
        <w:rPr>
          <w:rFonts w:ascii="黑体" w:hAnsi="黑体"/>
          <w:color w:val="000000"/>
        </w:rPr>
        <w:t xml:space="preserve">  </w:t>
      </w:r>
      <w:bookmarkStart w:id="203" w:name="_Toc85643172"/>
      <w:r>
        <w:rPr>
          <w:rFonts w:ascii="黑体" w:hAnsi="黑体"/>
          <w:color w:val="000000"/>
        </w:rPr>
        <w:t>投资估算</w:t>
      </w:r>
      <w:bookmarkEnd w:id="199"/>
      <w:r>
        <w:rPr>
          <w:rFonts w:ascii="黑体" w:hAnsi="黑体"/>
          <w:color w:val="000000"/>
        </w:rPr>
        <w:t>及</w:t>
      </w:r>
      <w:bookmarkEnd w:id="200"/>
      <w:bookmarkEnd w:id="201"/>
      <w:bookmarkEnd w:id="202"/>
      <w:bookmarkEnd w:id="203"/>
      <w:r>
        <w:rPr>
          <w:rFonts w:ascii="黑体" w:hAnsi="黑体"/>
          <w:color w:val="000000"/>
        </w:rPr>
        <w:t>效益分析</w:t>
      </w:r>
    </w:p>
    <w:p>
      <w:pPr>
        <w:adjustRightInd w:val="0"/>
        <w:snapToGrid w:val="0"/>
        <w:spacing w:line="596" w:lineRule="exact"/>
        <w:rPr>
          <w:color w:val="000000"/>
        </w:rPr>
      </w:pP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204" w:name="_Toc61342739"/>
      <w:bookmarkStart w:id="205" w:name="_Toc80020839"/>
      <w:bookmarkStart w:id="206" w:name="_Toc80004902"/>
      <w:bookmarkStart w:id="207" w:name="_Toc85643173"/>
      <w:bookmarkStart w:id="208" w:name="_Toc61342740"/>
      <w:bookmarkStart w:id="209" w:name="_Toc54598743"/>
      <w:r>
        <w:rPr>
          <w:rFonts w:ascii="Times New Roman" w:hAnsi="Times New Roman"/>
          <w:color w:val="000000"/>
        </w:rPr>
        <w:t>投资估算</w:t>
      </w:r>
      <w:bookmarkEnd w:id="204"/>
      <w:r>
        <w:rPr>
          <w:rFonts w:ascii="Times New Roman" w:hAnsi="Times New Roman"/>
          <w:color w:val="000000"/>
        </w:rPr>
        <w:t>编制说明</w:t>
      </w:r>
      <w:bookmarkEnd w:id="205"/>
      <w:bookmarkEnd w:id="206"/>
      <w:bookmarkEnd w:id="207"/>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说明估算的编制原则、编制依据和价格水平年。</w:t>
      </w:r>
    </w:p>
    <w:bookmarkEnd w:id="208"/>
    <w:bookmarkEnd w:id="209"/>
    <w:p>
      <w:pPr>
        <w:adjustRightInd w:val="0"/>
        <w:snapToGrid w:val="0"/>
        <w:spacing w:line="596" w:lineRule="exact"/>
        <w:ind w:firstLine="560"/>
        <w:rPr>
          <w:rFonts w:eastAsia="仿宋_GB2312"/>
          <w:color w:val="000000"/>
          <w:sz w:val="32"/>
          <w:szCs w:val="32"/>
        </w:rPr>
      </w:pPr>
      <w:r>
        <w:rPr>
          <w:rFonts w:eastAsia="仿宋_GB2312"/>
          <w:color w:val="000000"/>
          <w:sz w:val="32"/>
          <w:szCs w:val="32"/>
        </w:rPr>
        <w:t>（1）说明编制原则、依据和方法。</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（2）说明投资估算主要指标，采用的定额、编制规定、编制投资估算的价格水平年、主要材料和设备价格确定的依据等，估算主要基础单价和工程单价。</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（3）确定其他费用、预备费和有关税费的取费标准。</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（4）按照建设内容和项目规模细分投资需求。</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210" w:name="_Toc61342741"/>
      <w:bookmarkStart w:id="211" w:name="_Toc54598744"/>
      <w:bookmarkStart w:id="212" w:name="_Toc85643174"/>
      <w:bookmarkStart w:id="213" w:name="_Toc80004903"/>
      <w:bookmarkStart w:id="214" w:name="_Toc80020840"/>
      <w:r>
        <w:rPr>
          <w:rFonts w:ascii="Times New Roman" w:hAnsi="Times New Roman"/>
          <w:color w:val="000000"/>
        </w:rPr>
        <w:t>建设</w:t>
      </w:r>
      <w:bookmarkEnd w:id="210"/>
      <w:bookmarkEnd w:id="211"/>
      <w:r>
        <w:rPr>
          <w:rFonts w:ascii="Times New Roman" w:hAnsi="Times New Roman"/>
          <w:color w:val="000000"/>
        </w:rPr>
        <w:t>投资估算</w:t>
      </w:r>
      <w:bookmarkEnd w:id="212"/>
      <w:bookmarkEnd w:id="213"/>
      <w:bookmarkEnd w:id="214"/>
      <w:bookmarkStart w:id="215" w:name="_Toc17897"/>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项目建设投资是在建设规模、工程技术方案的基础上，估算项目所需要的资金和年度投资计划。</w:t>
      </w:r>
      <w:bookmarkEnd w:id="215"/>
      <w:r>
        <w:rPr>
          <w:rFonts w:eastAsia="仿宋_GB2312"/>
          <w:color w:val="000000"/>
          <w:sz w:val="32"/>
          <w:szCs w:val="32"/>
        </w:rPr>
        <w:t xml:space="preserve"> </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编制投资估算汇总表和投资估算表。</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216" w:name="_Toc61342742"/>
      <w:bookmarkStart w:id="217" w:name="_Toc85643175"/>
      <w:bookmarkStart w:id="218" w:name="_Toc80020841"/>
      <w:bookmarkStart w:id="219" w:name="_Toc80004904"/>
      <w:r>
        <w:rPr>
          <w:rFonts w:ascii="Times New Roman" w:hAnsi="Times New Roman"/>
          <w:color w:val="000000"/>
        </w:rPr>
        <w:t>资金</w:t>
      </w:r>
      <w:bookmarkEnd w:id="216"/>
      <w:r>
        <w:rPr>
          <w:rFonts w:ascii="Times New Roman" w:hAnsi="Times New Roman"/>
          <w:color w:val="000000"/>
        </w:rPr>
        <w:t>来源与使用计划</w:t>
      </w:r>
      <w:bookmarkEnd w:id="217"/>
      <w:bookmarkEnd w:id="218"/>
      <w:bookmarkEnd w:id="219"/>
      <w:r>
        <w:rPr>
          <w:rFonts w:ascii="Times New Roman" w:hAnsi="Times New Roman"/>
          <w:color w:val="000000"/>
        </w:rPr>
        <w:t xml:space="preserve">   </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应明确项目投资组成、资金来源；根据投资分摊方式，确定资金筹措方案；配套资金应附相应的承诺意见。</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（1）鼓励和支持社会资金参与，明确资金来源与占比。</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（2）说明资金使用总计划与分年度计划，明确中央、地方及社会资金来源。</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编制资金筹措表。</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r>
        <w:rPr>
          <w:rFonts w:ascii="Times New Roman" w:hAnsi="Times New Roman"/>
          <w:color w:val="000000"/>
        </w:rPr>
        <w:t>效益分析</w:t>
      </w:r>
    </w:p>
    <w:p>
      <w:pPr>
        <w:pStyle w:val="4"/>
        <w:keepNext w:val="0"/>
        <w:keepLines w:val="0"/>
        <w:numPr>
          <w:ilvl w:val="2"/>
          <w:numId w:val="1"/>
        </w:numPr>
        <w:adjustRightInd w:val="0"/>
        <w:snapToGrid w:val="0"/>
        <w:spacing w:line="596" w:lineRule="exact"/>
        <w:ind w:left="567" w:firstLine="0"/>
        <w:rPr>
          <w:rFonts w:eastAsia="楷体_GB2312"/>
          <w:color w:val="000000"/>
          <w:sz w:val="32"/>
        </w:rPr>
      </w:pPr>
      <w:r>
        <w:rPr>
          <w:rFonts w:eastAsia="楷体_GB2312"/>
          <w:color w:val="000000"/>
          <w:sz w:val="32"/>
        </w:rPr>
        <w:t>生态效益</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分析项目建设的生态效益。</w:t>
      </w:r>
    </w:p>
    <w:p>
      <w:pPr>
        <w:pStyle w:val="4"/>
        <w:keepNext w:val="0"/>
        <w:keepLines w:val="0"/>
        <w:numPr>
          <w:ilvl w:val="2"/>
          <w:numId w:val="1"/>
        </w:numPr>
        <w:adjustRightInd w:val="0"/>
        <w:snapToGrid w:val="0"/>
        <w:spacing w:line="596" w:lineRule="exact"/>
        <w:ind w:left="567" w:firstLine="0"/>
        <w:rPr>
          <w:rFonts w:eastAsia="楷体_GB2312"/>
          <w:color w:val="000000"/>
          <w:sz w:val="32"/>
        </w:rPr>
      </w:pPr>
      <w:r>
        <w:rPr>
          <w:rFonts w:eastAsia="楷体_GB2312"/>
          <w:color w:val="000000"/>
          <w:sz w:val="32"/>
        </w:rPr>
        <w:t>社会效益</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分析项目建设的社会效益。</w:t>
      </w:r>
    </w:p>
    <w:p>
      <w:pPr>
        <w:pStyle w:val="4"/>
        <w:keepNext w:val="0"/>
        <w:keepLines w:val="0"/>
        <w:numPr>
          <w:ilvl w:val="2"/>
          <w:numId w:val="1"/>
        </w:numPr>
        <w:adjustRightInd w:val="0"/>
        <w:snapToGrid w:val="0"/>
        <w:spacing w:line="596" w:lineRule="exact"/>
        <w:ind w:left="567" w:firstLine="0"/>
        <w:rPr>
          <w:rFonts w:eastAsia="楷体_GB2312"/>
          <w:color w:val="000000"/>
          <w:sz w:val="32"/>
        </w:rPr>
      </w:pPr>
      <w:r>
        <w:rPr>
          <w:rFonts w:eastAsia="楷体_GB2312"/>
          <w:color w:val="000000"/>
          <w:sz w:val="32"/>
        </w:rPr>
        <w:t>经济效益</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分析项目建设的经济效益。</w:t>
      </w:r>
    </w:p>
    <w:p>
      <w:pPr>
        <w:adjustRightInd w:val="0"/>
        <w:snapToGrid w:val="0"/>
        <w:spacing w:line="596" w:lineRule="exact"/>
        <w:jc w:val="left"/>
        <w:rPr>
          <w:color w:val="000000"/>
        </w:rPr>
      </w:pPr>
    </w:p>
    <w:bookmarkEnd w:id="144"/>
    <w:bookmarkEnd w:id="145"/>
    <w:p>
      <w:pPr>
        <w:pStyle w:val="2"/>
        <w:keepNext w:val="0"/>
        <w:keepLines w:val="0"/>
        <w:numPr>
          <w:ilvl w:val="0"/>
          <w:numId w:val="1"/>
        </w:numPr>
        <w:adjustRightInd w:val="0"/>
        <w:snapToGrid w:val="0"/>
        <w:spacing w:before="0" w:after="0" w:line="596" w:lineRule="exact"/>
        <w:rPr>
          <w:rFonts w:ascii="黑体" w:hAnsi="黑体"/>
          <w:color w:val="000000"/>
        </w:rPr>
      </w:pPr>
      <w:bookmarkStart w:id="220" w:name="_Toc80020825"/>
      <w:bookmarkStart w:id="221" w:name="_Toc32595"/>
      <w:r>
        <w:rPr>
          <w:rFonts w:ascii="黑体" w:hAnsi="黑体"/>
          <w:color w:val="000000"/>
        </w:rPr>
        <w:t xml:space="preserve">  </w:t>
      </w:r>
      <w:bookmarkStart w:id="222" w:name="_Toc85643176"/>
      <w:r>
        <w:rPr>
          <w:rFonts w:ascii="黑体" w:hAnsi="黑体"/>
          <w:color w:val="000000"/>
        </w:rPr>
        <w:t>环境</w:t>
      </w:r>
      <w:bookmarkStart w:id="223" w:name="_Toc54598738"/>
      <w:bookmarkStart w:id="224" w:name="_Toc61342734"/>
      <w:r>
        <w:rPr>
          <w:rFonts w:ascii="黑体" w:hAnsi="黑体"/>
          <w:color w:val="000000"/>
        </w:rPr>
        <w:t>影响</w:t>
      </w:r>
      <w:bookmarkEnd w:id="220"/>
      <w:bookmarkEnd w:id="221"/>
      <w:bookmarkEnd w:id="222"/>
      <w:r>
        <w:rPr>
          <w:rFonts w:ascii="黑体" w:hAnsi="黑体"/>
          <w:color w:val="000000"/>
        </w:rPr>
        <w:t>分析</w:t>
      </w:r>
    </w:p>
    <w:p>
      <w:pPr>
        <w:adjustRightInd w:val="0"/>
        <w:snapToGrid w:val="0"/>
        <w:spacing w:line="596" w:lineRule="exact"/>
        <w:rPr>
          <w:color w:val="000000"/>
        </w:rPr>
      </w:pP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225" w:name="_Toc80020826"/>
      <w:bookmarkStart w:id="226" w:name="_Toc80004889"/>
      <w:bookmarkStart w:id="227" w:name="_Toc85643177"/>
      <w:r>
        <w:rPr>
          <w:rFonts w:ascii="Times New Roman" w:hAnsi="Times New Roman"/>
          <w:color w:val="000000"/>
        </w:rPr>
        <w:t>环境现状</w:t>
      </w:r>
      <w:bookmarkEnd w:id="223"/>
      <w:bookmarkEnd w:id="224"/>
      <w:bookmarkEnd w:id="225"/>
      <w:bookmarkEnd w:id="226"/>
      <w:bookmarkEnd w:id="227"/>
      <w:bookmarkStart w:id="228" w:name="_Toc54598739"/>
      <w:bookmarkStart w:id="229" w:name="_Toc61342735"/>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项目周边所在地的土壤、空气、水、噪音、生态及社会环境现状。</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项目所在地的污染物排放标准。</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230" w:name="_Toc80020827"/>
      <w:bookmarkStart w:id="231" w:name="_Toc80004890"/>
      <w:bookmarkStart w:id="232" w:name="_Toc85643178"/>
      <w:r>
        <w:rPr>
          <w:rFonts w:ascii="Times New Roman" w:hAnsi="Times New Roman"/>
          <w:color w:val="000000"/>
        </w:rPr>
        <w:t>环境影响</w:t>
      </w:r>
      <w:bookmarkEnd w:id="228"/>
      <w:bookmarkEnd w:id="229"/>
      <w:bookmarkEnd w:id="230"/>
      <w:bookmarkEnd w:id="231"/>
      <w:bookmarkEnd w:id="232"/>
      <w:bookmarkStart w:id="233" w:name="_Toc61342736"/>
      <w:bookmarkStart w:id="234" w:name="_Toc54598740"/>
      <w:r>
        <w:rPr>
          <w:rFonts w:ascii="Times New Roman" w:hAnsi="Times New Roman"/>
          <w:color w:val="000000"/>
        </w:rPr>
        <w:t>分析</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分析项目在工程建设和投入运营过程中对环境可能产生的破坏因素以及对环境的影响程度，包括水土流失情况，对地形、地貌、植被及整个流域和区域环境及生态系统的综合影响等，主要包括：</w:t>
      </w:r>
    </w:p>
    <w:p>
      <w:pPr>
        <w:pStyle w:val="12"/>
        <w:numPr>
          <w:ilvl w:val="0"/>
          <w:numId w:val="2"/>
        </w:numPr>
        <w:adjustRightInd w:val="0"/>
        <w:snapToGrid w:val="0"/>
        <w:spacing w:line="596" w:lineRule="exact"/>
        <w:rPr>
          <w:rFonts w:eastAsia="仿宋_GB2312"/>
          <w:color w:val="000000"/>
          <w:sz w:val="32"/>
          <w:szCs w:val="32"/>
        </w:rPr>
      </w:pPr>
      <w:r>
        <w:rPr>
          <w:rFonts w:eastAsia="仿宋_GB2312"/>
          <w:color w:val="000000"/>
          <w:sz w:val="32"/>
          <w:szCs w:val="32"/>
        </w:rPr>
        <w:t>整地方式对水土流失的影响；</w:t>
      </w:r>
    </w:p>
    <w:p>
      <w:pPr>
        <w:pStyle w:val="12"/>
        <w:numPr>
          <w:ilvl w:val="0"/>
          <w:numId w:val="2"/>
        </w:numPr>
        <w:adjustRightInd w:val="0"/>
        <w:snapToGrid w:val="0"/>
        <w:spacing w:line="596" w:lineRule="exact"/>
        <w:rPr>
          <w:rFonts w:eastAsia="仿宋_GB2312"/>
          <w:color w:val="000000"/>
          <w:sz w:val="32"/>
          <w:szCs w:val="32"/>
        </w:rPr>
      </w:pPr>
      <w:r>
        <w:rPr>
          <w:rFonts w:eastAsia="仿宋_GB2312"/>
          <w:color w:val="000000"/>
          <w:sz w:val="32"/>
          <w:szCs w:val="32"/>
        </w:rPr>
        <w:t>施肥、农药对环境的影响；</w:t>
      </w:r>
    </w:p>
    <w:p>
      <w:pPr>
        <w:pStyle w:val="12"/>
        <w:numPr>
          <w:ilvl w:val="0"/>
          <w:numId w:val="2"/>
        </w:numPr>
        <w:adjustRightInd w:val="0"/>
        <w:snapToGrid w:val="0"/>
        <w:spacing w:line="596" w:lineRule="exact"/>
        <w:rPr>
          <w:rFonts w:eastAsia="仿宋_GB2312"/>
          <w:color w:val="000000"/>
          <w:sz w:val="32"/>
          <w:szCs w:val="32"/>
        </w:rPr>
      </w:pPr>
      <w:r>
        <w:rPr>
          <w:rFonts w:eastAsia="仿宋_GB2312"/>
          <w:color w:val="000000"/>
          <w:sz w:val="32"/>
          <w:szCs w:val="32"/>
        </w:rPr>
        <w:t>营造林、种草方式及树（草）种配置对环境的影响；</w:t>
      </w:r>
    </w:p>
    <w:p>
      <w:pPr>
        <w:pStyle w:val="12"/>
        <w:numPr>
          <w:ilvl w:val="0"/>
          <w:numId w:val="2"/>
        </w:numPr>
        <w:adjustRightInd w:val="0"/>
        <w:snapToGrid w:val="0"/>
        <w:spacing w:line="596" w:lineRule="exact"/>
        <w:rPr>
          <w:rFonts w:eastAsia="仿宋_GB2312"/>
          <w:color w:val="000000"/>
          <w:sz w:val="32"/>
          <w:szCs w:val="32"/>
        </w:rPr>
      </w:pPr>
      <w:r>
        <w:rPr>
          <w:rFonts w:eastAsia="仿宋_GB2312"/>
          <w:color w:val="000000"/>
          <w:sz w:val="32"/>
          <w:szCs w:val="32"/>
        </w:rPr>
        <w:t>栽植密度、株行距对森林防护功能的影响；</w:t>
      </w:r>
    </w:p>
    <w:p>
      <w:pPr>
        <w:pStyle w:val="12"/>
        <w:numPr>
          <w:ilvl w:val="0"/>
          <w:numId w:val="2"/>
        </w:numPr>
        <w:adjustRightInd w:val="0"/>
        <w:snapToGrid w:val="0"/>
        <w:spacing w:line="596" w:lineRule="exact"/>
        <w:rPr>
          <w:rFonts w:eastAsia="仿宋_GB2312"/>
          <w:color w:val="000000"/>
          <w:sz w:val="32"/>
          <w:szCs w:val="32"/>
        </w:rPr>
      </w:pPr>
      <w:r>
        <w:rPr>
          <w:rFonts w:eastAsia="仿宋_GB2312"/>
          <w:color w:val="000000"/>
          <w:sz w:val="32"/>
          <w:szCs w:val="32"/>
        </w:rPr>
        <w:t>项目建设对湿地生态系统的影响；</w:t>
      </w:r>
    </w:p>
    <w:p>
      <w:pPr>
        <w:pStyle w:val="12"/>
        <w:numPr>
          <w:ilvl w:val="0"/>
          <w:numId w:val="2"/>
        </w:numPr>
        <w:adjustRightInd w:val="0"/>
        <w:snapToGrid w:val="0"/>
        <w:spacing w:line="596" w:lineRule="exact"/>
        <w:rPr>
          <w:rFonts w:eastAsia="仿宋_GB2312"/>
          <w:color w:val="000000"/>
          <w:sz w:val="32"/>
          <w:szCs w:val="32"/>
        </w:rPr>
      </w:pPr>
      <w:r>
        <w:rPr>
          <w:rFonts w:eastAsia="仿宋_GB2312"/>
          <w:color w:val="000000"/>
          <w:sz w:val="32"/>
          <w:szCs w:val="32"/>
        </w:rPr>
        <w:t>项目建设对野生动植物栖息环境的影响；</w:t>
      </w:r>
    </w:p>
    <w:p>
      <w:pPr>
        <w:pStyle w:val="12"/>
        <w:numPr>
          <w:ilvl w:val="0"/>
          <w:numId w:val="2"/>
        </w:numPr>
        <w:adjustRightInd w:val="0"/>
        <w:snapToGrid w:val="0"/>
        <w:spacing w:line="596" w:lineRule="exact"/>
        <w:rPr>
          <w:rFonts w:eastAsia="仿宋_GB2312"/>
          <w:color w:val="000000"/>
          <w:sz w:val="32"/>
          <w:szCs w:val="32"/>
        </w:rPr>
      </w:pPr>
      <w:r>
        <w:rPr>
          <w:rFonts w:eastAsia="仿宋_GB2312"/>
          <w:color w:val="000000"/>
          <w:sz w:val="32"/>
          <w:szCs w:val="32"/>
        </w:rPr>
        <w:t>经营活动对生物多样性的影响；</w:t>
      </w:r>
    </w:p>
    <w:p>
      <w:pPr>
        <w:pStyle w:val="12"/>
        <w:numPr>
          <w:ilvl w:val="0"/>
          <w:numId w:val="2"/>
        </w:numPr>
        <w:adjustRightInd w:val="0"/>
        <w:snapToGrid w:val="0"/>
        <w:spacing w:line="596" w:lineRule="exact"/>
        <w:rPr>
          <w:rFonts w:eastAsia="仿宋_GB2312"/>
          <w:color w:val="000000"/>
          <w:sz w:val="32"/>
          <w:szCs w:val="32"/>
        </w:rPr>
      </w:pPr>
      <w:r>
        <w:rPr>
          <w:rFonts w:eastAsia="仿宋_GB2312"/>
          <w:color w:val="000000"/>
          <w:sz w:val="32"/>
          <w:szCs w:val="32"/>
        </w:rPr>
        <w:t>项目建设对其他环境的影响。</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235" w:name="_Toc85643179"/>
      <w:bookmarkStart w:id="236" w:name="_Toc80004891"/>
      <w:bookmarkStart w:id="237" w:name="_Toc80020828"/>
      <w:r>
        <w:rPr>
          <w:rFonts w:ascii="Times New Roman" w:hAnsi="Times New Roman"/>
          <w:color w:val="000000"/>
        </w:rPr>
        <w:t>环境保护对策与措施</w:t>
      </w:r>
      <w:bookmarkEnd w:id="233"/>
      <w:bookmarkEnd w:id="234"/>
      <w:bookmarkEnd w:id="235"/>
      <w:bookmarkEnd w:id="236"/>
      <w:bookmarkEnd w:id="237"/>
      <w:bookmarkStart w:id="238" w:name="_Toc61342737"/>
      <w:bookmarkStart w:id="239" w:name="_Toc54598741"/>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针对11.2所列环境影响因子，制定相应的对策与措施。</w:t>
      </w:r>
    </w:p>
    <w:p>
      <w:pPr>
        <w:pStyle w:val="12"/>
        <w:numPr>
          <w:ilvl w:val="1"/>
          <w:numId w:val="3"/>
        </w:numPr>
        <w:adjustRightInd w:val="0"/>
        <w:snapToGrid w:val="0"/>
        <w:spacing w:line="596" w:lineRule="exact"/>
        <w:rPr>
          <w:rFonts w:eastAsia="仿宋_GB2312"/>
          <w:color w:val="000000"/>
          <w:sz w:val="32"/>
          <w:szCs w:val="32"/>
        </w:rPr>
      </w:pPr>
      <w:r>
        <w:rPr>
          <w:rFonts w:eastAsia="仿宋_GB2312"/>
          <w:color w:val="000000"/>
          <w:sz w:val="32"/>
          <w:szCs w:val="32"/>
        </w:rPr>
        <w:t>生物多样性保护措施；</w:t>
      </w:r>
    </w:p>
    <w:p>
      <w:pPr>
        <w:pStyle w:val="12"/>
        <w:numPr>
          <w:ilvl w:val="1"/>
          <w:numId w:val="3"/>
        </w:numPr>
        <w:adjustRightInd w:val="0"/>
        <w:snapToGrid w:val="0"/>
        <w:spacing w:line="596" w:lineRule="exact"/>
        <w:rPr>
          <w:rFonts w:eastAsia="仿宋_GB2312"/>
          <w:color w:val="000000"/>
          <w:sz w:val="32"/>
          <w:szCs w:val="32"/>
        </w:rPr>
      </w:pPr>
      <w:r>
        <w:rPr>
          <w:rFonts w:eastAsia="仿宋_GB2312"/>
          <w:color w:val="000000"/>
          <w:sz w:val="32"/>
          <w:szCs w:val="32"/>
        </w:rPr>
        <w:t>水土保持措施；</w:t>
      </w:r>
    </w:p>
    <w:p>
      <w:pPr>
        <w:pStyle w:val="12"/>
        <w:numPr>
          <w:ilvl w:val="1"/>
          <w:numId w:val="3"/>
        </w:numPr>
        <w:adjustRightInd w:val="0"/>
        <w:snapToGrid w:val="0"/>
        <w:spacing w:line="596" w:lineRule="exact"/>
        <w:rPr>
          <w:rFonts w:eastAsia="仿宋_GB2312"/>
          <w:color w:val="000000"/>
          <w:sz w:val="32"/>
          <w:szCs w:val="32"/>
        </w:rPr>
      </w:pPr>
      <w:r>
        <w:rPr>
          <w:rFonts w:eastAsia="仿宋_GB2312"/>
          <w:color w:val="000000"/>
          <w:sz w:val="32"/>
          <w:szCs w:val="32"/>
        </w:rPr>
        <w:t>土壤肥力保护措施；</w:t>
      </w:r>
    </w:p>
    <w:p>
      <w:pPr>
        <w:pStyle w:val="12"/>
        <w:numPr>
          <w:ilvl w:val="1"/>
          <w:numId w:val="3"/>
        </w:numPr>
        <w:adjustRightInd w:val="0"/>
        <w:snapToGrid w:val="0"/>
        <w:spacing w:line="596" w:lineRule="exact"/>
        <w:rPr>
          <w:rFonts w:eastAsia="仿宋_GB2312"/>
          <w:color w:val="000000"/>
          <w:sz w:val="32"/>
          <w:szCs w:val="32"/>
        </w:rPr>
      </w:pPr>
      <w:r>
        <w:rPr>
          <w:rFonts w:eastAsia="仿宋_GB2312"/>
          <w:color w:val="000000"/>
          <w:sz w:val="32"/>
          <w:szCs w:val="32"/>
        </w:rPr>
        <w:t>其他措施。</w:t>
      </w:r>
    </w:p>
    <w:p>
      <w:pPr>
        <w:pStyle w:val="3"/>
        <w:keepNext w:val="0"/>
        <w:keepLines w:val="0"/>
        <w:numPr>
          <w:ilvl w:val="1"/>
          <w:numId w:val="1"/>
        </w:numPr>
        <w:adjustRightInd w:val="0"/>
        <w:snapToGrid w:val="0"/>
        <w:spacing w:before="0" w:after="0" w:line="596" w:lineRule="exact"/>
        <w:ind w:left="567" w:firstLine="0"/>
        <w:rPr>
          <w:rFonts w:ascii="Times New Roman" w:hAnsi="Times New Roman"/>
          <w:color w:val="000000"/>
        </w:rPr>
      </w:pPr>
      <w:bookmarkStart w:id="240" w:name="_Toc80004892"/>
      <w:bookmarkStart w:id="241" w:name="_Toc85643180"/>
      <w:bookmarkStart w:id="242" w:name="_Toc80020829"/>
      <w:r>
        <w:rPr>
          <w:rFonts w:ascii="Times New Roman" w:hAnsi="Times New Roman"/>
          <w:color w:val="000000"/>
        </w:rPr>
        <w:t>分析结论</w:t>
      </w:r>
      <w:bookmarkEnd w:id="238"/>
      <w:bookmarkEnd w:id="239"/>
      <w:bookmarkEnd w:id="240"/>
      <w:bookmarkEnd w:id="241"/>
      <w:bookmarkEnd w:id="242"/>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综述项目建设对环境的影响程度。以及采取环保措施后，项目建设环境的影响。</w:t>
      </w:r>
    </w:p>
    <w:p>
      <w:pPr>
        <w:adjustRightInd w:val="0"/>
        <w:snapToGrid w:val="0"/>
        <w:spacing w:line="596" w:lineRule="exact"/>
        <w:ind w:firstLine="560"/>
        <w:rPr>
          <w:rFonts w:eastAsia="仿宋_GB2312"/>
          <w:color w:val="000000"/>
          <w:sz w:val="32"/>
          <w:szCs w:val="32"/>
        </w:rPr>
      </w:pPr>
      <w:r>
        <w:rPr>
          <w:rFonts w:eastAsia="仿宋_GB2312"/>
          <w:color w:val="000000"/>
          <w:sz w:val="32"/>
          <w:szCs w:val="32"/>
        </w:rPr>
        <w:t>评价项目建设方案在环境保护角度的可行性。</w:t>
      </w:r>
    </w:p>
    <w:p>
      <w:pPr>
        <w:spacing w:line="580" w:lineRule="exact"/>
        <w:ind w:firstLine="560"/>
        <w:rPr>
          <w:rFonts w:eastAsia="方正仿宋_GBK"/>
          <w:color w:val="000000"/>
        </w:rPr>
      </w:pPr>
    </w:p>
    <w:p>
      <w:pPr>
        <w:pStyle w:val="2"/>
        <w:keepNext w:val="0"/>
        <w:keepLines w:val="0"/>
        <w:numPr>
          <w:ilvl w:val="0"/>
          <w:numId w:val="1"/>
        </w:numPr>
        <w:spacing w:before="0" w:after="0" w:line="596" w:lineRule="exact"/>
        <w:rPr>
          <w:rFonts w:ascii="黑体" w:hAnsi="黑体"/>
          <w:color w:val="000000"/>
        </w:rPr>
      </w:pPr>
      <w:r>
        <w:rPr>
          <w:rFonts w:ascii="黑体" w:hAnsi="黑体"/>
          <w:color w:val="000000"/>
        </w:rPr>
        <w:t xml:space="preserve">  风险与社会稳定性评价</w:t>
      </w:r>
    </w:p>
    <w:p>
      <w:pPr>
        <w:spacing w:line="596" w:lineRule="exact"/>
        <w:rPr>
          <w:color w:val="000000"/>
        </w:rPr>
      </w:pPr>
    </w:p>
    <w:p>
      <w:pPr>
        <w:pStyle w:val="3"/>
        <w:keepNext w:val="0"/>
        <w:keepLines w:val="0"/>
        <w:numPr>
          <w:ilvl w:val="1"/>
          <w:numId w:val="1"/>
        </w:numPr>
        <w:spacing w:before="0" w:after="0" w:line="596" w:lineRule="exact"/>
        <w:ind w:left="567" w:firstLine="0"/>
        <w:rPr>
          <w:rFonts w:ascii="Times New Roman" w:hAnsi="Times New Roman"/>
          <w:color w:val="000000"/>
        </w:rPr>
      </w:pPr>
      <w:r>
        <w:rPr>
          <w:rFonts w:ascii="Times New Roman" w:hAnsi="Times New Roman"/>
          <w:color w:val="000000"/>
        </w:rPr>
        <w:t>项目风险评价</w:t>
      </w:r>
    </w:p>
    <w:p>
      <w:pPr>
        <w:pStyle w:val="4"/>
        <w:keepNext w:val="0"/>
        <w:keepLines w:val="0"/>
        <w:numPr>
          <w:ilvl w:val="2"/>
          <w:numId w:val="1"/>
        </w:numPr>
        <w:spacing w:line="596" w:lineRule="exact"/>
        <w:ind w:left="567" w:firstLine="0"/>
        <w:rPr>
          <w:rFonts w:eastAsia="楷体_GB2312"/>
          <w:color w:val="000000"/>
          <w:sz w:val="32"/>
        </w:rPr>
      </w:pPr>
      <w:r>
        <w:rPr>
          <w:rFonts w:eastAsia="楷体_GB2312"/>
          <w:color w:val="000000"/>
          <w:sz w:val="32"/>
        </w:rPr>
        <w:t>主要风险因素识别</w:t>
      </w:r>
    </w:p>
    <w:p>
      <w:pPr>
        <w:spacing w:line="596" w:lineRule="exact"/>
        <w:ind w:firstLine="560"/>
        <w:rPr>
          <w:rFonts w:eastAsia="仿宋_GB2312"/>
          <w:color w:val="000000"/>
          <w:sz w:val="32"/>
          <w:szCs w:val="32"/>
        </w:rPr>
      </w:pPr>
      <w:r>
        <w:rPr>
          <w:rFonts w:eastAsia="仿宋_GB2312"/>
          <w:color w:val="000000"/>
          <w:sz w:val="32"/>
          <w:szCs w:val="32"/>
        </w:rPr>
        <w:t>说明项目建设存在的各类风险。</w:t>
      </w:r>
    </w:p>
    <w:p>
      <w:pPr>
        <w:spacing w:line="596" w:lineRule="exact"/>
        <w:ind w:firstLine="560"/>
        <w:rPr>
          <w:rFonts w:eastAsia="仿宋_GB2312"/>
          <w:color w:val="000000"/>
          <w:sz w:val="32"/>
          <w:szCs w:val="32"/>
        </w:rPr>
      </w:pPr>
      <w:r>
        <w:rPr>
          <w:rFonts w:eastAsia="仿宋_GB2312"/>
          <w:color w:val="000000"/>
          <w:sz w:val="32"/>
          <w:szCs w:val="32"/>
        </w:rPr>
        <w:t>编制项目建设风险因素风险程度一览表。</w:t>
      </w:r>
    </w:p>
    <w:p>
      <w:pPr>
        <w:pStyle w:val="4"/>
        <w:keepNext w:val="0"/>
        <w:keepLines w:val="0"/>
        <w:numPr>
          <w:ilvl w:val="2"/>
          <w:numId w:val="1"/>
        </w:numPr>
        <w:spacing w:line="570" w:lineRule="exact"/>
        <w:ind w:left="567" w:firstLine="0"/>
        <w:rPr>
          <w:rFonts w:eastAsia="楷体_GB2312"/>
          <w:color w:val="000000"/>
          <w:sz w:val="32"/>
        </w:rPr>
      </w:pPr>
      <w:r>
        <w:rPr>
          <w:rFonts w:eastAsia="楷体_GB2312"/>
          <w:color w:val="000000"/>
          <w:sz w:val="32"/>
        </w:rPr>
        <w:t>防范和降低风险措施</w:t>
      </w:r>
    </w:p>
    <w:p>
      <w:pPr>
        <w:spacing w:line="570" w:lineRule="exact"/>
        <w:ind w:firstLine="560"/>
        <w:rPr>
          <w:rFonts w:eastAsia="仿宋_GB2312"/>
          <w:color w:val="000000"/>
          <w:sz w:val="32"/>
          <w:szCs w:val="32"/>
        </w:rPr>
      </w:pPr>
      <w:r>
        <w:rPr>
          <w:rFonts w:eastAsia="仿宋_GB2312"/>
          <w:color w:val="000000"/>
          <w:sz w:val="32"/>
          <w:szCs w:val="32"/>
        </w:rPr>
        <w:t>针对项目建设存在的风险因子，说明防范和降低风险的措施。</w:t>
      </w:r>
    </w:p>
    <w:p>
      <w:pPr>
        <w:pStyle w:val="3"/>
        <w:keepNext w:val="0"/>
        <w:keepLines w:val="0"/>
        <w:numPr>
          <w:ilvl w:val="1"/>
          <w:numId w:val="1"/>
        </w:numPr>
        <w:spacing w:before="0" w:after="0" w:line="570" w:lineRule="exact"/>
        <w:ind w:left="567" w:firstLine="0"/>
        <w:rPr>
          <w:rFonts w:ascii="Times New Roman" w:hAnsi="Times New Roman"/>
          <w:color w:val="000000"/>
        </w:rPr>
      </w:pPr>
      <w:r>
        <w:rPr>
          <w:rFonts w:ascii="Times New Roman" w:hAnsi="Times New Roman"/>
          <w:color w:val="000000"/>
        </w:rPr>
        <w:t>项目社会稳定评价</w:t>
      </w:r>
    </w:p>
    <w:p>
      <w:pPr>
        <w:spacing w:line="570" w:lineRule="exact"/>
        <w:ind w:firstLine="560"/>
        <w:rPr>
          <w:rFonts w:eastAsia="仿宋_GB2312"/>
          <w:color w:val="000000"/>
          <w:sz w:val="32"/>
          <w:szCs w:val="32"/>
        </w:rPr>
      </w:pPr>
      <w:r>
        <w:rPr>
          <w:rFonts w:eastAsia="仿宋_GB2312"/>
          <w:color w:val="000000"/>
          <w:sz w:val="32"/>
          <w:szCs w:val="32"/>
        </w:rPr>
        <w:t>说明项目建设和经营过程中，从社会稳定风险角度看，项目对社会稳定的积极作用和风险，提出相应防范措施。</w:t>
      </w:r>
    </w:p>
    <w:p>
      <w:pPr>
        <w:spacing w:line="570" w:lineRule="exact"/>
        <w:ind w:firstLine="560"/>
        <w:jc w:val="left"/>
        <w:rPr>
          <w:color w:val="000000"/>
        </w:rPr>
      </w:pPr>
    </w:p>
    <w:p>
      <w:pPr>
        <w:pStyle w:val="2"/>
        <w:keepNext w:val="0"/>
        <w:keepLines w:val="0"/>
        <w:numPr>
          <w:ilvl w:val="0"/>
          <w:numId w:val="1"/>
        </w:numPr>
        <w:spacing w:before="0" w:after="0" w:line="570" w:lineRule="exact"/>
        <w:rPr>
          <w:rFonts w:ascii="黑体" w:hAnsi="黑体"/>
          <w:color w:val="000000"/>
        </w:rPr>
      </w:pPr>
      <w:bookmarkStart w:id="243" w:name="_Toc85643191"/>
      <w:bookmarkStart w:id="244" w:name="_Toc80020848"/>
      <w:bookmarkStart w:id="245" w:name="_Toc1951"/>
      <w:r>
        <w:rPr>
          <w:rFonts w:ascii="黑体" w:hAnsi="黑体"/>
          <w:color w:val="000000"/>
        </w:rPr>
        <w:t xml:space="preserve">  结论与建议</w:t>
      </w:r>
      <w:bookmarkEnd w:id="243"/>
      <w:bookmarkEnd w:id="244"/>
      <w:bookmarkEnd w:id="245"/>
    </w:p>
    <w:p>
      <w:pPr>
        <w:spacing w:line="570" w:lineRule="exact"/>
        <w:ind w:firstLine="560"/>
        <w:jc w:val="left"/>
        <w:rPr>
          <w:color w:val="000000"/>
        </w:rPr>
      </w:pPr>
    </w:p>
    <w:p>
      <w:pPr>
        <w:pStyle w:val="3"/>
        <w:keepNext w:val="0"/>
        <w:keepLines w:val="0"/>
        <w:numPr>
          <w:ilvl w:val="1"/>
          <w:numId w:val="1"/>
        </w:numPr>
        <w:spacing w:before="0" w:after="0" w:line="570" w:lineRule="exact"/>
        <w:ind w:left="567" w:firstLine="0"/>
        <w:rPr>
          <w:rFonts w:ascii="Times New Roman" w:hAnsi="Times New Roman"/>
          <w:color w:val="000000"/>
        </w:rPr>
      </w:pPr>
      <w:bookmarkStart w:id="246" w:name="_Toc80020849"/>
      <w:bookmarkStart w:id="247" w:name="_Toc80004912"/>
      <w:bookmarkStart w:id="248" w:name="_Toc85643192"/>
      <w:r>
        <w:rPr>
          <w:rFonts w:ascii="Times New Roman" w:hAnsi="Times New Roman"/>
          <w:color w:val="000000"/>
        </w:rPr>
        <w:t>结论</w:t>
      </w:r>
      <w:bookmarkEnd w:id="246"/>
      <w:bookmarkEnd w:id="247"/>
      <w:bookmarkEnd w:id="248"/>
    </w:p>
    <w:p>
      <w:pPr>
        <w:spacing w:line="570" w:lineRule="exact"/>
        <w:ind w:firstLine="560"/>
        <w:rPr>
          <w:rFonts w:eastAsia="仿宋_GB2312"/>
          <w:color w:val="000000"/>
          <w:sz w:val="32"/>
          <w:szCs w:val="32"/>
        </w:rPr>
      </w:pPr>
      <w:r>
        <w:rPr>
          <w:rFonts w:eastAsia="仿宋_GB2312"/>
          <w:color w:val="000000"/>
          <w:sz w:val="32"/>
          <w:szCs w:val="32"/>
        </w:rPr>
        <w:t>归纳可行性研究的结论。</w:t>
      </w:r>
    </w:p>
    <w:p>
      <w:pPr>
        <w:spacing w:line="570" w:lineRule="exact"/>
        <w:ind w:firstLine="560"/>
        <w:rPr>
          <w:rFonts w:eastAsia="仿宋_GB2312"/>
          <w:color w:val="000000"/>
          <w:sz w:val="32"/>
          <w:szCs w:val="32"/>
        </w:rPr>
      </w:pPr>
      <w:r>
        <w:rPr>
          <w:rFonts w:eastAsia="仿宋_GB2312"/>
          <w:color w:val="000000"/>
          <w:sz w:val="32"/>
          <w:szCs w:val="32"/>
        </w:rPr>
        <w:t>（1）推荐方案主要内容论证的结论；</w:t>
      </w:r>
    </w:p>
    <w:p>
      <w:pPr>
        <w:spacing w:line="570" w:lineRule="exact"/>
        <w:ind w:firstLine="560"/>
        <w:rPr>
          <w:rFonts w:eastAsia="仿宋_GB2312"/>
          <w:color w:val="000000"/>
          <w:sz w:val="32"/>
          <w:szCs w:val="32"/>
        </w:rPr>
      </w:pPr>
      <w:r>
        <w:rPr>
          <w:rFonts w:eastAsia="仿宋_GB2312"/>
          <w:color w:val="000000"/>
          <w:sz w:val="32"/>
          <w:szCs w:val="32"/>
        </w:rPr>
        <w:t>（2）综合评价项目的生态效益、社会效益与经济效益。</w:t>
      </w:r>
    </w:p>
    <w:p>
      <w:pPr>
        <w:pStyle w:val="3"/>
        <w:keepNext w:val="0"/>
        <w:keepLines w:val="0"/>
        <w:numPr>
          <w:ilvl w:val="1"/>
          <w:numId w:val="1"/>
        </w:numPr>
        <w:spacing w:before="0" w:after="0" w:line="570" w:lineRule="exact"/>
        <w:ind w:left="567" w:firstLine="0"/>
        <w:rPr>
          <w:rFonts w:ascii="Times New Roman" w:hAnsi="Times New Roman"/>
          <w:color w:val="000000"/>
        </w:rPr>
      </w:pPr>
      <w:bookmarkStart w:id="249" w:name="_Toc80020850"/>
      <w:bookmarkStart w:id="250" w:name="_Toc85643193"/>
      <w:r>
        <w:rPr>
          <w:rFonts w:ascii="Times New Roman" w:hAnsi="Times New Roman"/>
          <w:color w:val="000000"/>
        </w:rPr>
        <w:t>建议</w:t>
      </w:r>
      <w:bookmarkEnd w:id="249"/>
      <w:bookmarkEnd w:id="250"/>
    </w:p>
    <w:p>
      <w:pPr>
        <w:spacing w:line="570" w:lineRule="exact"/>
        <w:ind w:firstLine="560"/>
        <w:rPr>
          <w:rFonts w:eastAsia="仿宋_GB2312"/>
          <w:color w:val="000000"/>
          <w:sz w:val="32"/>
          <w:szCs w:val="32"/>
        </w:rPr>
      </w:pPr>
      <w:r>
        <w:rPr>
          <w:rFonts w:eastAsia="仿宋_GB2312"/>
          <w:color w:val="000000"/>
          <w:sz w:val="32"/>
          <w:szCs w:val="32"/>
        </w:rPr>
        <w:t>对项目可行性研究中主要争议问题和未解决的主要问题提出解决办法或建议。</w:t>
      </w:r>
    </w:p>
    <w:p>
      <w:pPr>
        <w:spacing w:line="570" w:lineRule="exact"/>
        <w:ind w:firstLine="560"/>
        <w:rPr>
          <w:rFonts w:eastAsia="仿宋_GB2312"/>
          <w:color w:val="000000"/>
          <w:sz w:val="32"/>
          <w:szCs w:val="32"/>
        </w:rPr>
      </w:pPr>
      <w:r>
        <w:rPr>
          <w:rFonts w:eastAsia="仿宋_GB2312"/>
          <w:color w:val="000000"/>
          <w:sz w:val="32"/>
          <w:szCs w:val="32"/>
        </w:rPr>
        <w:t>（1）项目实施中需协调解决的主要问题及下一步工作建议；</w:t>
      </w:r>
    </w:p>
    <w:p>
      <w:pPr>
        <w:spacing w:line="570" w:lineRule="exact"/>
        <w:ind w:firstLine="560"/>
        <w:rPr>
          <w:rFonts w:eastAsia="仿宋_GB2312"/>
          <w:color w:val="000000"/>
          <w:sz w:val="32"/>
          <w:szCs w:val="32"/>
        </w:rPr>
      </w:pPr>
      <w:r>
        <w:rPr>
          <w:rFonts w:eastAsia="仿宋_GB2312"/>
          <w:color w:val="000000"/>
          <w:sz w:val="32"/>
          <w:szCs w:val="32"/>
        </w:rPr>
        <w:t>（2）不可行项目的处理意见和建议。</w:t>
      </w:r>
    </w:p>
    <w:p>
      <w:pPr>
        <w:spacing w:line="570" w:lineRule="exact"/>
        <w:ind w:firstLine="560"/>
        <w:rPr>
          <w:rFonts w:eastAsia="仿宋_GB2312"/>
          <w:color w:val="000000"/>
          <w:sz w:val="32"/>
          <w:szCs w:val="32"/>
        </w:rPr>
      </w:pPr>
      <w:bookmarkStart w:id="251" w:name="_Toc61342753"/>
    </w:p>
    <w:p>
      <w:pPr>
        <w:pStyle w:val="2"/>
        <w:keepNext w:val="0"/>
        <w:keepLines w:val="0"/>
        <w:numPr>
          <w:ilvl w:val="0"/>
          <w:numId w:val="1"/>
        </w:numPr>
        <w:spacing w:before="0" w:after="0" w:line="570" w:lineRule="exact"/>
        <w:rPr>
          <w:rFonts w:ascii="黑体" w:hAnsi="黑体"/>
          <w:color w:val="000000"/>
        </w:rPr>
      </w:pPr>
      <w:bookmarkStart w:id="252" w:name="_Toc2713"/>
      <w:bookmarkStart w:id="253" w:name="_Toc5791"/>
      <w:bookmarkStart w:id="254" w:name="_Toc80020855"/>
      <w:r>
        <w:rPr>
          <w:rFonts w:ascii="黑体" w:hAnsi="黑体"/>
          <w:color w:val="000000"/>
        </w:rPr>
        <w:t xml:space="preserve"> </w:t>
      </w:r>
      <w:bookmarkStart w:id="255" w:name="_Toc85643194"/>
      <w:r>
        <w:rPr>
          <w:rFonts w:ascii="黑体" w:hAnsi="黑体"/>
          <w:color w:val="000000"/>
        </w:rPr>
        <w:t xml:space="preserve"> 附表</w:t>
      </w:r>
      <w:bookmarkEnd w:id="251"/>
      <w:bookmarkEnd w:id="252"/>
      <w:bookmarkEnd w:id="253"/>
      <w:bookmarkEnd w:id="254"/>
      <w:bookmarkEnd w:id="255"/>
    </w:p>
    <w:p>
      <w:pPr>
        <w:spacing w:line="570" w:lineRule="exact"/>
        <w:rPr>
          <w:color w:val="000000"/>
        </w:rPr>
      </w:pPr>
    </w:p>
    <w:p>
      <w:pPr>
        <w:pStyle w:val="3"/>
        <w:keepNext w:val="0"/>
        <w:keepLines w:val="0"/>
        <w:numPr>
          <w:ilvl w:val="1"/>
          <w:numId w:val="1"/>
        </w:numPr>
        <w:spacing w:before="0" w:after="0" w:line="570" w:lineRule="exact"/>
        <w:ind w:left="567" w:firstLine="0"/>
        <w:rPr>
          <w:rFonts w:ascii="Times New Roman" w:hAnsi="Times New Roman"/>
          <w:color w:val="000000"/>
        </w:rPr>
      </w:pPr>
      <w:bookmarkStart w:id="256" w:name="_Toc85643195"/>
      <w:bookmarkStart w:id="257" w:name="_Toc80020857"/>
      <w:r>
        <w:rPr>
          <w:rFonts w:ascii="Times New Roman" w:hAnsi="Times New Roman"/>
          <w:color w:val="000000"/>
        </w:rPr>
        <w:t>现状统计表</w:t>
      </w:r>
      <w:bookmarkEnd w:id="256"/>
    </w:p>
    <w:p>
      <w:pPr>
        <w:spacing w:line="570" w:lineRule="exact"/>
        <w:ind w:firstLine="560"/>
        <w:rPr>
          <w:rFonts w:eastAsia="仿宋_GB2312"/>
          <w:color w:val="000000"/>
          <w:sz w:val="32"/>
          <w:szCs w:val="32"/>
        </w:rPr>
      </w:pPr>
      <w:r>
        <w:rPr>
          <w:rFonts w:eastAsia="仿宋_GB2312"/>
          <w:color w:val="000000"/>
          <w:sz w:val="32"/>
          <w:szCs w:val="32"/>
        </w:rPr>
        <w:t>根据项目需要编制以下统计表：</w:t>
      </w:r>
    </w:p>
    <w:p>
      <w:pPr>
        <w:pStyle w:val="12"/>
        <w:numPr>
          <w:ilvl w:val="0"/>
          <w:numId w:val="4"/>
        </w:numPr>
        <w:spacing w:line="570" w:lineRule="exact"/>
        <w:rPr>
          <w:rFonts w:eastAsia="仿宋_GB2312"/>
          <w:color w:val="000000"/>
          <w:sz w:val="32"/>
          <w:szCs w:val="32"/>
        </w:rPr>
      </w:pPr>
      <w:r>
        <w:rPr>
          <w:rFonts w:eastAsia="仿宋_GB2312"/>
          <w:color w:val="000000"/>
          <w:sz w:val="32"/>
          <w:szCs w:val="32"/>
        </w:rPr>
        <w:t>各类土地面积统计表</w:t>
      </w:r>
    </w:p>
    <w:p>
      <w:pPr>
        <w:pStyle w:val="12"/>
        <w:numPr>
          <w:ilvl w:val="0"/>
          <w:numId w:val="4"/>
        </w:numPr>
        <w:spacing w:line="570" w:lineRule="exact"/>
        <w:rPr>
          <w:rFonts w:eastAsia="仿宋_GB2312"/>
          <w:color w:val="000000"/>
          <w:sz w:val="32"/>
          <w:szCs w:val="32"/>
        </w:rPr>
      </w:pPr>
      <w:r>
        <w:rPr>
          <w:rFonts w:eastAsia="仿宋_GB2312"/>
          <w:color w:val="000000"/>
          <w:sz w:val="32"/>
          <w:szCs w:val="32"/>
        </w:rPr>
        <w:t>森林资源统计表</w:t>
      </w:r>
    </w:p>
    <w:p>
      <w:pPr>
        <w:pStyle w:val="12"/>
        <w:numPr>
          <w:ilvl w:val="0"/>
          <w:numId w:val="4"/>
        </w:numPr>
        <w:spacing w:line="570" w:lineRule="exact"/>
        <w:rPr>
          <w:rFonts w:eastAsia="仿宋_GB2312"/>
          <w:color w:val="000000"/>
          <w:sz w:val="32"/>
          <w:szCs w:val="32"/>
        </w:rPr>
      </w:pPr>
      <w:r>
        <w:rPr>
          <w:rFonts w:eastAsia="仿宋_GB2312"/>
          <w:color w:val="000000"/>
          <w:sz w:val="32"/>
          <w:szCs w:val="32"/>
        </w:rPr>
        <w:t>草原资源统计表</w:t>
      </w:r>
    </w:p>
    <w:p>
      <w:pPr>
        <w:pStyle w:val="12"/>
        <w:numPr>
          <w:ilvl w:val="0"/>
          <w:numId w:val="4"/>
        </w:numPr>
        <w:spacing w:line="570" w:lineRule="exact"/>
        <w:rPr>
          <w:rFonts w:eastAsia="仿宋_GB2312"/>
          <w:color w:val="000000"/>
          <w:sz w:val="32"/>
          <w:szCs w:val="32"/>
        </w:rPr>
      </w:pPr>
      <w:r>
        <w:rPr>
          <w:rFonts w:eastAsia="仿宋_GB2312"/>
          <w:color w:val="000000"/>
          <w:sz w:val="32"/>
          <w:szCs w:val="32"/>
        </w:rPr>
        <w:t>湿地资源统计表</w:t>
      </w:r>
    </w:p>
    <w:p>
      <w:pPr>
        <w:pStyle w:val="12"/>
        <w:numPr>
          <w:ilvl w:val="0"/>
          <w:numId w:val="4"/>
        </w:numPr>
        <w:spacing w:line="570" w:lineRule="exact"/>
        <w:rPr>
          <w:rFonts w:eastAsia="仿宋_GB2312"/>
          <w:color w:val="000000"/>
          <w:sz w:val="32"/>
          <w:szCs w:val="32"/>
        </w:rPr>
      </w:pPr>
      <w:r>
        <w:rPr>
          <w:rFonts w:eastAsia="仿宋_GB2312"/>
          <w:color w:val="000000"/>
          <w:sz w:val="32"/>
          <w:szCs w:val="32"/>
        </w:rPr>
        <w:t>沙化土地现状统计表</w:t>
      </w:r>
    </w:p>
    <w:p>
      <w:pPr>
        <w:pStyle w:val="3"/>
        <w:keepNext w:val="0"/>
        <w:keepLines w:val="0"/>
        <w:numPr>
          <w:ilvl w:val="1"/>
          <w:numId w:val="1"/>
        </w:numPr>
        <w:spacing w:before="0" w:after="0" w:line="570" w:lineRule="exact"/>
        <w:ind w:left="567" w:firstLine="0"/>
        <w:rPr>
          <w:rFonts w:ascii="Times New Roman" w:hAnsi="Times New Roman"/>
          <w:color w:val="000000"/>
        </w:rPr>
      </w:pPr>
      <w:bookmarkStart w:id="258" w:name="_Toc85643196"/>
      <w:r>
        <w:rPr>
          <w:rFonts w:ascii="Times New Roman" w:hAnsi="Times New Roman"/>
          <w:color w:val="000000"/>
        </w:rPr>
        <w:t>建设任务表</w:t>
      </w:r>
      <w:bookmarkEnd w:id="258"/>
    </w:p>
    <w:p>
      <w:pPr>
        <w:spacing w:line="570" w:lineRule="exact"/>
        <w:ind w:firstLine="560"/>
        <w:rPr>
          <w:rFonts w:eastAsia="仿宋_GB2312"/>
          <w:color w:val="000000"/>
          <w:sz w:val="32"/>
          <w:szCs w:val="32"/>
        </w:rPr>
      </w:pPr>
      <w:r>
        <w:rPr>
          <w:rFonts w:eastAsia="仿宋_GB2312"/>
          <w:color w:val="000000"/>
          <w:sz w:val="32"/>
          <w:szCs w:val="32"/>
        </w:rPr>
        <w:t>按建设布局分建设内容编制项目建设任务表。</w:t>
      </w:r>
    </w:p>
    <w:p>
      <w:pPr>
        <w:spacing w:line="570" w:lineRule="exact"/>
        <w:ind w:firstLine="560"/>
        <w:rPr>
          <w:rFonts w:eastAsia="仿宋_GB2312"/>
          <w:color w:val="000000"/>
          <w:sz w:val="32"/>
          <w:szCs w:val="32"/>
        </w:rPr>
      </w:pPr>
      <w:r>
        <w:rPr>
          <w:rFonts w:eastAsia="仿宋_GB2312"/>
          <w:color w:val="000000"/>
          <w:sz w:val="32"/>
          <w:szCs w:val="32"/>
        </w:rPr>
        <w:t>建设任务面积单位用“亩”表示。合计值单位取整，分项值保留小数点后1位。</w:t>
      </w:r>
    </w:p>
    <w:p>
      <w:pPr>
        <w:spacing w:line="570" w:lineRule="exact"/>
        <w:ind w:firstLine="560"/>
        <w:rPr>
          <w:rFonts w:eastAsia="仿宋_GB2312"/>
          <w:color w:val="000000"/>
          <w:sz w:val="32"/>
          <w:szCs w:val="32"/>
        </w:rPr>
      </w:pPr>
      <w:r>
        <w:rPr>
          <w:rFonts w:eastAsia="仿宋_GB2312"/>
          <w:color w:val="000000"/>
          <w:sz w:val="32"/>
          <w:szCs w:val="32"/>
        </w:rPr>
        <w:t>其它建设任务单位参考国家和林草行业有关要求。如长度采用“米”或“千米”，质量采用“千克”或“吨”等。</w:t>
      </w:r>
    </w:p>
    <w:p>
      <w:pPr>
        <w:pStyle w:val="3"/>
        <w:keepNext w:val="0"/>
        <w:keepLines w:val="0"/>
        <w:numPr>
          <w:ilvl w:val="1"/>
          <w:numId w:val="1"/>
        </w:numPr>
        <w:spacing w:before="0" w:after="0" w:line="570" w:lineRule="exact"/>
        <w:ind w:left="567" w:firstLine="0"/>
        <w:rPr>
          <w:rFonts w:ascii="Times New Roman" w:hAnsi="Times New Roman"/>
          <w:color w:val="000000"/>
        </w:rPr>
      </w:pPr>
      <w:bookmarkStart w:id="259" w:name="_Toc85643197"/>
      <w:r>
        <w:rPr>
          <w:rFonts w:ascii="Times New Roman" w:hAnsi="Times New Roman"/>
          <w:color w:val="000000"/>
        </w:rPr>
        <w:t>建设投资估算</w:t>
      </w:r>
      <w:bookmarkEnd w:id="259"/>
    </w:p>
    <w:p>
      <w:pPr>
        <w:spacing w:line="570" w:lineRule="exact"/>
        <w:ind w:firstLine="560"/>
        <w:rPr>
          <w:rFonts w:eastAsia="仿宋_GB2312"/>
          <w:color w:val="000000"/>
          <w:sz w:val="32"/>
          <w:szCs w:val="32"/>
        </w:rPr>
      </w:pPr>
      <w:r>
        <w:rPr>
          <w:rFonts w:eastAsia="仿宋_GB2312"/>
          <w:color w:val="000000"/>
          <w:sz w:val="32"/>
          <w:szCs w:val="32"/>
        </w:rPr>
        <w:t>按建设任务编制项目建设投资估算表。</w:t>
      </w:r>
    </w:p>
    <w:p>
      <w:pPr>
        <w:spacing w:line="570" w:lineRule="exact"/>
        <w:ind w:firstLine="560"/>
        <w:rPr>
          <w:rFonts w:eastAsia="仿宋_GB2312"/>
          <w:color w:val="000000"/>
          <w:sz w:val="32"/>
          <w:szCs w:val="32"/>
        </w:rPr>
      </w:pPr>
      <w:r>
        <w:rPr>
          <w:rFonts w:eastAsia="仿宋_GB2312"/>
          <w:color w:val="000000"/>
          <w:sz w:val="32"/>
          <w:szCs w:val="32"/>
        </w:rPr>
        <w:t>资金估算单位用“万元”表示。合计值单位取整，分项值保留小数点后1位。</w:t>
      </w:r>
    </w:p>
    <w:p>
      <w:pPr>
        <w:pStyle w:val="2"/>
        <w:keepNext w:val="0"/>
        <w:keepLines w:val="0"/>
        <w:spacing w:before="0" w:after="0" w:line="570" w:lineRule="exact"/>
        <w:jc w:val="both"/>
        <w:rPr>
          <w:rFonts w:eastAsia="方正黑体_GBK"/>
          <w:color w:val="000000"/>
          <w:sz w:val="44"/>
          <w:szCs w:val="44"/>
        </w:rPr>
      </w:pPr>
      <w:bookmarkStart w:id="260" w:name="_Toc85643199"/>
    </w:p>
    <w:p>
      <w:pPr>
        <w:pStyle w:val="2"/>
        <w:keepNext w:val="0"/>
        <w:keepLines w:val="0"/>
        <w:numPr>
          <w:ilvl w:val="0"/>
          <w:numId w:val="5"/>
        </w:numPr>
        <w:spacing w:before="0" w:after="0" w:line="570" w:lineRule="exact"/>
        <w:rPr>
          <w:rFonts w:ascii="黑体" w:hAnsi="黑体"/>
          <w:color w:val="000000"/>
        </w:rPr>
      </w:pPr>
      <w:r>
        <w:rPr>
          <w:rFonts w:ascii="黑体" w:hAnsi="黑体"/>
          <w:color w:val="000000"/>
        </w:rPr>
        <w:t xml:space="preserve">  附件</w:t>
      </w:r>
      <w:bookmarkEnd w:id="260"/>
    </w:p>
    <w:p>
      <w:pPr>
        <w:spacing w:line="570" w:lineRule="exact"/>
        <w:rPr>
          <w:color w:val="000000"/>
        </w:rPr>
      </w:pPr>
    </w:p>
    <w:p>
      <w:pPr>
        <w:spacing w:line="570" w:lineRule="exact"/>
        <w:ind w:firstLine="640" w:firstLineChars="200"/>
        <w:rPr>
          <w:rFonts w:eastAsia="仿宋_GB2312"/>
          <w:color w:val="000000"/>
          <w:sz w:val="32"/>
          <w:szCs w:val="32"/>
        </w:rPr>
      </w:pPr>
      <w:r>
        <w:rPr>
          <w:rFonts w:eastAsia="仿宋_GB2312"/>
          <w:color w:val="000000"/>
          <w:sz w:val="32"/>
          <w:szCs w:val="32"/>
        </w:rPr>
        <w:t>根据项目特点和需要，选择但不限于下述材料作为附件。</w:t>
      </w:r>
    </w:p>
    <w:p>
      <w:pPr>
        <w:pStyle w:val="12"/>
        <w:numPr>
          <w:ilvl w:val="0"/>
          <w:numId w:val="6"/>
        </w:numPr>
        <w:spacing w:line="570" w:lineRule="exact"/>
        <w:ind w:left="0" w:firstLine="640" w:firstLineChars="200"/>
        <w:rPr>
          <w:rFonts w:eastAsia="仿宋_GB2312"/>
          <w:color w:val="000000"/>
          <w:sz w:val="32"/>
          <w:szCs w:val="32"/>
        </w:rPr>
      </w:pPr>
      <w:r>
        <w:rPr>
          <w:rFonts w:eastAsia="仿宋_GB2312"/>
          <w:color w:val="000000"/>
          <w:sz w:val="32"/>
          <w:szCs w:val="32"/>
        </w:rPr>
        <w:t>与项目有关的规划和政府文件；</w:t>
      </w:r>
    </w:p>
    <w:p>
      <w:pPr>
        <w:pStyle w:val="12"/>
        <w:numPr>
          <w:ilvl w:val="0"/>
          <w:numId w:val="6"/>
        </w:numPr>
        <w:spacing w:line="570" w:lineRule="exact"/>
        <w:ind w:left="0" w:firstLine="600" w:firstLineChars="200"/>
        <w:rPr>
          <w:rFonts w:eastAsia="仿宋_GB2312"/>
          <w:color w:val="000000"/>
          <w:spacing w:val="-10"/>
          <w:sz w:val="32"/>
          <w:szCs w:val="32"/>
        </w:rPr>
      </w:pPr>
      <w:r>
        <w:rPr>
          <w:rFonts w:eastAsia="仿宋_GB2312"/>
          <w:color w:val="000000"/>
          <w:spacing w:val="-10"/>
          <w:sz w:val="32"/>
          <w:szCs w:val="32"/>
        </w:rPr>
        <w:t>与项目有关专题报告的审</w:t>
      </w:r>
      <w:r>
        <w:rPr>
          <w:color w:val="000000"/>
          <w:spacing w:val="-10"/>
          <w:sz w:val="32"/>
          <w:szCs w:val="32"/>
        </w:rPr>
        <w:t>査</w:t>
      </w:r>
      <w:r>
        <w:rPr>
          <w:rFonts w:eastAsia="仿宋_GB2312"/>
          <w:color w:val="000000"/>
          <w:spacing w:val="-10"/>
          <w:sz w:val="32"/>
          <w:szCs w:val="32"/>
        </w:rPr>
        <w:t>或审核意见、重要会议纪要等；</w:t>
      </w:r>
    </w:p>
    <w:p>
      <w:pPr>
        <w:pStyle w:val="12"/>
        <w:numPr>
          <w:ilvl w:val="0"/>
          <w:numId w:val="6"/>
        </w:numPr>
        <w:spacing w:line="596" w:lineRule="exact"/>
        <w:ind w:left="0" w:firstLine="640" w:firstLineChars="200"/>
        <w:rPr>
          <w:rFonts w:eastAsia="仿宋_GB2312"/>
          <w:color w:val="000000"/>
          <w:sz w:val="32"/>
          <w:szCs w:val="32"/>
        </w:rPr>
      </w:pPr>
      <w:r>
        <w:rPr>
          <w:rFonts w:eastAsia="仿宋_GB2312"/>
          <w:color w:val="000000"/>
          <w:sz w:val="32"/>
          <w:szCs w:val="32"/>
        </w:rPr>
        <w:t>建设单位法人证书或营业执照；</w:t>
      </w:r>
    </w:p>
    <w:p>
      <w:pPr>
        <w:pStyle w:val="12"/>
        <w:numPr>
          <w:ilvl w:val="0"/>
          <w:numId w:val="6"/>
        </w:numPr>
        <w:spacing w:line="596" w:lineRule="exact"/>
        <w:ind w:left="0" w:firstLine="640" w:firstLineChars="200"/>
        <w:rPr>
          <w:rFonts w:eastAsia="仿宋_GB2312"/>
          <w:color w:val="000000"/>
          <w:sz w:val="32"/>
          <w:szCs w:val="32"/>
        </w:rPr>
      </w:pPr>
      <w:r>
        <w:rPr>
          <w:rFonts w:eastAsia="仿宋_GB2312"/>
          <w:color w:val="000000"/>
          <w:sz w:val="32"/>
          <w:szCs w:val="32"/>
        </w:rPr>
        <w:t>项目用地权属证明；</w:t>
      </w:r>
    </w:p>
    <w:p>
      <w:pPr>
        <w:pStyle w:val="12"/>
        <w:numPr>
          <w:ilvl w:val="0"/>
          <w:numId w:val="6"/>
        </w:numPr>
        <w:spacing w:line="596" w:lineRule="exact"/>
        <w:ind w:left="0" w:firstLine="640" w:firstLineChars="200"/>
        <w:rPr>
          <w:rFonts w:eastAsia="仿宋_GB2312"/>
          <w:color w:val="000000"/>
          <w:sz w:val="32"/>
          <w:szCs w:val="32"/>
        </w:rPr>
      </w:pPr>
      <w:r>
        <w:rPr>
          <w:rFonts w:eastAsia="仿宋_GB2312"/>
          <w:color w:val="000000"/>
          <w:sz w:val="32"/>
          <w:szCs w:val="32"/>
        </w:rPr>
        <w:t>项目建设资金（包括企业自有资金、地方政府配套资金及银行贷款等）落实的证明材料；</w:t>
      </w:r>
    </w:p>
    <w:p>
      <w:pPr>
        <w:pStyle w:val="12"/>
        <w:numPr>
          <w:ilvl w:val="0"/>
          <w:numId w:val="6"/>
        </w:numPr>
        <w:spacing w:line="596" w:lineRule="exact"/>
        <w:ind w:left="0" w:firstLine="640" w:firstLineChars="200"/>
        <w:rPr>
          <w:rFonts w:eastAsia="仿宋_GB2312"/>
          <w:color w:val="000000"/>
          <w:sz w:val="32"/>
          <w:szCs w:val="32"/>
        </w:rPr>
      </w:pPr>
      <w:r>
        <w:rPr>
          <w:rFonts w:eastAsia="仿宋_GB2312"/>
          <w:color w:val="000000"/>
          <w:sz w:val="32"/>
          <w:szCs w:val="32"/>
        </w:rPr>
        <w:t>其他。</w:t>
      </w:r>
    </w:p>
    <w:p>
      <w:pPr>
        <w:spacing w:line="596" w:lineRule="exact"/>
        <w:ind w:firstLine="560"/>
        <w:rPr>
          <w:rFonts w:eastAsia="方正仿宋_GBK"/>
          <w:color w:val="000000"/>
        </w:rPr>
      </w:pPr>
    </w:p>
    <w:bookmarkEnd w:id="257"/>
    <w:p>
      <w:pPr>
        <w:pStyle w:val="2"/>
        <w:keepNext w:val="0"/>
        <w:keepLines w:val="0"/>
        <w:numPr>
          <w:ilvl w:val="0"/>
          <w:numId w:val="7"/>
        </w:numPr>
        <w:spacing w:before="0" w:after="0" w:line="596" w:lineRule="exact"/>
        <w:rPr>
          <w:rFonts w:ascii="黑体" w:hAnsi="黑体"/>
          <w:color w:val="000000"/>
        </w:rPr>
      </w:pPr>
      <w:r>
        <w:rPr>
          <w:rFonts w:ascii="黑体" w:hAnsi="黑体"/>
          <w:color w:val="000000"/>
        </w:rPr>
        <w:t xml:space="preserve"> </w:t>
      </w:r>
      <w:bookmarkStart w:id="261" w:name="_Toc85643198"/>
      <w:r>
        <w:rPr>
          <w:rFonts w:ascii="黑体" w:hAnsi="黑体"/>
          <w:color w:val="000000"/>
        </w:rPr>
        <w:t xml:space="preserve"> 附图</w:t>
      </w:r>
      <w:bookmarkEnd w:id="261"/>
    </w:p>
    <w:p>
      <w:pPr>
        <w:spacing w:line="596" w:lineRule="exact"/>
        <w:ind w:firstLine="560"/>
        <w:rPr>
          <w:rFonts w:eastAsia="仿宋_GB2312"/>
          <w:color w:val="000000"/>
          <w:sz w:val="32"/>
          <w:szCs w:val="32"/>
        </w:rPr>
      </w:pPr>
    </w:p>
    <w:p>
      <w:pPr>
        <w:spacing w:line="596" w:lineRule="exact"/>
        <w:ind w:firstLine="560"/>
        <w:rPr>
          <w:rFonts w:eastAsia="仿宋_GB2312"/>
          <w:color w:val="000000"/>
          <w:sz w:val="32"/>
          <w:szCs w:val="32"/>
        </w:rPr>
      </w:pPr>
      <w:r>
        <w:rPr>
          <w:rFonts w:eastAsia="仿宋_GB2312"/>
          <w:color w:val="000000"/>
          <w:sz w:val="32"/>
          <w:szCs w:val="32"/>
        </w:rPr>
        <w:t>根据项目需要编制以下附图：</w:t>
      </w:r>
    </w:p>
    <w:p>
      <w:pPr>
        <w:pStyle w:val="12"/>
        <w:numPr>
          <w:ilvl w:val="0"/>
          <w:numId w:val="8"/>
        </w:numPr>
        <w:spacing w:line="596" w:lineRule="exact"/>
        <w:rPr>
          <w:rFonts w:eastAsia="仿宋_GB2312"/>
          <w:color w:val="000000"/>
          <w:sz w:val="32"/>
          <w:szCs w:val="32"/>
        </w:rPr>
      </w:pPr>
      <w:r>
        <w:rPr>
          <w:rFonts w:eastAsia="仿宋_GB2312"/>
          <w:color w:val="000000"/>
          <w:sz w:val="32"/>
          <w:szCs w:val="32"/>
        </w:rPr>
        <w:t>项目建设区位置图</w:t>
      </w:r>
    </w:p>
    <w:p>
      <w:pPr>
        <w:spacing w:line="596" w:lineRule="exact"/>
        <w:ind w:firstLine="560"/>
        <w:rPr>
          <w:rFonts w:eastAsia="仿宋_GB2312"/>
          <w:color w:val="000000"/>
          <w:sz w:val="32"/>
          <w:szCs w:val="32"/>
        </w:rPr>
      </w:pPr>
      <w:r>
        <w:rPr>
          <w:rFonts w:eastAsia="仿宋_GB2312"/>
          <w:color w:val="000000"/>
          <w:sz w:val="32"/>
          <w:szCs w:val="32"/>
        </w:rPr>
        <w:t>明确项目建设区在所属省（自治区、直辖市）的位置。</w:t>
      </w:r>
    </w:p>
    <w:p>
      <w:pPr>
        <w:spacing w:line="596" w:lineRule="exact"/>
        <w:ind w:firstLine="560"/>
        <w:rPr>
          <w:rFonts w:eastAsia="仿宋_GB2312"/>
          <w:color w:val="000000"/>
          <w:sz w:val="32"/>
          <w:szCs w:val="32"/>
        </w:rPr>
      </w:pPr>
      <w:r>
        <w:rPr>
          <w:rFonts w:eastAsia="仿宋_GB2312"/>
          <w:color w:val="000000"/>
          <w:sz w:val="32"/>
          <w:szCs w:val="32"/>
        </w:rPr>
        <w:t>标注主要水系、铁路、主要公路县级以上居住地和主要行政境界，标明与项目区所属省份相邻省（自治区、直辖市）。</w:t>
      </w:r>
    </w:p>
    <w:p>
      <w:pPr>
        <w:pStyle w:val="12"/>
        <w:numPr>
          <w:ilvl w:val="0"/>
          <w:numId w:val="8"/>
        </w:numPr>
        <w:spacing w:line="596" w:lineRule="exact"/>
        <w:rPr>
          <w:rFonts w:eastAsia="仿宋_GB2312"/>
          <w:color w:val="000000"/>
          <w:sz w:val="32"/>
          <w:szCs w:val="32"/>
        </w:rPr>
      </w:pPr>
      <w:r>
        <w:rPr>
          <w:rFonts w:eastAsia="仿宋_GB2312"/>
          <w:color w:val="000000"/>
          <w:sz w:val="32"/>
          <w:szCs w:val="32"/>
        </w:rPr>
        <w:t>土地利用现状图</w:t>
      </w:r>
    </w:p>
    <w:p>
      <w:pPr>
        <w:spacing w:line="596" w:lineRule="exact"/>
        <w:ind w:firstLine="560"/>
        <w:rPr>
          <w:rFonts w:eastAsia="仿宋_GB2312"/>
          <w:color w:val="000000"/>
          <w:sz w:val="32"/>
          <w:szCs w:val="32"/>
        </w:rPr>
      </w:pPr>
      <w:r>
        <w:rPr>
          <w:rFonts w:eastAsia="仿宋_GB2312"/>
          <w:color w:val="000000"/>
          <w:sz w:val="32"/>
          <w:szCs w:val="32"/>
        </w:rPr>
        <w:t>分类标准按照第三次全国国土调查技术规程执行，各地类标注到一级地类，采用线面结合的方式明确各地类的界线和范围。</w:t>
      </w:r>
    </w:p>
    <w:p>
      <w:pPr>
        <w:pStyle w:val="12"/>
        <w:numPr>
          <w:ilvl w:val="0"/>
          <w:numId w:val="8"/>
        </w:numPr>
        <w:spacing w:line="596" w:lineRule="exact"/>
        <w:rPr>
          <w:rFonts w:eastAsia="仿宋_GB2312"/>
          <w:color w:val="000000"/>
          <w:sz w:val="32"/>
          <w:szCs w:val="32"/>
        </w:rPr>
      </w:pPr>
      <w:r>
        <w:rPr>
          <w:rFonts w:eastAsia="仿宋_GB2312"/>
          <w:color w:val="000000"/>
          <w:sz w:val="32"/>
          <w:szCs w:val="32"/>
        </w:rPr>
        <w:t>土地利用规划图</w:t>
      </w:r>
    </w:p>
    <w:p>
      <w:pPr>
        <w:spacing w:line="596" w:lineRule="exact"/>
        <w:ind w:firstLine="560"/>
        <w:rPr>
          <w:rFonts w:eastAsia="仿宋_GB2312"/>
          <w:color w:val="000000"/>
          <w:sz w:val="32"/>
          <w:szCs w:val="32"/>
        </w:rPr>
      </w:pPr>
      <w:r>
        <w:rPr>
          <w:rFonts w:eastAsia="仿宋_GB2312"/>
          <w:color w:val="000000"/>
          <w:sz w:val="32"/>
          <w:szCs w:val="32"/>
        </w:rPr>
        <w:t>根据国土空间规划，编制土地利用规划图，各地类标注到一级地类，采用线面结合的方式明确各地类的界线和范围。</w:t>
      </w:r>
    </w:p>
    <w:p>
      <w:pPr>
        <w:pStyle w:val="12"/>
        <w:numPr>
          <w:ilvl w:val="0"/>
          <w:numId w:val="8"/>
        </w:numPr>
        <w:spacing w:line="596" w:lineRule="exact"/>
        <w:rPr>
          <w:rFonts w:eastAsia="仿宋_GB2312"/>
          <w:color w:val="000000"/>
          <w:sz w:val="32"/>
          <w:szCs w:val="32"/>
        </w:rPr>
      </w:pPr>
      <w:r>
        <w:rPr>
          <w:rFonts w:eastAsia="仿宋_GB2312"/>
          <w:color w:val="000000"/>
          <w:sz w:val="32"/>
          <w:szCs w:val="32"/>
        </w:rPr>
        <w:t>项目分区布局图</w:t>
      </w:r>
    </w:p>
    <w:p>
      <w:pPr>
        <w:spacing w:line="596" w:lineRule="exact"/>
        <w:ind w:firstLine="560"/>
        <w:rPr>
          <w:rFonts w:eastAsia="仿宋_GB2312"/>
          <w:color w:val="000000"/>
          <w:sz w:val="32"/>
          <w:szCs w:val="32"/>
        </w:rPr>
      </w:pPr>
      <w:r>
        <w:rPr>
          <w:rFonts w:eastAsia="仿宋_GB2312"/>
          <w:color w:val="000000"/>
          <w:sz w:val="32"/>
          <w:szCs w:val="32"/>
        </w:rPr>
        <w:t>按项目布局方案划定的不同治理单元，采用线面结合的方式明确各分区的界线和范围。</w:t>
      </w:r>
    </w:p>
    <w:p>
      <w:pPr>
        <w:pStyle w:val="12"/>
        <w:numPr>
          <w:ilvl w:val="0"/>
          <w:numId w:val="8"/>
        </w:numPr>
        <w:spacing w:line="596" w:lineRule="exact"/>
        <w:rPr>
          <w:rFonts w:eastAsia="仿宋_GB2312"/>
          <w:color w:val="000000"/>
          <w:sz w:val="32"/>
          <w:szCs w:val="32"/>
        </w:rPr>
      </w:pPr>
      <w:r>
        <w:rPr>
          <w:rFonts w:eastAsia="仿宋_GB2312"/>
          <w:color w:val="000000"/>
          <w:sz w:val="32"/>
          <w:szCs w:val="32"/>
        </w:rPr>
        <w:t>各治理单元（分区）建设布局图</w:t>
      </w:r>
    </w:p>
    <w:p>
      <w:pPr>
        <w:spacing w:line="596" w:lineRule="exact"/>
        <w:ind w:firstLine="560"/>
        <w:rPr>
          <w:rFonts w:eastAsia="仿宋_GB2312"/>
          <w:color w:val="000000"/>
          <w:sz w:val="32"/>
          <w:szCs w:val="32"/>
        </w:rPr>
      </w:pPr>
      <w:r>
        <w:rPr>
          <w:rFonts w:eastAsia="仿宋_GB2312"/>
          <w:color w:val="000000"/>
          <w:sz w:val="32"/>
          <w:szCs w:val="32"/>
        </w:rPr>
        <w:t>建设布局图要求建设任务落实到地块。</w:t>
      </w:r>
    </w:p>
    <w:p>
      <w:r>
        <w:rPr>
          <w:rFonts w:eastAsia="仿宋_GB2312"/>
          <w:color w:val="000000"/>
          <w:sz w:val="32"/>
          <w:szCs w:val="32"/>
        </w:rPr>
        <w:t>分类标注项目建设主要内容，如：人工造乔木林、人工造灌木林、飞播造林、封山（沙）育林、退化林修复、人工种草、围栏封育、飞播种草、草原改良、湿地修复、荒漠化治理等。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15" w:leftChars="150" w:right="357"/>
      <w:jc w:val="right"/>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93</w:t>
    </w:r>
    <w:r>
      <w:rPr>
        <w:kern w:val="0"/>
        <w:sz w:val="28"/>
        <w:szCs w:val="28"/>
      </w:rPr>
      <w:fldChar w:fldCharType="end"/>
    </w:r>
    <w:r>
      <w:rPr>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15" w:leftChars="150" w:right="357"/>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94</w:t>
    </w:r>
    <w:r>
      <w:rPr>
        <w:kern w:val="0"/>
        <w:sz w:val="28"/>
        <w:szCs w:val="28"/>
      </w:rPr>
      <w:fldChar w:fldCharType="end"/>
    </w:r>
    <w:r>
      <w:rPr>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D0449"/>
    <w:multiLevelType w:val="multilevel"/>
    <w:tmpl w:val="13FD0449"/>
    <w:lvl w:ilvl="0" w:tentative="0">
      <w:start w:val="1"/>
      <w:numFmt w:val="decimal"/>
      <w:suff w:val="nothing"/>
      <w:lvlText w:val="%1"/>
      <w:lvlJc w:val="left"/>
      <w:pPr>
        <w:ind w:left="705" w:hanging="425"/>
      </w:pPr>
      <w:rPr>
        <w:rFonts w:hint="default" w:ascii="黑体" w:hAnsi="黑体" w:eastAsia="黑体" w:cs="黑体"/>
        <w:sz w:val="44"/>
        <w:szCs w:val="44"/>
        <w:highlight w:val="none"/>
      </w:rPr>
    </w:lvl>
    <w:lvl w:ilvl="1" w:tentative="0">
      <w:start w:val="1"/>
      <w:numFmt w:val="decimal"/>
      <w:lvlText w:val="(%2)"/>
      <w:lvlJc w:val="left"/>
      <w:pPr>
        <w:ind w:left="1127" w:hanging="567"/>
      </w:pPr>
      <w:rPr>
        <w:rFonts w:hint="eastAsia"/>
        <w:color w:val="auto"/>
        <w:highlight w:val="none"/>
      </w:rPr>
    </w:lvl>
    <w:lvl w:ilvl="2" w:tentative="0">
      <w:start w:val="1"/>
      <w:numFmt w:val="decimal"/>
      <w:suff w:val="nothing"/>
      <w:lvlText w:val="%1.%2.%3"/>
      <w:lvlJc w:val="left"/>
      <w:pPr>
        <w:ind w:left="1560" w:hanging="567"/>
      </w:pPr>
      <w:rPr>
        <w:rFonts w:hint="default"/>
        <w:highlight w:val="none"/>
      </w:rPr>
    </w:lvl>
    <w:lvl w:ilvl="3" w:tentative="0">
      <w:start w:val="1"/>
      <w:numFmt w:val="decimal"/>
      <w:lvlText w:val="%1.%2.%3.%4"/>
      <w:lvlJc w:val="left"/>
      <w:pPr>
        <w:ind w:left="1828" w:hanging="708"/>
      </w:pPr>
      <w:rPr>
        <w:rFonts w:hint="default"/>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1">
    <w:nsid w:val="15033E4A"/>
    <w:multiLevelType w:val="multilevel"/>
    <w:tmpl w:val="15033E4A"/>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49952A91"/>
    <w:multiLevelType w:val="multilevel"/>
    <w:tmpl w:val="49952A91"/>
    <w:lvl w:ilvl="0" w:tentative="0">
      <w:start w:val="1"/>
      <w:numFmt w:val="decimal"/>
      <w:suff w:val="nothing"/>
      <w:lvlText w:val="%1"/>
      <w:lvlJc w:val="left"/>
      <w:pPr>
        <w:ind w:left="705" w:hanging="425"/>
      </w:pPr>
      <w:rPr>
        <w:rFonts w:hint="default" w:ascii="Times New Roman" w:hAnsi="Times New Roman" w:eastAsia="方正小标宋简体" w:cs="Times New Roman"/>
        <w:sz w:val="36"/>
        <w:szCs w:val="44"/>
        <w:highlight w:val="none"/>
      </w:rPr>
    </w:lvl>
    <w:lvl w:ilvl="1" w:tentative="0">
      <w:start w:val="1"/>
      <w:numFmt w:val="decimal"/>
      <w:suff w:val="nothing"/>
      <w:lvlText w:val="%1.%2"/>
      <w:lvlJc w:val="left"/>
      <w:pPr>
        <w:ind w:left="1127" w:hanging="567"/>
      </w:pPr>
      <w:rPr>
        <w:rFonts w:hint="default"/>
        <w:color w:val="auto"/>
        <w:highlight w:val="none"/>
      </w:rPr>
    </w:lvl>
    <w:lvl w:ilvl="2" w:tentative="0">
      <w:start w:val="1"/>
      <w:numFmt w:val="decimal"/>
      <w:suff w:val="nothing"/>
      <w:lvlText w:val="%1.%2.%3"/>
      <w:lvlJc w:val="left"/>
      <w:pPr>
        <w:ind w:left="1560" w:hanging="567"/>
      </w:pPr>
      <w:rPr>
        <w:rFonts w:hint="default"/>
        <w:highlight w:val="none"/>
      </w:rPr>
    </w:lvl>
    <w:lvl w:ilvl="3" w:tentative="0">
      <w:start w:val="1"/>
      <w:numFmt w:val="decimal"/>
      <w:lvlText w:val="%1.%2.%3.%4"/>
      <w:lvlJc w:val="left"/>
      <w:pPr>
        <w:ind w:left="1828" w:hanging="708"/>
      </w:pPr>
      <w:rPr>
        <w:rFonts w:hint="default"/>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3">
    <w:nsid w:val="56C038D2"/>
    <w:multiLevelType w:val="multilevel"/>
    <w:tmpl w:val="56C038D2"/>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66CE3E89"/>
    <w:multiLevelType w:val="multilevel"/>
    <w:tmpl w:val="66CE3E89"/>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73AC6745"/>
    <w:multiLevelType w:val="multilevel"/>
    <w:tmpl w:val="73AC6745"/>
    <w:lvl w:ilvl="0" w:tentative="0">
      <w:start w:val="15"/>
      <w:numFmt w:val="decimal"/>
      <w:suff w:val="nothing"/>
      <w:lvlText w:val="%1"/>
      <w:lvlJc w:val="left"/>
      <w:pPr>
        <w:ind w:left="705" w:hanging="425"/>
      </w:pPr>
      <w:rPr>
        <w:rFonts w:hint="default" w:ascii="Times New Roman" w:hAnsi="Times New Roman" w:eastAsia="方正小标宋简体" w:cs="Times New Roman"/>
        <w:b w:val="0"/>
        <w:sz w:val="42"/>
        <w:szCs w:val="44"/>
      </w:rPr>
    </w:lvl>
    <w:lvl w:ilvl="1" w:tentative="0">
      <w:start w:val="1"/>
      <w:numFmt w:val="decimal"/>
      <w:suff w:val="nothing"/>
      <w:lvlText w:val="%1.%2"/>
      <w:lvlJc w:val="left"/>
      <w:pPr>
        <w:ind w:left="1127" w:hanging="567"/>
      </w:pPr>
      <w:rPr>
        <w:rFonts w:hint="default"/>
        <w:color w:val="auto"/>
      </w:rPr>
    </w:lvl>
    <w:lvl w:ilvl="2" w:tentative="0">
      <w:start w:val="1"/>
      <w:numFmt w:val="decimal"/>
      <w:suff w:val="nothing"/>
      <w:lvlText w:val="%1.%2.%3"/>
      <w:lvlJc w:val="left"/>
      <w:pPr>
        <w:ind w:left="1407" w:hanging="567"/>
      </w:pPr>
      <w:rPr>
        <w:rFonts w:hint="default"/>
      </w:rPr>
    </w:lvl>
    <w:lvl w:ilvl="3" w:tentative="0">
      <w:start w:val="1"/>
      <w:numFmt w:val="decimal"/>
      <w:lvlText w:val="%1.%2.%3.%4"/>
      <w:lvlJc w:val="left"/>
      <w:pPr>
        <w:ind w:left="1828" w:hanging="708"/>
      </w:pPr>
      <w:rPr>
        <w:rFonts w:hint="default"/>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6">
    <w:nsid w:val="76451734"/>
    <w:multiLevelType w:val="multilevel"/>
    <w:tmpl w:val="76451734"/>
    <w:lvl w:ilvl="0" w:tentative="0">
      <w:start w:val="16"/>
      <w:numFmt w:val="decimal"/>
      <w:suff w:val="nothing"/>
      <w:lvlText w:val="%1"/>
      <w:lvlJc w:val="left"/>
      <w:pPr>
        <w:ind w:left="705" w:hanging="425"/>
      </w:pPr>
      <w:rPr>
        <w:rFonts w:hint="default" w:ascii="Times New Roman" w:hAnsi="Times New Roman" w:eastAsia="黑体" w:cs="Times New Roman"/>
        <w:sz w:val="44"/>
        <w:szCs w:val="44"/>
      </w:rPr>
    </w:lvl>
    <w:lvl w:ilvl="1" w:tentative="0">
      <w:start w:val="1"/>
      <w:numFmt w:val="decimal"/>
      <w:suff w:val="nothing"/>
      <w:lvlText w:val="%1.%2"/>
      <w:lvlJc w:val="left"/>
      <w:pPr>
        <w:ind w:left="1127" w:hanging="567"/>
      </w:pPr>
      <w:rPr>
        <w:rFonts w:hint="default"/>
        <w:color w:val="auto"/>
      </w:rPr>
    </w:lvl>
    <w:lvl w:ilvl="2" w:tentative="0">
      <w:start w:val="1"/>
      <w:numFmt w:val="decimal"/>
      <w:suff w:val="nothing"/>
      <w:lvlText w:val="%1.%2.%3"/>
      <w:lvlJc w:val="left"/>
      <w:pPr>
        <w:ind w:left="1407" w:hanging="567"/>
      </w:pPr>
      <w:rPr>
        <w:rFonts w:hint="default"/>
      </w:rPr>
    </w:lvl>
    <w:lvl w:ilvl="3" w:tentative="0">
      <w:start w:val="1"/>
      <w:numFmt w:val="decimal"/>
      <w:lvlText w:val="%1.%2.%3.%4"/>
      <w:lvlJc w:val="left"/>
      <w:pPr>
        <w:ind w:left="1828" w:hanging="708"/>
      </w:pPr>
      <w:rPr>
        <w:rFonts w:hint="default"/>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7">
    <w:nsid w:val="7EB245D7"/>
    <w:multiLevelType w:val="multilevel"/>
    <w:tmpl w:val="7EB245D7"/>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4"/>
  </w:num>
  <w:num w:numId="3">
    <w:abstractNumId w:val="0"/>
  </w:num>
  <w:num w:numId="4">
    <w:abstractNumId w:val="7"/>
  </w:num>
  <w:num w:numId="5">
    <w:abstractNumId w:val="5"/>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75308"/>
    <w:rsid w:val="50775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jc w:val="center"/>
      <w:outlineLvl w:val="0"/>
    </w:pPr>
    <w:rPr>
      <w:rFonts w:eastAsia="黑体"/>
      <w:bCs/>
      <w:kern w:val="44"/>
      <w:sz w:val="36"/>
      <w:szCs w:val="36"/>
    </w:rPr>
  </w:style>
  <w:style w:type="paragraph" w:styleId="3">
    <w:name w:val="heading 2"/>
    <w:basedOn w:val="1"/>
    <w:next w:val="1"/>
    <w:qFormat/>
    <w:uiPriority w:val="9"/>
    <w:pPr>
      <w:keepNext/>
      <w:keepLines/>
      <w:spacing w:before="260" w:after="260" w:line="415" w:lineRule="auto"/>
      <w:outlineLvl w:val="1"/>
    </w:pPr>
    <w:rPr>
      <w:rFonts w:ascii="Cambria" w:hAnsi="Cambria" w:eastAsia="黑体"/>
      <w:bCs/>
      <w:sz w:val="32"/>
      <w:szCs w:val="32"/>
    </w:rPr>
  </w:style>
  <w:style w:type="paragraph" w:styleId="4">
    <w:name w:val="heading 3"/>
    <w:basedOn w:val="1"/>
    <w:next w:val="1"/>
    <w:qFormat/>
    <w:uiPriority w:val="9"/>
    <w:pPr>
      <w:keepNext/>
      <w:keepLines/>
      <w:spacing w:line="415" w:lineRule="auto"/>
      <w:outlineLvl w:val="2"/>
    </w:pPr>
    <w:rPr>
      <w:rFonts w:eastAsia="黑体"/>
      <w:bCs/>
      <w:kern w:val="0"/>
      <w:sz w:val="30"/>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tabs>
        <w:tab w:val="right" w:leader="dot" w:pos="8296"/>
      </w:tabs>
      <w:spacing w:line="480" w:lineRule="exact"/>
      <w:jc w:val="left"/>
    </w:pPr>
    <w:rPr>
      <w:kern w:val="0"/>
      <w:sz w:val="22"/>
    </w:rPr>
  </w:style>
  <w:style w:type="character" w:styleId="11">
    <w:name w:val="Hyperlink"/>
    <w:unhideWhenUsed/>
    <w:qFormat/>
    <w:uiPriority w:val="99"/>
    <w:rPr>
      <w:color w:val="0000FF"/>
      <w:u w:val="single"/>
    </w:rPr>
  </w:style>
  <w:style w:type="paragraph" w:styleId="12">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2021-12-24T07:41:00Z</dcterms:created>
  <dc:creator>郑旋</dc:creator>
  <cp:lastModifiedBy>郑旋</cp:lastModifiedBy>
  <dcterms:modified xsi:type="dcterms:W3CDTF">2021-12-24T07:42:09Z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8CBAF36DC3944C40AB15940A7FFDCA31</vt:lpwstr>
  </property>
</Properties>
</file>