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rFonts w:ascii="Times New Roman" w:hAnsi="Times New Roman" w:eastAsia="方正小标宋_GBK" w:cs="Times New Roman"/>
          <w:sz w:val="42"/>
          <w:szCs w:val="42"/>
        </w:rPr>
      </w:pPr>
      <w:bookmarkStart w:id="0" w:name="_GoBack"/>
      <w:r>
        <w:rPr>
          <w:rFonts w:ascii="Times New Roman" w:hAnsi="Times New Roman" w:eastAsia="方正小标宋_GBK" w:cs="Times New Roman"/>
          <w:sz w:val="42"/>
          <w:szCs w:val="42"/>
        </w:rPr>
        <w:t>湖南省景区门票定价成本监审办法</w:t>
      </w:r>
    </w:p>
    <w:p>
      <w:pPr>
        <w:spacing w:line="596" w:lineRule="exact"/>
        <w:jc w:val="center"/>
        <w:rPr>
          <w:rFonts w:ascii="Times New Roman" w:hAnsi="Times New Roman" w:eastAsia="方正小标宋_GBK" w:cs="Times New Roman"/>
          <w:sz w:val="42"/>
          <w:szCs w:val="42"/>
        </w:rPr>
      </w:pPr>
      <w:r>
        <w:rPr>
          <w:rFonts w:ascii="Times New Roman" w:hAnsi="Times New Roman" w:eastAsia="方正小标宋_GBK" w:cs="Times New Roman"/>
          <w:sz w:val="42"/>
          <w:szCs w:val="42"/>
        </w:rPr>
        <w:t>(征求意见稿）</w:t>
      </w:r>
    </w:p>
    <w:bookmarkEnd w:id="0"/>
    <w:p>
      <w:pPr>
        <w:spacing w:line="596" w:lineRule="exact"/>
        <w:jc w:val="center"/>
        <w:rPr>
          <w:rFonts w:ascii="Times New Roman" w:hAnsi="Times New Roman" w:eastAsia="方正小标宋_GBK" w:cs="Times New Roman"/>
          <w:sz w:val="42"/>
          <w:szCs w:val="42"/>
        </w:rPr>
      </w:pPr>
    </w:p>
    <w:p>
      <w:pPr>
        <w:spacing w:line="596"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第一章  总则</w:t>
      </w:r>
    </w:p>
    <w:p>
      <w:pPr>
        <w:spacing w:line="596" w:lineRule="exact"/>
        <w:rPr>
          <w:rFonts w:ascii="Times New Roman" w:hAnsi="Times New Roman" w:eastAsia="仿宋_GB2312" w:cs="Times New Roman"/>
          <w:sz w:val="32"/>
          <w:szCs w:val="32"/>
        </w:rPr>
      </w:pP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第一条  为规范景区门票定价成本监审行为，提高政府制定景区门票价格的科学性、合理性，根据《中华人民共和国价格法》、《政府制定价格成本监审办法》（中华人民共和国发展和改革委员会令第8号）、《关于完善国有景区门票价格形成机制降低重点国有景区门票价格的指导意见 》 (发改价格〔2018〕951号) 等有关规定，制定本办法。</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第二条  本办法适用于湖南省境内政府价格主管部门对实行政府制定价格的景区门票实施定价成本监审的行为。</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第三条  本办法所称景区门票定价成本监审是指政府价格主管部门通过审核景区经营者成本，核定景区门票定价成本的行为。</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第四条  本办法所称景区门票定价成本，是指政府价格主管部门核定的经营者为景区游览区域范围内维持景区正常运营所需的合理支出，是政府价格主管部门制定景区门票价格的基本依据。</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第五条  景区门票定价成本监审应遵循以下原则：</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（一）合法性原则。计入景区定价成本的各项费用应当符合有关法律、法规、规范性文件、会计制度以及价格监管制度等规定。</w:t>
      </w: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t xml:space="preserve">    （二）相关性原则。计入景区门票定价成本的费用，应当与景区经营活动直接相关或间接相关。</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合理性原则。计入景区定价成本的各项费用应当反映经营活动正常需要，并按照合理方法和合理价格核算；景区建设投资应与服务提供量相适应；影响景区定价成本水平的主要技术、经济指标应当符合社会公允水平。</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第六条  各级定价机关负责组织实施本级定价权限范围内的景区价格成本监审，履行主体责任，对成本监审结论负责。</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第七条  景区经营者应当根据政府定价成本监审的要求，如实提供相关成本资料，并对所提供资料的真实性、合法性负责。对于不按要求提供成本资料或提供虚假成本资料的，按《政府制定价格成本监审办法》规定，定价机关可以中止成本监审、按照从低原则核定成本，并将其不良信用记录纳入全国信用信息共享平台，实施失信联合惩戒。</w:t>
      </w:r>
    </w:p>
    <w:p>
      <w:pPr>
        <w:spacing w:line="596" w:lineRule="exact"/>
        <w:rPr>
          <w:rFonts w:ascii="Times New Roman" w:hAnsi="Times New Roman" w:eastAsia="仿宋_GB2312" w:cs="Times New Roman"/>
          <w:sz w:val="32"/>
          <w:szCs w:val="32"/>
        </w:rPr>
      </w:pPr>
    </w:p>
    <w:p>
      <w:pPr>
        <w:spacing w:line="596"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第二章  定价成本构成和归集</w:t>
      </w:r>
    </w:p>
    <w:p>
      <w:pPr>
        <w:spacing w:line="596" w:lineRule="exact"/>
        <w:rPr>
          <w:rFonts w:ascii="Times New Roman" w:hAnsi="Times New Roman" w:eastAsia="仿宋_GB2312" w:cs="Times New Roman"/>
          <w:sz w:val="32"/>
          <w:szCs w:val="32"/>
        </w:rPr>
      </w:pP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第八条  景区门票定价成本包括人员费用、公用支出、折旧及摊销费、财务费用。 </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第九条  人员费用是指景区经营者为维持景区正常运营，获得职工提供的服务而给予各种形式的报酬以及其他相关支出。具体包括职工工资（奖金、津贴和补贴）；职工福利费；工会经费；职工教育经费；基本养老保险费、基本医疗保险费、失业保险费、工伤保险费和生育保险费等社会保险费，以及按照法律法规规定为职工缴纳的补充医疗保险费和补充养老保险费；住房公积金等。</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第十条  公用支出指景区经营者为维持景区正常运营，为游客提供基本游览服务的公用费用。包括景区规划费、广告宣传费、景观文物古建筑维护费、维修费、门票印制费、绿化维护费、其它相关费用等。</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（一）景区规划费，指景区开发、升级或新建游览参观点的设计规划费。</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（二）广告宣传费，指景区投入的广告费和业务推广宣传费用。</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（三）景观文物古建筑维护费，指景区用于文物、古建筑、生态系统、珍贵名贵动植物的专项维修、保护费用。</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（四）维修费，指维持景区正常运营所进行的日常修理和维护活动发生的费用，包括各类设备维修费，单位公用房屋、建筑物及附属设备的维修费。</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（五）票据印制费，指景区印制门票等相关票据发生的费用。</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（六）绿化维护费，指景区投入的日常绿化维护费用。</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七）其他相关费用，指维持景区正常运营所发生的其他有关费用。包括办公费、水电费、取暖费、邮电费、交通费、差旅费、会议费、物料消耗、低值易耗品摊销、培训费、董事会会费、劳务费、租赁费、物业管理费、业务招待费、财产保险费等。 </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第十一条  折旧及摊销费指为游客提供基本游览服务所需的固定资产、无形资产按照规定的折旧和摊销年限计提的费用。</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第十二条  财务费用，指景区经营管理者为筹集资金而发生的费用，包括利息支出(减利息收入)、汇兑净损失、金融机构手续费等。</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第十三条  下列费用不得计入景区门票定价成本：</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（一）经营者非持续、非正常经营活动造成的不合理费用；       </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（二）景区支出中依法应由各级政府承担部分；</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（三）与旅游景点经营活动无关的费用或虽与旅游景点生产经营活动有关，但有专项资金来源予以补偿的费用；</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（四）固定资产盘亏、毁损、闲置和出售的净损失；</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（五）向上级公司或者管理部门上交的利润性质的管理费用、代上级公司或者管理部门缴纳的各项费用、向出资人支付的利润分成以及对附属单位的补助支出等；　</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（六）各类捐赠、赞助、滞纳金、违约金、罚款，以及计提的准备金；</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（七）公益广告、公益宣传费用；</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（八）经营者过度购置固定资产所增加的支出（折旧、修理费、借款利息等）；</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（九）其他不合理费用。</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第十四条  多景点的景区应按单项景点分别归集成本，与单项景点运营直接相关的成本直接计入，各景点共用成本应当按照一定比例分摊后计入，该比例可采用直接人员数量比、资产比或者其他合理方法确定。</w:t>
      </w:r>
    </w:p>
    <w:p>
      <w:pPr>
        <w:spacing w:line="596" w:lineRule="exact"/>
        <w:jc w:val="center"/>
        <w:rPr>
          <w:rFonts w:ascii="Times New Roman" w:hAnsi="Times New Roman" w:eastAsia="黑体" w:cs="Times New Roman"/>
          <w:sz w:val="32"/>
          <w:szCs w:val="32"/>
        </w:rPr>
      </w:pPr>
    </w:p>
    <w:p>
      <w:pPr>
        <w:spacing w:line="596"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第三章  定价成本核定</w:t>
      </w:r>
    </w:p>
    <w:p>
      <w:pPr>
        <w:spacing w:line="596" w:lineRule="exact"/>
        <w:rPr>
          <w:rFonts w:ascii="Times New Roman" w:hAnsi="Times New Roman" w:eastAsia="仿宋_GB2312" w:cs="Times New Roman"/>
          <w:sz w:val="32"/>
          <w:szCs w:val="32"/>
        </w:rPr>
      </w:pP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第十五条  核定景区门票定价成本，应当以经会计师事务所审计或者政府有关部门审核的年度财务会计报告以及手续齐备的原始凭证及账册为基础。</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第十六条  职工工资总额按照核定的职工人数和职工平均工资核定。其中，职工平均工资原则上据实核定，但最高不得超过景区所在地统计部门当年公布的该行业职工平均工资水平或城镇在岗职工平均工资水平。职工人数的核定应遵循以下原则：一是有国家或上级主管部门规定定员标准的，若实有人数没有超过定员标准的据实核定；若实有人数超过定员标准上限的，按定员标准上限核定。二是没有规定定员标准的，按项目设计人数或景区双方订立劳动合同的实有人数核定。</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因解除与职工的劳动关系给予的补偿，按照不低于5年分摊计入定价成本。</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第十七条  职工福利费、工会经费、职工教育经费、社会保险费(包含补充医疗和补充养老保险)、住房公积金，原则上据实核定，但最高不得超过计入定价成本的职工工资总额和规定比例的乘积。</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依据签订的劳务派遣协议所支付的劳务费不得进入职工工资总额，也不得作为社会保障费的计提基数。应当在工会经费、职工教育经费和职工福利费中列支的费用，不得在其他费用项目中列支。</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第十八条  景区规划费采用待摊方式确定，有明确受益年限的，按实际受益年限分摊，没有明确受益年限的，按实际发生额不低于20年进行分摊。如存在多项景区规划费用还应按合理方法进行分摊计入定价成本。</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第十九条  广告宣传费不超过当年该景区主营业务收入的15%。</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第二十条  景观文物古建筑维护费按其维护周期进行摊销。</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第二十一条  维修费原则上据实核定，最高不超过维持景区正常运营所需固定资产的2%。符合下列条件之一的固定资产维修，应视为固定资产改良支出：</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（一）一次性发生的维修支出达到该固定资产原值20%以上；</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（二）经过维修后该项固定资产使用寿命延长2年以上的；</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（三）经过维修后该项固定资产生产能力提高；</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（四）经过维修后的固定资产被用于新的或不同的用途。</w:t>
      </w:r>
    </w:p>
    <w:p>
      <w:pPr>
        <w:spacing w:line="596"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以经营租赁方式租入的固定资产改良支出，应予资本化，作为长期待摊费用在租赁有效期内平均摊销。自有固定资产改良支出，应当计入固定资产账面价值，并按预计尚可使用年限计提折旧。</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第二十二条  其他公用费用原则上据实核定，但应参考近3年变化并剔除不合理因素。其中业务招待费，企业单位最高不得超过当年该旅游景点营业收入的5‰；事业单位不超过当年公用支出（扣除招待费和维修费）的2%，超出的予以核减，未超出的不核增。财产保险费按受益期进行分摊。</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第二十三条  固定资产折旧方法采用年限平均法。包含房屋及构筑物，通用设备，专用设备，文物和陈列品，图书、档案，家具、用具、装具等六大类。固定资产残值率原则上按原值的5%确定。</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文物、古建筑、珍贵名贵动植物、陈列品、艺术品，不计提折旧或者摊销费用。图书、档案不计提折旧，但图书、档案当年开支可以计入成本。对于特许经营期满后资产无偿移交的，固定资产折旧年限最高不超过特许经营期。按设备购置年限已经提取完折旧的设备（以账目日期为准），不再计提。未投入实际使用的、不能提供价值有效证明的、由政府补助或者社会无偿投入的资产，以及评估增值的部分不得计提折旧。</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第二十四条  无形资产从开始使用之日起，在有效使用期限内分摊计入定价成本。特许经营权费用原则上不得计入定价成本。如政府明文规定允许特许经营权费用计入定价成本的，有特许经营年限的按照特许经营年限分摊计入；没有特许经营年限的按30年分摊计入。专利权等其他无形资产，有明确受益年限的按受益年限分摊，未明确受益年限的按不少于10年摊销。</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第二十五条  财务费用中的贷款利息总额原则上根据实际贷款额及中国人民银行公布的同期贷款利率核定，并按照还贷期计算年平均贷款利息。贷款总额按国务院《关于调整固定资产投资项目资本金比例的通知》(国发〔2009〕27号)中其他项目最低资本金比例不得低于20%的规定确定，贷款总额没有超过投资总额80%的，据实核定贷款利息；贷款总额超过投资总额80%的，按投资额的80%核定贷款利息。</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第二十六条  经营者获得的政府补助或者社会捐赠，用于购置固定资产的，按有关规定核算；用于补助专门项目的，直接冲减该项费用；未明确专项用途的，应当冲减总成本。</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第二十七条  本办法未规定的其他费用，有关法律法规和国家政策已明确规定核算原则和标准的，按照相关规定核定；没有明确规定的，原则上据实核定，但应当符合公允水平。</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第二十八条  其他业务成本应当单独核算，不计入定价成本。其他业务与景区共同使用资产、人员或者统一支付费用，依托景区从事生产经营活动，以及因从事景区业务而获得政府优惠政策设立的休闲、观光、餐饮、娱乐、交通运输、场地及设施出租等经营项目，不能单独核算或者核算不合理的，应当将经营业务收入按照一定比例冲减总成本。该比例可采用收入比、直接人员数量比、资产比或者其他合理方法确定。</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第二十九条  年接待游客数是指一个会计年度内的接待游客总人数。包括普通游客数、优惠游客数和免费游客数。对于优惠游客数在核定时应折算为标准游客人数，按相关规定，对旅行社等团购、网络订票的散客门票的优惠幅度不得超过20%，那么在折算标准游客数时最低不能低于0.8的系数。另外，对于新建或尚不成熟景区，由于知名度等原因造成游客数还不正常的景区，按以下原则核定：年接待游客数未达到可行性研究报告预计游客数60%的，按60%核定;超过60%的据实核定。</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第三十条  旅游景点门票单位定价成本按以下公式计算：</w:t>
      </w:r>
    </w:p>
    <w:p>
      <w:pPr>
        <w:spacing w:line="596"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定价总成本＝人员费用+公用支出+折旧及摊销费用+财务费用－冲减成本的收入</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标准游客数=接待普通游客×1+接待优惠游客×（优惠票价÷全价票价）+免费游客数(不含政策性免票游客数)</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单位定价成本＝定价总成本÷标准游客数</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第三十一条  设有通票、联票的景区，景区定价总成本应等于各单项景点门票定价成本之和。</w:t>
      </w:r>
    </w:p>
    <w:p>
      <w:pPr>
        <w:spacing w:line="596" w:lineRule="exact"/>
        <w:rPr>
          <w:rFonts w:ascii="Times New Roman" w:hAnsi="Times New Roman" w:eastAsia="仿宋_GB2312" w:cs="Times New Roman"/>
          <w:sz w:val="32"/>
          <w:szCs w:val="32"/>
        </w:rPr>
      </w:pPr>
    </w:p>
    <w:p>
      <w:pPr>
        <w:spacing w:line="596" w:lineRule="exact"/>
        <w:jc w:val="center"/>
        <w:rPr>
          <w:rFonts w:ascii="Times New Roman" w:hAnsi="Times New Roman" w:eastAsia="黑体" w:cs="Times New Roman"/>
          <w:sz w:val="32"/>
          <w:szCs w:val="32"/>
        </w:rPr>
      </w:pPr>
    </w:p>
    <w:p>
      <w:pPr>
        <w:spacing w:line="596"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第四章   附  则</w:t>
      </w:r>
    </w:p>
    <w:p>
      <w:pPr>
        <w:spacing w:line="596" w:lineRule="exact"/>
        <w:rPr>
          <w:rFonts w:ascii="Times New Roman" w:hAnsi="Times New Roman" w:eastAsia="仿宋_GB2312" w:cs="Times New Roman"/>
          <w:sz w:val="32"/>
          <w:szCs w:val="32"/>
        </w:rPr>
      </w:pP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第三十二条  本办法由湖南省发展和改革委员会负责解释。</w:t>
      </w:r>
    </w:p>
    <w:p>
      <w:r>
        <w:rPr>
          <w:rFonts w:ascii="Times New Roman" w:hAnsi="Times New Roman" w:eastAsia="仿宋_GB2312" w:cs="Times New Roman"/>
          <w:sz w:val="32"/>
          <w:szCs w:val="32"/>
        </w:rPr>
        <w:t>第三十三条  本办法自发布2022年 月 日起执行。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B17E11"/>
    <w:rsid w:val="17B17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2022-01-26T08:41:00Z</dcterms:created>
  <dc:creator>郑旋</dc:creator>
  <cp:lastModifiedBy>郑旋</cp:lastModifiedBy>
  <dcterms:modified xsi:type="dcterms:W3CDTF">2022-01-26T08:42:01Z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3BD435D9E6404B1E959CFDB2CB2C2CD7</vt:lpwstr>
  </property>
</Properties>
</file>