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6" w:rsidRDefault="00124916" w:rsidP="00124916">
      <w:pPr>
        <w:rPr>
          <w:rFonts w:ascii="华文仿宋" w:eastAsia="华文仿宋" w:hAnsi="华文仿宋" w:hint="eastAsia"/>
          <w:sz w:val="32"/>
          <w:szCs w:val="32"/>
        </w:rPr>
      </w:pPr>
      <w:r>
        <w:rPr>
          <w:rFonts w:ascii="华文仿宋" w:eastAsia="华文仿宋" w:hAnsi="华文仿宋" w:hint="eastAsia"/>
          <w:sz w:val="32"/>
          <w:szCs w:val="32"/>
        </w:rPr>
        <w:t>附件：</w:t>
      </w:r>
    </w:p>
    <w:p w:rsidR="00124916" w:rsidRDefault="00124916" w:rsidP="00124916">
      <w:pPr>
        <w:rPr>
          <w:rFonts w:ascii="华文仿宋" w:eastAsia="华文仿宋" w:hAnsi="华文仿宋" w:hint="eastAsia"/>
          <w:sz w:val="32"/>
          <w:szCs w:val="32"/>
        </w:rPr>
      </w:pPr>
    </w:p>
    <w:p w:rsidR="00124916" w:rsidRDefault="00124916" w:rsidP="00124916">
      <w:pPr>
        <w:jc w:val="center"/>
        <w:rPr>
          <w:rFonts w:ascii="方正小标宋简体" w:eastAsia="方正小标宋简体" w:hAnsi="宋体" w:cs="宋体" w:hint="eastAsia"/>
          <w:spacing w:val="-4"/>
          <w:kern w:val="0"/>
          <w:sz w:val="44"/>
          <w:szCs w:val="44"/>
        </w:rPr>
      </w:pPr>
      <w:r>
        <w:rPr>
          <w:rFonts w:ascii="方正小标宋简体" w:eastAsia="方正小标宋简体" w:hAnsi="宋体" w:cs="宋体" w:hint="eastAsia"/>
          <w:spacing w:val="-4"/>
          <w:kern w:val="0"/>
          <w:sz w:val="44"/>
          <w:szCs w:val="44"/>
        </w:rPr>
        <w:t>拟增补纳入国家专项建设基金支持范围的独立工矿区基本情况</w:t>
      </w:r>
    </w:p>
    <w:p w:rsidR="00124916" w:rsidRDefault="00124916" w:rsidP="00124916">
      <w:pPr>
        <w:jc w:val="center"/>
        <w:rPr>
          <w:rFonts w:ascii="方正小标宋简体" w:eastAsia="方正小标宋简体" w:hAnsi="宋体" w:cs="宋体" w:hint="eastAsia"/>
          <w:spacing w:val="-4"/>
          <w:kern w:val="0"/>
          <w:sz w:val="36"/>
          <w:szCs w:val="36"/>
        </w:rPr>
      </w:pPr>
    </w:p>
    <w:tbl>
      <w:tblPr>
        <w:tblStyle w:val="a3"/>
        <w:tblW w:w="0" w:type="auto"/>
        <w:tblInd w:w="0" w:type="dxa"/>
        <w:tblLayout w:type="fixed"/>
        <w:tblLook w:val="0000" w:firstRow="0" w:lastRow="0" w:firstColumn="0" w:lastColumn="0" w:noHBand="0" w:noVBand="0"/>
      </w:tblPr>
      <w:tblGrid>
        <w:gridCol w:w="1877"/>
        <w:gridCol w:w="12200"/>
      </w:tblGrid>
      <w:tr w:rsidR="00124916" w:rsidTr="00640A7D">
        <w:trPr>
          <w:trHeight w:val="814"/>
        </w:trPr>
        <w:tc>
          <w:tcPr>
            <w:tcW w:w="1877" w:type="dxa"/>
          </w:tcPr>
          <w:p w:rsidR="00124916" w:rsidRDefault="00124916" w:rsidP="00640A7D">
            <w:pPr>
              <w:spacing w:line="596" w:lineRule="exact"/>
              <w:jc w:val="center"/>
              <w:rPr>
                <w:rFonts w:ascii="黑体" w:eastAsia="黑体" w:hAnsi="黑体" w:cs="黑体" w:hint="eastAsia"/>
                <w:sz w:val="32"/>
                <w:szCs w:val="32"/>
              </w:rPr>
            </w:pPr>
            <w:r>
              <w:rPr>
                <w:rFonts w:ascii="黑体" w:eastAsia="黑体" w:hAnsi="黑体" w:cs="黑体" w:hint="eastAsia"/>
                <w:sz w:val="32"/>
                <w:szCs w:val="32"/>
              </w:rPr>
              <w:t>名称</w:t>
            </w:r>
          </w:p>
        </w:tc>
        <w:tc>
          <w:tcPr>
            <w:tcW w:w="12200" w:type="dxa"/>
          </w:tcPr>
          <w:p w:rsidR="00124916" w:rsidRDefault="00124916" w:rsidP="00640A7D">
            <w:pPr>
              <w:spacing w:line="596" w:lineRule="exact"/>
              <w:jc w:val="center"/>
              <w:rPr>
                <w:rFonts w:ascii="黑体" w:eastAsia="黑体" w:hAnsi="黑体" w:cs="黑体" w:hint="eastAsia"/>
                <w:sz w:val="32"/>
                <w:szCs w:val="32"/>
              </w:rPr>
            </w:pPr>
            <w:r>
              <w:rPr>
                <w:rFonts w:ascii="黑体" w:eastAsia="黑体" w:hAnsi="黑体" w:cs="黑体" w:hint="eastAsia"/>
                <w:sz w:val="32"/>
                <w:szCs w:val="32"/>
              </w:rPr>
              <w:t>基本情况</w:t>
            </w:r>
          </w:p>
        </w:tc>
      </w:tr>
      <w:tr w:rsidR="00124916" w:rsidTr="00640A7D">
        <w:trPr>
          <w:trHeight w:val="2606"/>
        </w:trPr>
        <w:tc>
          <w:tcPr>
            <w:tcW w:w="1877" w:type="dxa"/>
            <w:vAlign w:val="center"/>
          </w:tcPr>
          <w:p w:rsidR="00124916" w:rsidRDefault="00124916" w:rsidP="00640A7D">
            <w:pPr>
              <w:spacing w:line="400" w:lineRule="exac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宁乡县七一六铀矿独立工矿区</w:t>
            </w:r>
          </w:p>
        </w:tc>
        <w:tc>
          <w:tcPr>
            <w:tcW w:w="12200" w:type="dxa"/>
          </w:tcPr>
          <w:p w:rsidR="00124916" w:rsidRDefault="00124916" w:rsidP="00640A7D">
            <w:pPr>
              <w:spacing w:line="4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宁乡县七一六铀矿独立工矿区位于长沙市宁乡县西部，距离宁乡县城约40公里，核心矿区位于黄材镇，总面积约403平方公里，矿藏以铀矿为主，主要矿山企业为七一六矿，属于原国家二机部直属中型企业。矿区始建于1964年，1965年进入正式开采阶段，为国家国防事业作出了巨大贡献。随着资源逐渐枯竭，于1994年停产。因长达30年的开采活动，导致矿区内地表沉陷，地质灾害问题严重，农田、水源受到污染，道路、桥梁等基础设施破坏严重，多年采选形成的尾矿坝含有放射性物质，处理难度较大，安全隐患突出。</w:t>
            </w:r>
          </w:p>
        </w:tc>
      </w:tr>
      <w:tr w:rsidR="00124916" w:rsidTr="00640A7D">
        <w:trPr>
          <w:trHeight w:val="2278"/>
        </w:trPr>
        <w:tc>
          <w:tcPr>
            <w:tcW w:w="1877" w:type="dxa"/>
            <w:vAlign w:val="center"/>
          </w:tcPr>
          <w:p w:rsidR="00124916" w:rsidRDefault="00124916" w:rsidP="00640A7D">
            <w:pPr>
              <w:spacing w:line="400" w:lineRule="exact"/>
              <w:jc w:val="center"/>
              <w:outlineLvl w:val="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桂阳县宝山多金属矿独立工矿区</w:t>
            </w:r>
          </w:p>
          <w:p w:rsidR="00124916" w:rsidRDefault="00124916" w:rsidP="00640A7D">
            <w:pPr>
              <w:spacing w:line="400" w:lineRule="exact"/>
              <w:jc w:val="center"/>
              <w:rPr>
                <w:rFonts w:ascii="仿宋_GB2312" w:eastAsia="仿宋_GB2312" w:hAnsi="仿宋_GB2312" w:cs="仿宋_GB2312" w:hint="eastAsia"/>
                <w:sz w:val="30"/>
                <w:szCs w:val="30"/>
              </w:rPr>
            </w:pPr>
          </w:p>
        </w:tc>
        <w:tc>
          <w:tcPr>
            <w:tcW w:w="12200" w:type="dxa"/>
          </w:tcPr>
          <w:p w:rsidR="00124916" w:rsidRDefault="00124916" w:rsidP="00640A7D">
            <w:pPr>
              <w:spacing w:line="4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桂阳县宝山多金属矿独立工矿区位于郴州市桂阳县，距离中心城区28公里，总面积约5.21平方公里，总人口1.12万人，主要矿山企业为宝山有色矿业，属国家大二型企业，主要矿种有铜、铅、锌、钼等。矿区始建于1966年，距今50年。目前，矿工及家属占城镇常住人口比重为60%，资源型产业从业人员占比为30%。矿区面临产业结构单一、基础设施陈旧、环境受到破坏、民生无法保证等问题。</w:t>
            </w:r>
          </w:p>
        </w:tc>
      </w:tr>
      <w:tr w:rsidR="00124916" w:rsidTr="00640A7D">
        <w:tc>
          <w:tcPr>
            <w:tcW w:w="1877" w:type="dxa"/>
            <w:vAlign w:val="center"/>
          </w:tcPr>
          <w:p w:rsidR="00124916" w:rsidRDefault="00124916" w:rsidP="00640A7D">
            <w:pPr>
              <w:spacing w:line="400" w:lineRule="exact"/>
              <w:jc w:val="center"/>
              <w:outlineLvl w:val="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lastRenderedPageBreak/>
              <w:t>茶陵县湘东钨矿独立工矿区</w:t>
            </w:r>
          </w:p>
          <w:p w:rsidR="00124916" w:rsidRDefault="00124916" w:rsidP="00640A7D">
            <w:pPr>
              <w:spacing w:line="400" w:lineRule="exact"/>
              <w:jc w:val="center"/>
              <w:rPr>
                <w:rFonts w:ascii="仿宋_GB2312" w:eastAsia="仿宋_GB2312" w:hAnsi="仿宋_GB2312" w:cs="仿宋_GB2312" w:hint="eastAsia"/>
                <w:sz w:val="30"/>
                <w:szCs w:val="30"/>
              </w:rPr>
            </w:pPr>
          </w:p>
        </w:tc>
        <w:tc>
          <w:tcPr>
            <w:tcW w:w="12200" w:type="dxa"/>
          </w:tcPr>
          <w:p w:rsidR="00124916" w:rsidRDefault="00124916" w:rsidP="00640A7D">
            <w:pPr>
              <w:spacing w:line="400" w:lineRule="exact"/>
              <w:outlineLvl w:val="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茶陵县湘东钨矿独立工矿区位于茶陵县东北部，地处湘赣边界，距县城50公里，矿区面积4.4平方公里，人口1.36万人，始建于1920年，经历了商办、接受国营、建设发展、破产改制等四个时期，主要开采企业曾隶属于重工业部、冶金部，开采高峰期高锡钨产量在中南地区居首位。2003年，因资源枯竭于实施政策性破产，目前，矿工及家属占城镇常住人口比重为90%，资源型产业从业人员占比为13.7%，经过长期的开采，转型发展面临产业结构单一、居民生活困苦、环境破坏严重、基础设施陈旧等问题。</w:t>
            </w:r>
          </w:p>
        </w:tc>
      </w:tr>
      <w:tr w:rsidR="00124916" w:rsidTr="00640A7D">
        <w:trPr>
          <w:trHeight w:val="2032"/>
        </w:trPr>
        <w:tc>
          <w:tcPr>
            <w:tcW w:w="1877" w:type="dxa"/>
            <w:vAlign w:val="center"/>
          </w:tcPr>
          <w:p w:rsidR="00124916" w:rsidRDefault="00124916" w:rsidP="00640A7D">
            <w:pPr>
              <w:spacing w:line="400" w:lineRule="exac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郴州市北湖区芙蓉独立工矿区</w:t>
            </w:r>
          </w:p>
        </w:tc>
        <w:tc>
          <w:tcPr>
            <w:tcW w:w="12200" w:type="dxa"/>
          </w:tcPr>
          <w:p w:rsidR="00124916" w:rsidRDefault="00124916" w:rsidP="00640A7D">
            <w:pPr>
              <w:spacing w:line="4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郴州市北湖区芙蓉独立工矿区位于郴州市北湖区仰天湖瑶族乡芙蓉片区，处于宜章县、临武县、北湖区交界处，距离城区79公里，面积26平方公里，人口1.5万人。大规模锡矿开采始于上世纪50年代初。目前，矿工及家属占城镇常住人口比重为65%，资源型产业增加值占比为71.5%，经过长期开采，矿区面临主体资源近乎枯竭、开采规模逐渐缩小、产业结构性矛盾突出、生态环境破坏严重等问题。</w:t>
            </w:r>
          </w:p>
        </w:tc>
      </w:tr>
      <w:tr w:rsidR="00124916" w:rsidTr="00640A7D">
        <w:trPr>
          <w:trHeight w:val="1937"/>
        </w:trPr>
        <w:tc>
          <w:tcPr>
            <w:tcW w:w="1877" w:type="dxa"/>
            <w:vAlign w:val="center"/>
          </w:tcPr>
          <w:p w:rsidR="00124916" w:rsidRDefault="00124916" w:rsidP="00640A7D">
            <w:pPr>
              <w:spacing w:line="400" w:lineRule="exac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花垣县锰矿独立工矿区</w:t>
            </w:r>
          </w:p>
        </w:tc>
        <w:tc>
          <w:tcPr>
            <w:tcW w:w="12200" w:type="dxa"/>
            <w:vAlign w:val="center"/>
          </w:tcPr>
          <w:p w:rsidR="00124916" w:rsidRDefault="00124916" w:rsidP="00640A7D">
            <w:pPr>
              <w:spacing w:line="400" w:lineRule="exact"/>
              <w:jc w:val="left"/>
              <w:outlineLvl w:val="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花垣县锰矿独立工矿区位于湘西土家族苗族自治州西北部，距离花垣县城30公里，主要矿山企业为湖南东方锰业公司，为省属国有中型企业。目前，矿工及家属占城镇常住人口比重为62.5%，资源型产业从业人员占比为60%，矿区面积403.8平方公里，人口11.61万人。因长期开采，矿区内形成了形态复杂、上下重叠、体积巨大采空区，出现过重大安全事故。</w:t>
            </w:r>
          </w:p>
        </w:tc>
      </w:tr>
    </w:tbl>
    <w:p w:rsidR="00124916" w:rsidRDefault="00124916" w:rsidP="00124916">
      <w:pPr>
        <w:rPr>
          <w:rFonts w:ascii="仿宋_GB2312" w:eastAsia="仿宋_GB2312" w:hAnsi="仿宋_GB2312" w:cs="仿宋_GB2312" w:hint="eastAsia"/>
          <w:bCs/>
          <w:color w:val="000000"/>
          <w:sz w:val="32"/>
          <w:szCs w:val="32"/>
        </w:rPr>
      </w:pPr>
    </w:p>
    <w:p w:rsidR="00F11354" w:rsidRDefault="00F11354">
      <w:bookmarkStart w:id="0" w:name="_GoBack"/>
      <w:bookmarkEnd w:id="0"/>
    </w:p>
    <w:sectPr w:rsidR="00F11354">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简体">
    <w:altName w:val="宋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916"/>
    <w:rsid w:val="00124916"/>
    <w:rsid w:val="00F11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91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124916"/>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91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124916"/>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964</Characters>
  <Application>Microsoft Office Word</Application>
  <DocSecurity>0</DocSecurity>
  <Lines>8</Lines>
  <Paragraphs>2</Paragraphs>
  <ScaleCrop>false</ScaleCrop>
  <Company>Microsoft</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fgw</dc:creator>
  <cp:lastModifiedBy>fgw</cp:lastModifiedBy>
  <cp:revision>1</cp:revision>
  <dcterms:created xsi:type="dcterms:W3CDTF">2016-09-30T09:15:00Z</dcterms:created>
  <dcterms:modified xsi:type="dcterms:W3CDTF">2016-09-30T09:15:00Z</dcterms:modified>
</cp:coreProperties>
</file>