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Calibri" w:hAnsi="Calibri" w:eastAsia="方正小标宋_GBK"/>
          <w:sz w:val="42"/>
          <w:szCs w:val="42"/>
        </w:rPr>
      </w:pPr>
      <w:r>
        <w:rPr>
          <w:rFonts w:ascii="Calibri" w:hAnsi="Calibri" w:eastAsia="方正小标宋_GBK"/>
          <w:sz w:val="42"/>
          <w:szCs w:val="42"/>
        </w:rPr>
        <w:t>湖南省电网（已开征城市公用事业附加费地区）销售电价表</w:t>
      </w:r>
    </w:p>
    <w:p>
      <w:pPr>
        <w:autoSpaceDE w:val="0"/>
        <w:autoSpaceDN w:val="0"/>
        <w:adjustRightInd w:val="0"/>
        <w:spacing w:line="500" w:lineRule="exac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单位：元/千瓦时</w:t>
      </w:r>
    </w:p>
    <w:tbl>
      <w:tblPr>
        <w:tblStyle w:val="4"/>
        <w:tblW w:w="146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1113"/>
        <w:gridCol w:w="1418"/>
        <w:gridCol w:w="2098"/>
        <w:gridCol w:w="1134"/>
        <w:gridCol w:w="1134"/>
        <w:gridCol w:w="1985"/>
        <w:gridCol w:w="2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用电分类</w:t>
            </w:r>
          </w:p>
        </w:tc>
        <w:tc>
          <w:tcPr>
            <w:tcW w:w="6897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电度电价</w:t>
            </w:r>
          </w:p>
        </w:tc>
        <w:tc>
          <w:tcPr>
            <w:tcW w:w="41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基本电价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不满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1千伏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1-10千伏</w:t>
            </w:r>
          </w:p>
        </w:tc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35-110千伏以下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110千伏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220千伏及以上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最大需量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变压器容量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（元/千瓦·月）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（元/千伏安·月）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一、居民生活用电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0.5880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0.5730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0.5630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二、一般工商业及其他用电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0.8777 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0.8577 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0.8377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0.8177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三、大工业用电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0.6922 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0.6632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0.6352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0.6112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四、农业生产用电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0.5487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0.5287 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0.5087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0.4887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5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其中：贫困县农业排灌用电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0.4117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0.4017 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0.3917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ind w:firstLine="420" w:firstLineChars="200"/>
        <w:rPr>
          <w:rFonts w:ascii="宋体" w:hAnsi="宋体"/>
          <w:spacing w:val="-4"/>
          <w:szCs w:val="22"/>
        </w:rPr>
      </w:pPr>
      <w:r>
        <w:rPr>
          <w:rFonts w:hint="eastAsia" w:ascii="宋体" w:hAnsi="宋体"/>
          <w:szCs w:val="22"/>
        </w:rPr>
        <w:t xml:space="preserve">注: </w:t>
      </w:r>
      <w:r>
        <w:rPr>
          <w:rFonts w:hint="eastAsia" w:ascii="宋体" w:hAnsi="宋体"/>
          <w:spacing w:val="-4"/>
          <w:szCs w:val="22"/>
        </w:rPr>
        <w:t>1、上表所列价格，除贫困县农业排灌用电外，均含国家重大水利工程建设基金0.375分钱、农网改造还贷资金2分钱。</w:t>
      </w:r>
    </w:p>
    <w:p>
      <w:pPr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       2、上表所列价格，除农业生产用电外，均含可再生能源电价附加,其中：居民生活用电0.1分钱，其他用电1.9分钱。</w:t>
      </w:r>
    </w:p>
    <w:p>
      <w:pPr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       3、上表所列价格，除农业生产用电外，均含大中型水库移民后期扶持资金0.83分钱和地方水库移民后期扶持资金0.05分钱。</w:t>
      </w:r>
    </w:p>
    <w:p>
      <w:pPr>
        <w:ind w:firstLine="840" w:firstLineChars="4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4、上表所列价格，除农业生产、农村居民生活用电外，均含城市公用事业附加费，其中：居民生活用电2分钱，大工业、一般工商业用电0.7分钱； </w:t>
      </w:r>
    </w:p>
    <w:p>
      <w:pPr>
        <w:ind w:firstLine="42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       未开征城市公用事业附加费地区其用电价格相应降低。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A1069"/>
    <w:rsid w:val="20BA10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2018-09-25T02:03:00Z</dcterms:created>
  <dc:creator>NTKO</dc:creator>
  <cp:lastModifiedBy>NTKO</cp:lastModifiedBy>
  <dcterms:modified xsi:type="dcterms:W3CDTF">2018-09-25T02:04:08Z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