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03" w:rsidRPr="009E131C" w:rsidRDefault="00B25003" w:rsidP="00B25003">
      <w:pPr>
        <w:rPr>
          <w:rFonts w:eastAsia="仿宋_GB2312"/>
          <w:sz w:val="32"/>
          <w:szCs w:val="32"/>
        </w:rPr>
      </w:pPr>
      <w:r w:rsidRPr="009E131C">
        <w:rPr>
          <w:rStyle w:val="font12"/>
          <w:lang w:bidi="ar"/>
        </w:rPr>
        <w:t>附件</w:t>
      </w:r>
      <w:r w:rsidRPr="009E131C">
        <w:rPr>
          <w:rStyle w:val="font122"/>
          <w:rFonts w:eastAsia="仿宋_GB2312"/>
          <w:lang w:bidi="ar"/>
        </w:rPr>
        <w:t>1</w:t>
      </w:r>
    </w:p>
    <w:p w:rsidR="00B25003" w:rsidRPr="009E131C" w:rsidRDefault="00B25003" w:rsidP="00B25003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2"/>
          <w:szCs w:val="42"/>
          <w:lang w:bidi="ar"/>
        </w:rPr>
      </w:pPr>
      <w:r w:rsidRPr="009E131C">
        <w:rPr>
          <w:rFonts w:ascii="方正小标宋简体" w:eastAsia="方正小标宋简体" w:hAnsi="方正小标宋简体" w:cs="方正小标宋简体" w:hint="eastAsia"/>
          <w:color w:val="000000"/>
          <w:kern w:val="0"/>
          <w:sz w:val="42"/>
          <w:szCs w:val="42"/>
          <w:lang w:bidi="ar"/>
        </w:rPr>
        <w:t>湖南省医疗应急物资储备设施项目中央预算内投资计划表</w:t>
      </w:r>
    </w:p>
    <w:p w:rsidR="00B25003" w:rsidRPr="009E131C" w:rsidRDefault="00B25003" w:rsidP="00B25003">
      <w:pPr>
        <w:jc w:val="right"/>
        <w:rPr>
          <w:szCs w:val="21"/>
        </w:rPr>
      </w:pPr>
      <w:r w:rsidRPr="009E131C">
        <w:rPr>
          <w:rStyle w:val="font01"/>
          <w:rFonts w:hint="default"/>
          <w:sz w:val="21"/>
          <w:szCs w:val="21"/>
          <w:lang w:bidi="ar"/>
        </w:rPr>
        <w:t>单位：万元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645"/>
        <w:gridCol w:w="533"/>
        <w:gridCol w:w="557"/>
        <w:gridCol w:w="3666"/>
        <w:gridCol w:w="1133"/>
        <w:gridCol w:w="1625"/>
        <w:gridCol w:w="953"/>
        <w:gridCol w:w="1233"/>
        <w:gridCol w:w="1247"/>
        <w:gridCol w:w="1258"/>
        <w:gridCol w:w="1523"/>
      </w:tblGrid>
      <w:tr w:rsidR="00B25003" w:rsidTr="008E0595">
        <w:trPr>
          <w:trHeight w:val="755"/>
          <w:tblHeader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建设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性质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建设地点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建设规模和内容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建设期限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投资类别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总投资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计划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下达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项目法人单位及项目责任人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日常监管直接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责任单位及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br/>
              <w:t>监管责任人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B25003" w:rsidTr="008E0595">
        <w:trPr>
          <w:trHeight w:val="360"/>
          <w:jc w:val="center"/>
        </w:trPr>
        <w:tc>
          <w:tcPr>
            <w:tcW w:w="2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合计（</w:t>
            </w:r>
            <w:r>
              <w:rPr>
                <w:rStyle w:val="font31"/>
                <w:lang w:bidi="ar"/>
              </w:rPr>
              <w:t>5</w:t>
            </w:r>
            <w:r>
              <w:rPr>
                <w:rStyle w:val="font81"/>
                <w:rFonts w:hint="default"/>
                <w:lang w:bidi="ar"/>
              </w:rPr>
              <w:t>个）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35053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35053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0"/>
          <w:jc w:val="center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9100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0"/>
          <w:jc w:val="center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13076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9206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0"/>
          <w:jc w:val="center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0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0"/>
          <w:jc w:val="center"/>
        </w:trPr>
        <w:tc>
          <w:tcPr>
            <w:tcW w:w="2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21977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16747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02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湖南省纺织品进出口有限公司医疗应急物资储备库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改建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长沙市芙蓉区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141"/>
                <w:rFonts w:hint="default"/>
                <w:lang w:bidi="ar"/>
              </w:rPr>
              <w:t>将公司园区内</w:t>
            </w:r>
            <w:r>
              <w:rPr>
                <w:rStyle w:val="font91"/>
                <w:rFonts w:hint="default"/>
                <w:lang w:bidi="ar"/>
              </w:rPr>
              <w:t>现有建筑物，升级改造为常温库5500㎡、阴凉库5000㎡和冷藏库500㎡等医疗器械和药品仓库，同时建设智能医疗仓储管理控制系统等配套设施。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2020.12-</w:t>
            </w:r>
          </w:p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2021.08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湖南省纺织品进出口有限公司  胡俊文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省国资委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郭伟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1、相关设施投资</w:t>
            </w:r>
            <w:r>
              <w:rPr>
                <w:rStyle w:val="font21"/>
                <w:lang w:bidi="ar"/>
              </w:rPr>
              <w:t xml:space="preserve">  1040</w:t>
            </w:r>
            <w:r>
              <w:rPr>
                <w:rStyle w:val="font91"/>
                <w:rFonts w:hint="default"/>
                <w:lang w:bidi="ar"/>
              </w:rPr>
              <w:t>万元        2、企业项目</w:t>
            </w:r>
          </w:p>
        </w:tc>
      </w:tr>
      <w:tr w:rsidR="00B25003" w:rsidTr="008E0595">
        <w:trPr>
          <w:trHeight w:val="33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520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0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3480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27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8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95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怀化市应急管理局医疗应急物资储备仓库建设项目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新建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怀化市鹤城区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总建筑面积</w:t>
            </w:r>
            <w:r>
              <w:rPr>
                <w:rStyle w:val="font31"/>
                <w:lang w:bidi="ar"/>
              </w:rPr>
              <w:t>10000.00</w:t>
            </w:r>
            <w:r>
              <w:rPr>
                <w:rStyle w:val="font81"/>
                <w:rFonts w:hint="default"/>
                <w:lang w:bidi="ar"/>
              </w:rPr>
              <w:t>㎡，由四栋仓库组成。</w:t>
            </w:r>
            <w:r>
              <w:rPr>
                <w:rStyle w:val="font31"/>
                <w:lang w:bidi="ar"/>
              </w:rPr>
              <w:br/>
              <w:t>1</w:t>
            </w:r>
            <w:r>
              <w:rPr>
                <w:rStyle w:val="font81"/>
                <w:rFonts w:hint="default"/>
                <w:lang w:bidi="ar"/>
              </w:rPr>
              <w:t>、新建1栋医疗冷链储备仓库平房仓，建筑面积</w:t>
            </w:r>
            <w:r>
              <w:rPr>
                <w:rStyle w:val="font31"/>
                <w:lang w:bidi="ar"/>
              </w:rPr>
              <w:t>1000</w:t>
            </w:r>
            <w:r>
              <w:rPr>
                <w:rStyle w:val="font81"/>
                <w:rFonts w:hint="default"/>
                <w:lang w:bidi="ar"/>
              </w:rPr>
              <w:t>㎡；</w:t>
            </w:r>
            <w:r>
              <w:rPr>
                <w:rStyle w:val="font31"/>
                <w:lang w:bidi="ar"/>
              </w:rPr>
              <w:br/>
              <w:t>2</w:t>
            </w:r>
            <w:r>
              <w:rPr>
                <w:rStyle w:val="font81"/>
                <w:rFonts w:hint="default"/>
                <w:lang w:bidi="ar"/>
              </w:rPr>
              <w:t>、</w:t>
            </w:r>
            <w:r>
              <w:rPr>
                <w:rStyle w:val="font31"/>
                <w:lang w:bidi="ar"/>
              </w:rPr>
              <w:t xml:space="preserve"> </w:t>
            </w:r>
            <w:r>
              <w:rPr>
                <w:rStyle w:val="font81"/>
                <w:rFonts w:hint="default"/>
                <w:lang w:bidi="ar"/>
              </w:rPr>
              <w:t>新建2栋普通医疗物资储备仓库</w:t>
            </w:r>
            <w:r>
              <w:rPr>
                <w:rStyle w:val="font31"/>
                <w:lang w:bidi="ar"/>
              </w:rPr>
              <w:t>2F</w:t>
            </w:r>
            <w:r>
              <w:rPr>
                <w:rStyle w:val="font81"/>
                <w:rFonts w:hint="default"/>
                <w:lang w:bidi="ar"/>
              </w:rPr>
              <w:t>楼房仓，建筑面积</w:t>
            </w:r>
            <w:r>
              <w:rPr>
                <w:rStyle w:val="font31"/>
                <w:lang w:bidi="ar"/>
              </w:rPr>
              <w:t>6000</w:t>
            </w:r>
            <w:r>
              <w:rPr>
                <w:rStyle w:val="font81"/>
                <w:rFonts w:hint="default"/>
                <w:lang w:bidi="ar"/>
              </w:rPr>
              <w:t>㎡；</w:t>
            </w:r>
            <w:r>
              <w:rPr>
                <w:rStyle w:val="font31"/>
                <w:lang w:bidi="ar"/>
              </w:rPr>
              <w:br/>
              <w:t>3</w:t>
            </w:r>
            <w:r>
              <w:rPr>
                <w:rStyle w:val="font81"/>
                <w:rFonts w:hint="default"/>
                <w:lang w:bidi="ar"/>
              </w:rPr>
              <w:t>、新建1栋应急医疗物资储备仓库</w:t>
            </w:r>
            <w:r>
              <w:rPr>
                <w:rStyle w:val="font31"/>
                <w:lang w:bidi="ar"/>
              </w:rPr>
              <w:t>2F</w:t>
            </w:r>
            <w:r>
              <w:rPr>
                <w:rStyle w:val="font81"/>
                <w:rFonts w:hint="default"/>
                <w:lang w:bidi="ar"/>
              </w:rPr>
              <w:t>楼房仓，建筑面积</w:t>
            </w:r>
            <w:r>
              <w:rPr>
                <w:rStyle w:val="font31"/>
                <w:lang w:bidi="ar"/>
              </w:rPr>
              <w:t>3000</w:t>
            </w:r>
            <w:r>
              <w:rPr>
                <w:rStyle w:val="font81"/>
                <w:rFonts w:hint="default"/>
                <w:lang w:bidi="ar"/>
              </w:rPr>
              <w:t>㎡。以及其他配套设施。</w:t>
            </w:r>
            <w:r>
              <w:rPr>
                <w:rStyle w:val="font31"/>
                <w:lang w:bidi="ar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2020.12-</w:t>
            </w:r>
          </w:p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2022.02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5971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5971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怀化市应急管理局           王福初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怀化市人民政府杨理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1、相关设施投资</w:t>
            </w:r>
            <w:r>
              <w:rPr>
                <w:rStyle w:val="font31"/>
                <w:lang w:bidi="ar"/>
              </w:rPr>
              <w:t xml:space="preserve"> 2257</w:t>
            </w:r>
            <w:r>
              <w:rPr>
                <w:rStyle w:val="font81"/>
                <w:rFonts w:hint="default"/>
                <w:lang w:bidi="ar"/>
              </w:rPr>
              <w:t>万元        2、政府部门项目</w:t>
            </w:r>
          </w:p>
        </w:tc>
      </w:tr>
      <w:tr w:rsidR="00B25003" w:rsidTr="008E0595">
        <w:trPr>
          <w:trHeight w:val="42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1800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5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25003" w:rsidRDefault="00B25003" w:rsidP="008E0595">
            <w:pPr>
              <w:spacing w:line="2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5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5971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4171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95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湖南省区域性医疗应急物资储备中心项目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新建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衡阳市雁城区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总建筑面积</w:t>
            </w:r>
            <w:r>
              <w:rPr>
                <w:rStyle w:val="font21"/>
                <w:lang w:bidi="ar"/>
              </w:rPr>
              <w:t>30000</w:t>
            </w:r>
            <w:r>
              <w:rPr>
                <w:rStyle w:val="font91"/>
                <w:rFonts w:hint="default"/>
                <w:lang w:bidi="ar"/>
              </w:rPr>
              <w:t>平方米，项目分两期实施，其中一期建设卫生应急物资储备中心</w:t>
            </w:r>
            <w:r>
              <w:rPr>
                <w:rStyle w:val="font21"/>
                <w:lang w:bidi="ar"/>
              </w:rPr>
              <w:t>15000</w:t>
            </w:r>
            <w:r>
              <w:rPr>
                <w:rStyle w:val="font91"/>
                <w:rFonts w:hint="default"/>
                <w:lang w:bidi="ar"/>
              </w:rPr>
              <w:t>平方米，二期建设物流中心</w:t>
            </w:r>
            <w:r>
              <w:rPr>
                <w:rStyle w:val="font21"/>
                <w:lang w:bidi="ar"/>
              </w:rPr>
              <w:t>12000</w:t>
            </w:r>
            <w:r>
              <w:rPr>
                <w:rStyle w:val="font91"/>
                <w:rFonts w:hint="default"/>
                <w:lang w:bidi="ar"/>
              </w:rPr>
              <w:t>平方米，服务中心</w:t>
            </w:r>
            <w:r>
              <w:rPr>
                <w:rStyle w:val="font21"/>
                <w:lang w:bidi="ar"/>
              </w:rPr>
              <w:t>2000</w:t>
            </w:r>
            <w:r>
              <w:rPr>
                <w:rStyle w:val="font91"/>
                <w:rFonts w:hint="default"/>
                <w:lang w:bidi="ar"/>
              </w:rPr>
              <w:t>平方米，数据中心</w:t>
            </w:r>
            <w:r>
              <w:rPr>
                <w:rStyle w:val="font21"/>
                <w:lang w:bidi="ar"/>
              </w:rPr>
              <w:t>1000</w:t>
            </w:r>
            <w:r>
              <w:rPr>
                <w:rStyle w:val="font91"/>
                <w:rFonts w:hint="default"/>
                <w:lang w:bidi="ar"/>
              </w:rPr>
              <w:t>平方米，及其他配套设施。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2020.12-</w:t>
            </w:r>
          </w:p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2022.05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10326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10326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Style w:val="font91"/>
                <w:rFonts w:hint="default"/>
                <w:lang w:bidi="ar"/>
              </w:rPr>
            </w:pPr>
            <w:r>
              <w:rPr>
                <w:rStyle w:val="font91"/>
                <w:rFonts w:hint="default"/>
                <w:lang w:bidi="ar"/>
              </w:rPr>
              <w:t>衡阳市发展投资集团有限公司</w:t>
            </w:r>
          </w:p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张力沛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衡阳市发改委  尹付华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1、相关设施投资</w:t>
            </w:r>
            <w:r>
              <w:rPr>
                <w:rStyle w:val="font21"/>
                <w:lang w:bidi="ar"/>
              </w:rPr>
              <w:t>2234</w:t>
            </w:r>
            <w:r>
              <w:rPr>
                <w:rStyle w:val="font91"/>
                <w:rFonts w:hint="default"/>
                <w:lang w:bidi="ar"/>
              </w:rPr>
              <w:t>万元        2、企业项目</w:t>
            </w:r>
          </w:p>
        </w:tc>
      </w:tr>
      <w:tr w:rsidR="00B25003" w:rsidTr="008E0595">
        <w:trPr>
          <w:trHeight w:val="42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1110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2326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2326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9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8000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6890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42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岳阳市突发公共卫生事件防疫应急物资储备库建设项目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新建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岳阳市岳阳楼区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新建应急物资储备库建筑面积12750.66㎡，其中危险品仓库746.46㎡，丙内仓库12004.2㎡。丙类仓库中冷链仓库2400.84㎡，低温洁净仓库2900.84㎡，洁净仓库1900.84㎡，常温库4801.68㎡。配套建设装卸货区等相关设施。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2020.12- 2022.12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11256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11256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岳阳市交通建设投资集团有限公司</w:t>
            </w:r>
            <w:r>
              <w:rPr>
                <w:rStyle w:val="font21"/>
                <w:lang w:bidi="ar"/>
              </w:rPr>
              <w:t xml:space="preserve">                          </w:t>
            </w:r>
            <w:r>
              <w:rPr>
                <w:rStyle w:val="font91"/>
                <w:rFonts w:hint="default"/>
                <w:lang w:bidi="ar"/>
              </w:rPr>
              <w:t>刘爱军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岳阳市发改委</w:t>
            </w:r>
            <w:r>
              <w:rPr>
                <w:rStyle w:val="font21"/>
                <w:lang w:bidi="ar"/>
              </w:rPr>
              <w:t xml:space="preserve">  </w:t>
            </w:r>
            <w:r>
              <w:rPr>
                <w:rStyle w:val="font91"/>
                <w:rFonts w:hint="default"/>
                <w:lang w:bidi="ar"/>
              </w:rPr>
              <w:t>杨志建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1、相关设施投资</w:t>
            </w:r>
            <w:r>
              <w:rPr>
                <w:rStyle w:val="font21"/>
                <w:lang w:bidi="ar"/>
              </w:rPr>
              <w:t>6757</w:t>
            </w:r>
            <w:r>
              <w:rPr>
                <w:rStyle w:val="font91"/>
                <w:rFonts w:hint="default"/>
                <w:lang w:bidi="ar"/>
              </w:rPr>
              <w:t>万元        2、企业项目</w:t>
            </w:r>
          </w:p>
        </w:tc>
      </w:tr>
      <w:tr w:rsidR="00B25003" w:rsidTr="008E0595">
        <w:trPr>
          <w:trHeight w:val="34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3350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4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6750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3400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4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40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4506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4506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19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郴州市医疗应急物资储备库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新建</w:t>
            </w: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郴州市北湖区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项目总建筑面积</w:t>
            </w:r>
            <w:r>
              <w:rPr>
                <w:rStyle w:val="font31"/>
                <w:lang w:bidi="ar"/>
              </w:rPr>
              <w:t>4000</w:t>
            </w:r>
            <w:r>
              <w:rPr>
                <w:rStyle w:val="font81"/>
                <w:rFonts w:hint="default"/>
                <w:lang w:bidi="ar"/>
              </w:rPr>
              <w:t>㎡，其中常温库</w:t>
            </w:r>
            <w:r>
              <w:rPr>
                <w:rStyle w:val="font31"/>
                <w:lang w:bidi="ar"/>
              </w:rPr>
              <w:t>1500</w:t>
            </w:r>
            <w:r>
              <w:rPr>
                <w:rStyle w:val="font81"/>
                <w:rFonts w:hint="default"/>
                <w:lang w:bidi="ar"/>
              </w:rPr>
              <w:t>㎡，低温库</w:t>
            </w:r>
            <w:r>
              <w:rPr>
                <w:rStyle w:val="font31"/>
                <w:lang w:bidi="ar"/>
              </w:rPr>
              <w:t>800</w:t>
            </w:r>
            <w:r>
              <w:rPr>
                <w:rStyle w:val="font81"/>
                <w:rFonts w:hint="default"/>
                <w:lang w:bidi="ar"/>
              </w:rPr>
              <w:t>㎡，恒温恒湿库</w:t>
            </w:r>
            <w:r>
              <w:rPr>
                <w:rStyle w:val="font31"/>
                <w:lang w:bidi="ar"/>
              </w:rPr>
              <w:t>500</w:t>
            </w:r>
            <w:r>
              <w:rPr>
                <w:rStyle w:val="font81"/>
                <w:rFonts w:hint="default"/>
                <w:lang w:bidi="ar"/>
              </w:rPr>
              <w:t>㎡，贵重药品库</w:t>
            </w:r>
            <w:r>
              <w:rPr>
                <w:rStyle w:val="font31"/>
                <w:lang w:bidi="ar"/>
              </w:rPr>
              <w:t>200</w:t>
            </w:r>
            <w:r>
              <w:rPr>
                <w:rStyle w:val="font81"/>
                <w:rFonts w:hint="default"/>
                <w:lang w:bidi="ar"/>
              </w:rPr>
              <w:t>㎡，医疗器械库</w:t>
            </w:r>
            <w:r>
              <w:rPr>
                <w:rStyle w:val="font31"/>
                <w:lang w:bidi="ar"/>
              </w:rPr>
              <w:t>500</w:t>
            </w:r>
            <w:r>
              <w:rPr>
                <w:rStyle w:val="font81"/>
                <w:rFonts w:hint="default"/>
                <w:lang w:bidi="ar"/>
              </w:rPr>
              <w:t>㎡，验货处</w:t>
            </w:r>
            <w:r>
              <w:rPr>
                <w:rStyle w:val="font31"/>
                <w:lang w:bidi="ar"/>
              </w:rPr>
              <w:t>500</w:t>
            </w:r>
            <w:r>
              <w:rPr>
                <w:rStyle w:val="font81"/>
                <w:rFonts w:hint="default"/>
                <w:lang w:bidi="ar"/>
              </w:rPr>
              <w:t>㎡，配套建设相关附属设施。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2020.10-</w:t>
            </w:r>
          </w:p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2021.12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合计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3500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3500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郴州市北湖区卫生健康局</w:t>
            </w:r>
            <w:r>
              <w:rPr>
                <w:rStyle w:val="font31"/>
                <w:lang w:bidi="ar"/>
              </w:rPr>
              <w:t xml:space="preserve">            </w:t>
            </w:r>
            <w:r>
              <w:rPr>
                <w:rStyle w:val="font81"/>
                <w:rFonts w:hint="default"/>
                <w:lang w:bidi="ar"/>
              </w:rPr>
              <w:t>陈培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北湖区发展和改革局</w:t>
            </w:r>
            <w:r>
              <w:rPr>
                <w:rStyle w:val="font31"/>
                <w:lang w:bidi="ar"/>
              </w:rPr>
              <w:t xml:space="preserve">                    </w:t>
            </w:r>
            <w:r>
              <w:rPr>
                <w:rStyle w:val="font81"/>
                <w:rFonts w:hint="default"/>
                <w:lang w:bidi="ar"/>
              </w:rPr>
              <w:t>刘长春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81"/>
                <w:rFonts w:hint="default"/>
                <w:lang w:bidi="ar"/>
              </w:rPr>
              <w:t>1、相关设施投资</w:t>
            </w:r>
            <w:r>
              <w:rPr>
                <w:rStyle w:val="font31"/>
                <w:lang w:bidi="ar"/>
              </w:rPr>
              <w:t>2920</w:t>
            </w:r>
            <w:r>
              <w:rPr>
                <w:rStyle w:val="font81"/>
                <w:rFonts w:hint="default"/>
                <w:lang w:bidi="ar"/>
              </w:rPr>
              <w:t>万元        2、政府部门项目</w:t>
            </w:r>
          </w:p>
        </w:tc>
      </w:tr>
      <w:tr w:rsidR="00B25003" w:rsidTr="008E0595">
        <w:trPr>
          <w:trHeight w:val="319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中央预算内投资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2320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19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企业自有投资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19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银行贷款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25003" w:rsidTr="008E0595">
        <w:trPr>
          <w:trHeight w:val="36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Style w:val="font91"/>
                <w:rFonts w:hint="default"/>
                <w:lang w:bidi="ar"/>
              </w:rPr>
              <w:t>其他投资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3500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1180 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25003" w:rsidRDefault="00B25003" w:rsidP="008E0595">
            <w:pPr>
              <w:spacing w:line="240" w:lineRule="exact"/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B25003" w:rsidRDefault="00B25003" w:rsidP="00B25003">
      <w:pPr>
        <w:rPr>
          <w:szCs w:val="28"/>
        </w:rPr>
        <w:sectPr w:rsidR="00B25003">
          <w:footerReference w:type="even" r:id="rId5"/>
          <w:footerReference w:type="default" r:id="rId6"/>
          <w:pgSz w:w="16838" w:h="11906" w:orient="landscape"/>
          <w:pgMar w:top="1417" w:right="1134" w:bottom="1417" w:left="1134" w:header="851" w:footer="1020" w:gutter="0"/>
          <w:cols w:space="720"/>
          <w:docGrid w:type="lines" w:linePitch="312"/>
        </w:sectPr>
      </w:pPr>
    </w:p>
    <w:p w:rsidR="005438C6" w:rsidRDefault="005438C6">
      <w:bookmarkStart w:id="0" w:name="_GoBack"/>
      <w:bookmarkEnd w:id="0"/>
    </w:p>
    <w:sectPr w:rsidR="005438C6" w:rsidSect="00B250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0D" w:rsidRDefault="00B25003" w:rsidP="009E131C">
    <w:pPr>
      <w:pStyle w:val="a4"/>
      <w:ind w:leftChars="150" w:left="315" w:right="357"/>
      <w:jc w:val="center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6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30D" w:rsidRDefault="00B25003" w:rsidP="009E131C">
    <w:pPr>
      <w:pStyle w:val="a4"/>
      <w:ind w:rightChars="150" w:right="315"/>
      <w:jc w:val="center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noProof/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03"/>
    <w:rsid w:val="005438C6"/>
    <w:rsid w:val="00B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5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81">
    <w:name w:val="font8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B2500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">
    <w:name w:val="页脚 Char"/>
    <w:link w:val="a4"/>
    <w:rsid w:val="00B25003"/>
    <w:rPr>
      <w:sz w:val="18"/>
      <w:szCs w:val="18"/>
    </w:rPr>
  </w:style>
  <w:style w:type="character" w:customStyle="1" w:styleId="font141">
    <w:name w:val="font14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22">
    <w:name w:val="font122"/>
    <w:rsid w:val="00B25003"/>
    <w:rPr>
      <w:rFonts w:ascii="Times New Roman" w:hAnsi="Times New Roman" w:cs="Times New Roman" w:hint="default"/>
      <w:i w:val="0"/>
      <w:color w:val="000000"/>
      <w:sz w:val="32"/>
      <w:szCs w:val="32"/>
      <w:u w:val="none"/>
    </w:rPr>
  </w:style>
  <w:style w:type="character" w:customStyle="1" w:styleId="font91">
    <w:name w:val="font9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B2500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2">
    <w:name w:val="font12"/>
    <w:rsid w:val="00B25003"/>
    <w:rPr>
      <w:rFonts w:ascii="仿宋_GB2312" w:eastAsia="仿宋_GB2312" w:cs="仿宋_GB2312"/>
      <w:i w:val="0"/>
      <w:color w:val="000000"/>
      <w:sz w:val="32"/>
      <w:szCs w:val="32"/>
      <w:u w:val="none"/>
    </w:rPr>
  </w:style>
  <w:style w:type="paragraph" w:styleId="a4">
    <w:name w:val="footer"/>
    <w:basedOn w:val="a"/>
    <w:link w:val="Char"/>
    <w:unhideWhenUsed/>
    <w:rsid w:val="00B250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B25003"/>
    <w:rPr>
      <w:rFonts w:ascii="Times New Roman" w:eastAsia="宋体" w:hAnsi="Times New Roman" w:cs="Times New Roman"/>
      <w:sz w:val="18"/>
      <w:szCs w:val="18"/>
    </w:rPr>
  </w:style>
  <w:style w:type="paragraph" w:styleId="a0">
    <w:name w:val="table of figures"/>
    <w:basedOn w:val="a"/>
    <w:next w:val="a"/>
    <w:uiPriority w:val="99"/>
    <w:semiHidden/>
    <w:unhideWhenUsed/>
    <w:rsid w:val="00B25003"/>
    <w:pPr>
      <w:ind w:leftChars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5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81">
    <w:name w:val="font8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B2500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Char">
    <w:name w:val="页脚 Char"/>
    <w:link w:val="a4"/>
    <w:rsid w:val="00B25003"/>
    <w:rPr>
      <w:sz w:val="18"/>
      <w:szCs w:val="18"/>
    </w:rPr>
  </w:style>
  <w:style w:type="character" w:customStyle="1" w:styleId="font141">
    <w:name w:val="font14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22">
    <w:name w:val="font122"/>
    <w:rsid w:val="00B25003"/>
    <w:rPr>
      <w:rFonts w:ascii="Times New Roman" w:hAnsi="Times New Roman" w:cs="Times New Roman" w:hint="default"/>
      <w:i w:val="0"/>
      <w:color w:val="000000"/>
      <w:sz w:val="32"/>
      <w:szCs w:val="32"/>
      <w:u w:val="none"/>
    </w:rPr>
  </w:style>
  <w:style w:type="character" w:customStyle="1" w:styleId="font91">
    <w:name w:val="font91"/>
    <w:rsid w:val="00B2500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B25003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2">
    <w:name w:val="font12"/>
    <w:rsid w:val="00B25003"/>
    <w:rPr>
      <w:rFonts w:ascii="仿宋_GB2312" w:eastAsia="仿宋_GB2312" w:cs="仿宋_GB2312"/>
      <w:i w:val="0"/>
      <w:color w:val="000000"/>
      <w:sz w:val="32"/>
      <w:szCs w:val="32"/>
      <w:u w:val="none"/>
    </w:rPr>
  </w:style>
  <w:style w:type="paragraph" w:styleId="a4">
    <w:name w:val="footer"/>
    <w:basedOn w:val="a"/>
    <w:link w:val="Char"/>
    <w:unhideWhenUsed/>
    <w:rsid w:val="00B250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1"/>
    <w:uiPriority w:val="99"/>
    <w:semiHidden/>
    <w:rsid w:val="00B25003"/>
    <w:rPr>
      <w:rFonts w:ascii="Times New Roman" w:eastAsia="宋体" w:hAnsi="Times New Roman" w:cs="Times New Roman"/>
      <w:sz w:val="18"/>
      <w:szCs w:val="18"/>
    </w:rPr>
  </w:style>
  <w:style w:type="paragraph" w:styleId="a0">
    <w:name w:val="table of figures"/>
    <w:basedOn w:val="a"/>
    <w:next w:val="a"/>
    <w:uiPriority w:val="99"/>
    <w:semiHidden/>
    <w:unhideWhenUsed/>
    <w:rsid w:val="00B25003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952</Characters>
  <Application>Microsoft Office Word</Application>
  <DocSecurity>0</DocSecurity>
  <Lines>47</Lines>
  <Paragraphs>23</Paragraphs>
  <ScaleCrop>false</ScaleCrop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2020-12-22T09:06:00Z</dcterms:created>
  <dcterms:modified xsi:type="dcterms:W3CDTF">2020-12-22T09:07:00Z</dcterms:modified>
</cp:coreProperties>
</file>