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5</w:t>
      </w:r>
    </w:p>
    <w:p>
      <w:pPr>
        <w:spacing w:after="0" w:afterLines="0" w:line="240" w:lineRule="auto"/>
        <w:jc w:val="center"/>
        <w:rPr>
          <w:rFonts w:eastAsia="方正小标宋简体"/>
          <w:sz w:val="42"/>
          <w:szCs w:val="42"/>
        </w:rPr>
      </w:pPr>
      <w:bookmarkStart w:id="0" w:name="_GoBack"/>
      <w:r>
        <w:rPr>
          <w:rFonts w:eastAsia="方正小标宋简体"/>
          <w:sz w:val="42"/>
          <w:szCs w:val="42"/>
          <w:u w:val="single"/>
        </w:rPr>
        <w:t xml:space="preserve">      </w:t>
      </w:r>
      <w:r>
        <w:rPr>
          <w:rFonts w:eastAsia="方正小标宋简体"/>
          <w:sz w:val="42"/>
          <w:szCs w:val="42"/>
        </w:rPr>
        <w:t>市项目比对表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市州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专项名称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地震易发区房屋设施加固工程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专项支持方向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全省地震易发区综合性应急避难场所项目建设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拟申报（安排）项目中是否存在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某近3年已安排中央或省级政府性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投资（如有，需详细列举）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拟安排项目单位近5年纳入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省发展改革委“黑名单”情况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（如有，需详细列举）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其他违法违纪问题查处、曝光情况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其他需要说明的情况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签字盖章确认 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经认真比对，本批次拟申报项目，除本表已列明的项目或项目单位存在重复安排、多头安排或其他不良记录外，其余项目均符合相关规范要求。</w:t>
            </w:r>
          </w:p>
          <w:p>
            <w:pPr>
              <w:spacing w:line="400" w:lineRule="exact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市州发展改革委负责人签名：      </w:t>
            </w:r>
          </w:p>
          <w:p>
            <w:pPr>
              <w:spacing w:line="400" w:lineRule="exact"/>
              <w:ind w:firstLine="1365" w:firstLineChars="650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        </w:t>
            </w:r>
          </w:p>
          <w:p>
            <w:pPr>
              <w:spacing w:line="400" w:lineRule="exact"/>
              <w:ind w:firstLine="2730" w:firstLineChars="1300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7B6E"/>
    <w:rsid w:val="086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2022-01-28T09:09:00Z</dcterms:created>
  <dc:creator>郑旋</dc:creator>
  <cp:lastModifiedBy>郑旋</cp:lastModifiedBy>
  <dcterms:modified xsi:type="dcterms:W3CDTF">2022-01-28T09:09:31Z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2F541592F4524962B5E6EE7D4C1D9A6A</vt:lpwstr>
  </property>
</Properties>
</file>