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hint="eastAsia" w:ascii="Times New Roman" w:hAnsi="Times New Roman" w:eastAsia="方正黑体_GBK"/>
          <w:sz w:val="30"/>
          <w:szCs w:val="30"/>
          <w:lang w:eastAsia="zh-CN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绩效目标表</w:t>
      </w:r>
    </w:p>
    <w:p>
      <w:pPr>
        <w:spacing w:line="400" w:lineRule="exact"/>
        <w:jc w:val="center"/>
        <w:rPr>
          <w:rFonts w:ascii="Times New Roman" w:hAnsi="Times New Roman" w:eastAsia="方正楷体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（202</w:t>
      </w:r>
      <w:r>
        <w:rPr>
          <w:rFonts w:hint="eastAsia" w:ascii="Times New Roman" w:hAnsi="Times New Roman" w:eastAsia="方正楷体_GBK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方正楷体_GBK"/>
          <w:sz w:val="30"/>
          <w:szCs w:val="30"/>
        </w:rPr>
        <w:t>年度）</w:t>
      </w:r>
    </w:p>
    <w:p>
      <w:pPr>
        <w:spacing w:line="300" w:lineRule="exact"/>
        <w:jc w:val="center"/>
        <w:rPr>
          <w:rFonts w:ascii="Times New Roman" w:hAnsi="Times New Roman" w:eastAsia="黑体"/>
          <w:sz w:val="24"/>
          <w:szCs w:val="24"/>
        </w:rPr>
      </w:pPr>
    </w:p>
    <w:tbl>
      <w:tblPr>
        <w:tblStyle w:val="8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31"/>
        <w:gridCol w:w="1702"/>
        <w:gridCol w:w="852"/>
        <w:gridCol w:w="2411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专项名称</w:t>
            </w:r>
          </w:p>
        </w:tc>
        <w:tc>
          <w:tcPr>
            <w:tcW w:w="41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引导社会资本参与盘活国有存量资产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中央预算内投资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示范专项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申报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市州</w:t>
            </w:r>
            <w:bookmarkStart w:id="0" w:name="_GoBack"/>
            <w:bookmarkEnd w:id="0"/>
          </w:p>
        </w:tc>
        <w:tc>
          <w:tcPr>
            <w:tcW w:w="41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申请中央预算内投资（万元）</w:t>
            </w:r>
          </w:p>
        </w:tc>
        <w:tc>
          <w:tcPr>
            <w:tcW w:w="41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总体目标</w:t>
            </w:r>
          </w:p>
        </w:tc>
        <w:tc>
          <w:tcPr>
            <w:tcW w:w="779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充分发挥中央预算内投资引导带动作用，推动盘活存量资产，引导回收资金用于新的基础设施项目建设，形成投资良性循环，为促进国内大循环发挥积极作用。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绩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效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标</w:t>
            </w:r>
          </w:p>
        </w:tc>
        <w:tc>
          <w:tcPr>
            <w:tcW w:w="11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一级指标</w:t>
            </w: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二级指标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三级指标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实施效果指标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产出指标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撬动盘活存量资产倍数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326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对新项目投资的撬动倍数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满意度指标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（可选设）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支持项目地方政府满意率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过程管理指标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计划管理指标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投资计划分解（转发）用时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 xml:space="preserve"> ≤</w:t>
            </w:r>
            <w:r>
              <w:rPr>
                <w:rFonts w:hint="eastAsia" w:ascii="Times New Roman" w:hAnsi="Times New Roman" w:eastAsia="方正仿宋_GBK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“两个责任”按项目落实到位率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资金管理指标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中央预算内投资支付率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年度计划投资完成率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highlight w:val="none"/>
                <w:u w:val="none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项目管理指标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项目开工率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2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超规模、超标准、超概算项目比例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highlight w:val="none"/>
                <w:u w:val="none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≤</w:t>
            </w:r>
            <w:r>
              <w:rPr>
                <w:rFonts w:hint="eastAsia" w:ascii="Times New Roman" w:hAnsi="Times New Roman" w:eastAsia="方正仿宋_GBK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监督检查指标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16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</w:p>
        </w:tc>
      </w:tr>
    </w:tbl>
    <w:p>
      <w:pPr>
        <w:snapToGrid w:val="0"/>
        <w:spacing w:line="280" w:lineRule="exact"/>
        <w:ind w:left="735" w:hanging="735" w:hangingChars="350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注：1. 省级发展改革部门、中央单位按照各有关司局确定的专项绩效指标填报本表。</w:t>
      </w:r>
    </w:p>
    <w:p>
      <w:pPr>
        <w:snapToGrid w:val="0"/>
        <w:spacing w:line="280" w:lineRule="exact"/>
        <w:ind w:left="735" w:leftChars="200" w:hanging="315" w:hangingChars="150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2. 年度计划投资完成率是指，本年度实际完成投资与年度计划完成投资的比值。</w:t>
      </w:r>
    </w:p>
    <w:p>
      <w:pPr>
        <w:snapToGrid w:val="0"/>
        <w:spacing w:line="280" w:lineRule="exact"/>
        <w:ind w:left="735" w:leftChars="200" w:hanging="315" w:hangingChars="150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3. 各有关司局下达投资计划时，“申报地方或单位”调整为“下达单位”，“申请中央预算内投资”调整为“下达中央预算内投资”。</w:t>
      </w:r>
    </w:p>
    <w:p>
      <w:pPr>
        <w:snapToGrid w:val="0"/>
        <w:spacing w:line="280" w:lineRule="exact"/>
        <w:ind w:left="735" w:leftChars="200" w:hanging="315" w:hangingChars="150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4. 各有关司局下达投资计划的绩效汇总表，“投资计划分解（转发）用时”三级指标调整为“投资计划分解（转发）用时达标率”，指标值相应调整。</w:t>
      </w:r>
    </w:p>
    <w:p>
      <w:pPr>
        <w:snapToGrid w:val="0"/>
        <w:spacing w:line="280" w:lineRule="exact"/>
        <w:ind w:left="735" w:leftChars="200" w:hanging="315" w:hangingChars="150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5. 年度计划投资完成率下限值不得低于80%，中央预算内投资支付率下限值不得低于65%，项目开工率下限值不得低于90%，“两个责任”按项目落实到位率下限值不得低于95%，超规模、超标准、超概算项目比例上限值不高于10%，审计、督查、巡视等指出问题项目比例的指标值上限值不高于1%。在符合前述要求前提下，根据专项情况自行确定具体指标值。</w:t>
      </w:r>
    </w:p>
    <w:p>
      <w:pPr>
        <w:spacing w:line="360" w:lineRule="auto"/>
        <w:jc w:val="center"/>
        <w:rPr>
          <w:rFonts w:ascii="Times New Roman" w:hAnsi="Times New Roman" w:eastAsia="方正小标宋_GBK"/>
          <w:sz w:val="40"/>
          <w:szCs w:val="40"/>
        </w:rPr>
      </w:pPr>
    </w:p>
    <w:p>
      <w:pPr>
        <w:spacing w:line="360" w:lineRule="auto"/>
        <w:jc w:val="center"/>
        <w:rPr>
          <w:rFonts w:ascii="Times New Roman" w:hAnsi="Times New Roman" w:eastAsia="方正小标宋_GBK"/>
          <w:sz w:val="40"/>
          <w:szCs w:val="40"/>
        </w:rPr>
      </w:pPr>
    </w:p>
    <w:p>
      <w:pPr>
        <w:spacing w:line="360" w:lineRule="auto"/>
        <w:jc w:val="center"/>
        <w:rPr>
          <w:rFonts w:ascii="Times New Roman" w:hAnsi="Times New Roman" w:eastAsia="方正小标宋_GBK"/>
          <w:sz w:val="40"/>
          <w:szCs w:val="4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14" w:right="1616" w:bottom="1814" w:left="1616" w:header="851" w:footer="1474" w:gutter="0"/>
          <w:pgNumType w:fmt="numberInDash" w:start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专项中央预算内投资计划绩效目标表说明</w:t>
      </w:r>
    </w:p>
    <w:p>
      <w:pPr>
        <w:snapToGrid w:val="0"/>
        <w:spacing w:line="588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一、总体目标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总体目标描述专项在本年度预期达到的整体产出和效果。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二、绩效指标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绩效指标包括实施效果指标和过程管理指标两类一级指标。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（一）实施效果指标</w:t>
      </w:r>
      <w:r>
        <w:rPr>
          <w:rFonts w:ascii="Times New Roman" w:hAnsi="Times New Roman" w:eastAsia="方正仿宋_GBK"/>
          <w:sz w:val="30"/>
          <w:szCs w:val="30"/>
        </w:rPr>
        <w:t>。是对总体目标的细化和量化，一般包括产出指标、效益指标、满意度指标三类二级指标，并结合专项实际情况设置具体三级指标。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产出指标反映投资资金预期实现的建设产出情况，为必设指标，一般从数量（如“支持项目数量”、“新建建筑面积”、“新建道路里程”等）、质量（如“建设项目验收合格率”等）、时效（如“项目建设按期完成率”等）、成本（如“单位造价”等）等方面设置三级指标，其中，数量指标为必设指标，可根据专项情况和管理需要设置多个具体指标；质量、时效、成本指标为选设指标，可根据专项情况和管理需要选设。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效益指标反映建设产出所带来的预期效果的实现程度，为选设指标，可根据专项情况和管理需要选设。一般从经济效益（如“带动社会投资金额”等）、社会效益（如“受益贫困人口数量”等）、生态效益（如“空气质量优良率”等）和可持续影响（如“项目持续发挥作用的期限”等）等方面设置三级指标。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  <w:sectPr>
          <w:footerReference r:id="rId9" w:type="default"/>
          <w:pgSz w:w="11906" w:h="16838"/>
          <w:pgMar w:top="1814" w:right="1616" w:bottom="1814" w:left="1616" w:header="851" w:footer="1474" w:gutter="0"/>
          <w:pgNumType w:fmt="numberInDash" w:start="0"/>
          <w:cols w:space="425" w:num="1"/>
          <w:docGrid w:type="lines" w:linePitch="312" w:charSpace="0"/>
        </w:sectPr>
      </w:pP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满意度指标反映服务对象或受益人对相关产出及其影响的认可程度，为选设指标，可根据专项情况和管理需要选设。具体三级指标可根据实际设置（如“受益群众满意度”等）。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（二）过程管理指标。</w:t>
      </w:r>
      <w:r>
        <w:rPr>
          <w:rFonts w:ascii="Times New Roman" w:hAnsi="Times New Roman" w:eastAsia="方正仿宋_GBK"/>
          <w:sz w:val="30"/>
          <w:szCs w:val="30"/>
        </w:rPr>
        <w:t>是对保障实现总体目标的过程管理要求的细化和量化，包括计划管理、资金管理、项目管理和监督检查四类二级指标，统一设置投资计划分解（转发）用时达标率、年度计划投资完成率、“两个责任”按项目落实到位率等7个三级指标，对于安排前期工作费的专项，不需设置年度投资完成率和项目开工率。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（三）指标值。</w:t>
      </w:r>
      <w:r>
        <w:rPr>
          <w:rFonts w:ascii="Times New Roman" w:hAnsi="Times New Roman" w:eastAsia="方正仿宋_GBK"/>
          <w:sz w:val="30"/>
          <w:szCs w:val="30"/>
        </w:rPr>
        <w:t>是指上述绩效指标的目标值。</w:t>
      </w:r>
      <w:r>
        <w:rPr>
          <w:rFonts w:ascii="Times New Roman" w:hAnsi="Times New Roman" w:eastAsia="方正黑体_GBK"/>
          <w:sz w:val="30"/>
          <w:szCs w:val="30"/>
        </w:rPr>
        <w:t>绩效指标值的设定应尽可能量化，设定具体数值</w:t>
      </w:r>
      <w:r>
        <w:rPr>
          <w:rFonts w:ascii="Times New Roman" w:hAnsi="Times New Roman" w:eastAsia="方正仿宋_GBK"/>
          <w:sz w:val="30"/>
          <w:szCs w:val="30"/>
        </w:rPr>
        <w:t>。确实难以量化的，以定性描述。同时，应符合相关管理要求，有助于解决投资计划执行慢、项目开工晚、资金闲置等问题，应与安排投资规模相匹配，应充分参考相关历史数据、行业标准、计划标准等，做到合理可行。其中，</w:t>
      </w:r>
      <w:r>
        <w:rPr>
          <w:rFonts w:ascii="Times New Roman" w:hAnsi="Times New Roman" w:eastAsia="方正黑体_GBK"/>
          <w:sz w:val="30"/>
          <w:szCs w:val="30"/>
        </w:rPr>
        <w:t>“两个责任”按项目落实到位率、年度计划投资完成率、中央预算内投资支付率、项目开工率的指标值下限值分别不得低于95%、80%、65%、90%（即在高于前述下限值的情况下可设置本专项的具体下限值，例如项目开工率的指标值可设为“≥98%”），超规模、超标准、超概算项目比例和审计、督查、巡视等指出问题项目比例的指标值上限值分别不高于10%、1%</w:t>
      </w:r>
      <w:r>
        <w:rPr>
          <w:rFonts w:ascii="Times New Roman" w:hAnsi="Times New Roman" w:eastAsia="方正仿宋_GBK"/>
          <w:sz w:val="30"/>
          <w:szCs w:val="30"/>
        </w:rPr>
        <w:t>。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</w:p>
    <w:sectPr>
      <w:footerReference r:id="rId10" w:type="default"/>
      <w:pgSz w:w="11906" w:h="16838"/>
      <w:pgMar w:top="1814" w:right="1616" w:bottom="1814" w:left="1616" w:header="851" w:footer="1474" w:gutter="0"/>
      <w:pgNumType w:fmt="numberInDash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center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9A"/>
    <w:rsid w:val="00046188"/>
    <w:rsid w:val="00090F6C"/>
    <w:rsid w:val="000A5E17"/>
    <w:rsid w:val="000C2647"/>
    <w:rsid w:val="000D308E"/>
    <w:rsid w:val="000E16A3"/>
    <w:rsid w:val="000E571B"/>
    <w:rsid w:val="000F55B2"/>
    <w:rsid w:val="00144CAC"/>
    <w:rsid w:val="001623C5"/>
    <w:rsid w:val="00173C58"/>
    <w:rsid w:val="001834DD"/>
    <w:rsid w:val="001A03D3"/>
    <w:rsid w:val="001A254A"/>
    <w:rsid w:val="001A4C81"/>
    <w:rsid w:val="001C10F8"/>
    <w:rsid w:val="001D1461"/>
    <w:rsid w:val="00233810"/>
    <w:rsid w:val="002364C0"/>
    <w:rsid w:val="002427BA"/>
    <w:rsid w:val="002571A8"/>
    <w:rsid w:val="0028667C"/>
    <w:rsid w:val="00296FEF"/>
    <w:rsid w:val="002B6C7D"/>
    <w:rsid w:val="002C3499"/>
    <w:rsid w:val="002C79FE"/>
    <w:rsid w:val="002E0E10"/>
    <w:rsid w:val="002E54CC"/>
    <w:rsid w:val="002F1893"/>
    <w:rsid w:val="002F3793"/>
    <w:rsid w:val="003142FB"/>
    <w:rsid w:val="00316468"/>
    <w:rsid w:val="003376BA"/>
    <w:rsid w:val="0036409C"/>
    <w:rsid w:val="00372133"/>
    <w:rsid w:val="00395948"/>
    <w:rsid w:val="003B21D1"/>
    <w:rsid w:val="003B3B1A"/>
    <w:rsid w:val="003D7909"/>
    <w:rsid w:val="003E18ED"/>
    <w:rsid w:val="003E35E4"/>
    <w:rsid w:val="003E635C"/>
    <w:rsid w:val="003F2B45"/>
    <w:rsid w:val="003F718A"/>
    <w:rsid w:val="004113CB"/>
    <w:rsid w:val="00413C3E"/>
    <w:rsid w:val="00414B5C"/>
    <w:rsid w:val="00444F17"/>
    <w:rsid w:val="00460859"/>
    <w:rsid w:val="00463F53"/>
    <w:rsid w:val="0047463F"/>
    <w:rsid w:val="00480744"/>
    <w:rsid w:val="00485CED"/>
    <w:rsid w:val="004A0503"/>
    <w:rsid w:val="004C3DA5"/>
    <w:rsid w:val="004C5937"/>
    <w:rsid w:val="004D2A1E"/>
    <w:rsid w:val="004D57C4"/>
    <w:rsid w:val="004E009B"/>
    <w:rsid w:val="004E21D8"/>
    <w:rsid w:val="004E3C4C"/>
    <w:rsid w:val="004E7C68"/>
    <w:rsid w:val="00502493"/>
    <w:rsid w:val="00513159"/>
    <w:rsid w:val="00515D32"/>
    <w:rsid w:val="00520F7A"/>
    <w:rsid w:val="00545D2C"/>
    <w:rsid w:val="00552D93"/>
    <w:rsid w:val="00561612"/>
    <w:rsid w:val="00561FAF"/>
    <w:rsid w:val="00594E8A"/>
    <w:rsid w:val="005965FB"/>
    <w:rsid w:val="005B7288"/>
    <w:rsid w:val="005D37D7"/>
    <w:rsid w:val="005E0362"/>
    <w:rsid w:val="005F134F"/>
    <w:rsid w:val="0061248C"/>
    <w:rsid w:val="0068036B"/>
    <w:rsid w:val="00684C20"/>
    <w:rsid w:val="0069148A"/>
    <w:rsid w:val="006914EF"/>
    <w:rsid w:val="006A384D"/>
    <w:rsid w:val="006B4722"/>
    <w:rsid w:val="006C3951"/>
    <w:rsid w:val="006E15ED"/>
    <w:rsid w:val="006E2038"/>
    <w:rsid w:val="00721431"/>
    <w:rsid w:val="00743597"/>
    <w:rsid w:val="00787F24"/>
    <w:rsid w:val="007A779A"/>
    <w:rsid w:val="007D39E0"/>
    <w:rsid w:val="007D6FF5"/>
    <w:rsid w:val="007F1DC0"/>
    <w:rsid w:val="007F5D2F"/>
    <w:rsid w:val="007F7294"/>
    <w:rsid w:val="00802B2F"/>
    <w:rsid w:val="0080471D"/>
    <w:rsid w:val="008053C1"/>
    <w:rsid w:val="0081383A"/>
    <w:rsid w:val="00815BD9"/>
    <w:rsid w:val="008337E7"/>
    <w:rsid w:val="0084057B"/>
    <w:rsid w:val="008421B8"/>
    <w:rsid w:val="00843E84"/>
    <w:rsid w:val="00855825"/>
    <w:rsid w:val="008A6083"/>
    <w:rsid w:val="008C0717"/>
    <w:rsid w:val="008E7CDF"/>
    <w:rsid w:val="008F29DC"/>
    <w:rsid w:val="008F6C4E"/>
    <w:rsid w:val="008F7F69"/>
    <w:rsid w:val="009039B9"/>
    <w:rsid w:val="00904BC5"/>
    <w:rsid w:val="00906D1F"/>
    <w:rsid w:val="00913CDE"/>
    <w:rsid w:val="00924AAE"/>
    <w:rsid w:val="0092750B"/>
    <w:rsid w:val="00936E02"/>
    <w:rsid w:val="0093797A"/>
    <w:rsid w:val="00944B51"/>
    <w:rsid w:val="00955A29"/>
    <w:rsid w:val="00976B46"/>
    <w:rsid w:val="0099288B"/>
    <w:rsid w:val="009A20D1"/>
    <w:rsid w:val="009D7FE5"/>
    <w:rsid w:val="009F56F4"/>
    <w:rsid w:val="009F6C68"/>
    <w:rsid w:val="00A17E4F"/>
    <w:rsid w:val="00A44611"/>
    <w:rsid w:val="00A54665"/>
    <w:rsid w:val="00A65795"/>
    <w:rsid w:val="00AA75BE"/>
    <w:rsid w:val="00AA7C56"/>
    <w:rsid w:val="00AD0D98"/>
    <w:rsid w:val="00AE5A9E"/>
    <w:rsid w:val="00AF7403"/>
    <w:rsid w:val="00B21F7E"/>
    <w:rsid w:val="00B33656"/>
    <w:rsid w:val="00B34EF0"/>
    <w:rsid w:val="00B367EE"/>
    <w:rsid w:val="00B46E2A"/>
    <w:rsid w:val="00B506DE"/>
    <w:rsid w:val="00B51151"/>
    <w:rsid w:val="00B72CCD"/>
    <w:rsid w:val="00B76AA9"/>
    <w:rsid w:val="00B83FDA"/>
    <w:rsid w:val="00BA1A57"/>
    <w:rsid w:val="00BA1BFF"/>
    <w:rsid w:val="00BC1C3B"/>
    <w:rsid w:val="00BD060F"/>
    <w:rsid w:val="00BD173D"/>
    <w:rsid w:val="00BD442E"/>
    <w:rsid w:val="00C3701E"/>
    <w:rsid w:val="00C50EE3"/>
    <w:rsid w:val="00C5118B"/>
    <w:rsid w:val="00C570AE"/>
    <w:rsid w:val="00C65797"/>
    <w:rsid w:val="00C91866"/>
    <w:rsid w:val="00CA3D23"/>
    <w:rsid w:val="00CA566F"/>
    <w:rsid w:val="00CA6709"/>
    <w:rsid w:val="00CA67DD"/>
    <w:rsid w:val="00CA6E7B"/>
    <w:rsid w:val="00CB42AC"/>
    <w:rsid w:val="00CC4C89"/>
    <w:rsid w:val="00CD1D6C"/>
    <w:rsid w:val="00CF65B7"/>
    <w:rsid w:val="00D03FC3"/>
    <w:rsid w:val="00D2547B"/>
    <w:rsid w:val="00D41928"/>
    <w:rsid w:val="00D42982"/>
    <w:rsid w:val="00D772D4"/>
    <w:rsid w:val="00DA42F6"/>
    <w:rsid w:val="00DB1C1D"/>
    <w:rsid w:val="00DB41C1"/>
    <w:rsid w:val="00DD7217"/>
    <w:rsid w:val="00DF29DF"/>
    <w:rsid w:val="00E27DE6"/>
    <w:rsid w:val="00E75D08"/>
    <w:rsid w:val="00E75F08"/>
    <w:rsid w:val="00ED3E9C"/>
    <w:rsid w:val="00ED480E"/>
    <w:rsid w:val="00F40D23"/>
    <w:rsid w:val="00F4315D"/>
    <w:rsid w:val="00F44443"/>
    <w:rsid w:val="00F65634"/>
    <w:rsid w:val="00F66768"/>
    <w:rsid w:val="00F712F5"/>
    <w:rsid w:val="00F743A3"/>
    <w:rsid w:val="00FB41E5"/>
    <w:rsid w:val="00FC5CB2"/>
    <w:rsid w:val="00FE73F5"/>
    <w:rsid w:val="00FF39BB"/>
    <w:rsid w:val="2D5F3F86"/>
    <w:rsid w:val="3B0530A7"/>
    <w:rsid w:val="4DD8F2F7"/>
    <w:rsid w:val="58BF81CD"/>
    <w:rsid w:val="5F779BBF"/>
    <w:rsid w:val="7DFF1B50"/>
    <w:rsid w:val="7FBFEAD7"/>
    <w:rsid w:val="93C6BD5B"/>
    <w:rsid w:val="EF7FBEC9"/>
    <w:rsid w:val="F3FD955F"/>
    <w:rsid w:val="F7BF63C9"/>
    <w:rsid w:val="FF3E9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588" w:lineRule="exact"/>
      <w:ind w:firstLine="200" w:firstLineChars="200"/>
      <w:outlineLvl w:val="0"/>
    </w:pPr>
    <w:rPr>
      <w:rFonts w:ascii="Times New Roman" w:hAnsi="Times New Roman" w:eastAsia="方正黑体_GBK" w:cstheme="minorBidi"/>
      <w:bCs/>
      <w:kern w:val="44"/>
      <w:sz w:val="30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line="588" w:lineRule="exact"/>
      <w:ind w:firstLine="200" w:firstLineChars="200"/>
      <w:outlineLvl w:val="1"/>
    </w:pPr>
    <w:rPr>
      <w:rFonts w:eastAsia="方正楷体_GBK" w:asciiTheme="majorHAnsi" w:hAnsiTheme="majorHAnsi" w:cstheme="majorBidi"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theme="minorBidi"/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line="588" w:lineRule="exact"/>
      <w:jc w:val="center"/>
      <w:outlineLvl w:val="1"/>
    </w:pPr>
    <w:rPr>
      <w:rFonts w:eastAsia="方正楷体_GBK" w:asciiTheme="majorHAnsi" w:hAnsiTheme="majorHAnsi" w:cstheme="majorBidi"/>
      <w:bCs/>
      <w:kern w:val="28"/>
      <w:sz w:val="30"/>
      <w:szCs w:val="32"/>
    </w:rPr>
  </w:style>
  <w:style w:type="paragraph" w:styleId="7">
    <w:name w:val="Title"/>
    <w:basedOn w:val="1"/>
    <w:next w:val="1"/>
    <w:link w:val="12"/>
    <w:qFormat/>
    <w:uiPriority w:val="10"/>
    <w:pPr>
      <w:spacing w:line="588" w:lineRule="exact"/>
      <w:jc w:val="center"/>
      <w:outlineLvl w:val="0"/>
    </w:pPr>
    <w:rPr>
      <w:rFonts w:eastAsia="方正小标宋_GBK" w:asciiTheme="majorHAnsi" w:hAnsiTheme="majorHAnsi" w:cstheme="majorBidi"/>
      <w:bCs/>
      <w:sz w:val="40"/>
      <w:szCs w:val="32"/>
    </w:r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标题 Char"/>
    <w:basedOn w:val="9"/>
    <w:link w:val="7"/>
    <w:qFormat/>
    <w:uiPriority w:val="10"/>
    <w:rPr>
      <w:rFonts w:eastAsia="方正小标宋_GBK" w:asciiTheme="majorHAnsi" w:hAnsiTheme="majorHAnsi" w:cstheme="majorBidi"/>
      <w:bCs/>
      <w:sz w:val="40"/>
      <w:szCs w:val="32"/>
    </w:rPr>
  </w:style>
  <w:style w:type="character" w:customStyle="1" w:styleId="13">
    <w:name w:val="标题 1 Char"/>
    <w:basedOn w:val="9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4">
    <w:name w:val="标题 2 Char"/>
    <w:basedOn w:val="9"/>
    <w:link w:val="3"/>
    <w:semiHidden/>
    <w:qFormat/>
    <w:uiPriority w:val="9"/>
    <w:rPr>
      <w:rFonts w:eastAsia="方正楷体_GBK" w:asciiTheme="majorHAnsi" w:hAnsiTheme="majorHAnsi" w:cstheme="majorBidi"/>
      <w:bCs/>
      <w:sz w:val="30"/>
      <w:szCs w:val="32"/>
    </w:rPr>
  </w:style>
  <w:style w:type="character" w:customStyle="1" w:styleId="15">
    <w:name w:val="副标题 Char"/>
    <w:basedOn w:val="9"/>
    <w:link w:val="6"/>
    <w:qFormat/>
    <w:uiPriority w:val="11"/>
    <w:rPr>
      <w:rFonts w:eastAsia="方正楷体_GBK" w:asciiTheme="majorHAnsi" w:hAnsiTheme="majorHAnsi" w:cstheme="majorBidi"/>
      <w:bCs/>
      <w:kern w:val="28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277</Words>
  <Characters>1580</Characters>
  <Lines>13</Lines>
  <Paragraphs>3</Paragraphs>
  <TotalTime>9</TotalTime>
  <ScaleCrop>false</ScaleCrop>
  <LinksUpToDate>false</LinksUpToDate>
  <CharactersWithSpaces>1854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2020-12-03T15:26:00Z</dcterms:created>
  <dc:creator>张国华</dc:creator>
  <cp:lastModifiedBy>greatwall</cp:lastModifiedBy>
  <cp:lastPrinted>2021-03-16T16:55:00Z</cp:lastPrinted>
  <dcterms:modified xsi:type="dcterms:W3CDTF">2022-02-16T10:55:22Z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