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>
      <w:pPr>
        <w:pStyle w:val="2"/>
        <w:spacing w:line="52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widowControl/>
        <w:autoSpaceDE w:val="0"/>
        <w:spacing w:before="0" w:beforeLines="0" w:after="0" w:afterLines="0" w:line="520" w:lineRule="exact"/>
        <w:jc w:val="center"/>
        <w:rPr>
          <w:rFonts w:hint="default"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pacing w:val="-6"/>
          <w:kern w:val="0"/>
          <w:sz w:val="40"/>
          <w:szCs w:val="40"/>
        </w:rPr>
        <w:t>湖南省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0"/>
          <w:szCs w:val="40"/>
        </w:rPr>
        <w:t>发展和改革委员会</w:t>
      </w:r>
      <w:r>
        <w:rPr>
          <w:rFonts w:ascii="Times New Roman" w:hAnsi="Times New Roman" w:eastAsia="方正小标宋_GBK" w:cs="Times New Roman"/>
          <w:color w:val="000000"/>
          <w:spacing w:val="-6"/>
          <w:kern w:val="0"/>
          <w:sz w:val="40"/>
          <w:szCs w:val="40"/>
        </w:rPr>
        <w:t>政府购买服务指导性目录</w:t>
      </w:r>
    </w:p>
    <w:bookmarkEnd w:id="0"/>
    <w:p>
      <w:pPr>
        <w:pStyle w:val="2"/>
        <w:spacing w:before="156" w:beforeLines="50" w:after="156" w:afterLines="50" w:line="520" w:lineRule="exact"/>
        <w:rPr>
          <w:rFonts w:ascii="Times New Roman" w:hAnsi="Times New Roman" w:eastAsia="宋体" w:cs="Times New Roman"/>
          <w:color w:val="auto"/>
          <w:kern w:val="2"/>
          <w:sz w:val="21"/>
          <w:szCs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73"/>
        <w:gridCol w:w="1500"/>
        <w:gridCol w:w="379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eastAsia="黑体"/>
                <w:i w:val="0"/>
              </w:rPr>
              <w:t>代码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eastAsia="黑体"/>
                <w:i w:val="0"/>
              </w:rPr>
              <w:t>一级目录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eastAsia="黑体"/>
                <w:i w:val="0"/>
              </w:rPr>
              <w:t>二级目录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eastAsia="黑体"/>
                <w:i w:val="0"/>
              </w:rPr>
              <w:t>三级目录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hint="default" w:eastAsia="黑体"/>
                <w:i w:val="0"/>
              </w:rPr>
              <w:t>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eastAsia="黑体"/>
                <w:i w:val="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hint="default" w:eastAsia="黑体"/>
                <w:i w:val="0"/>
              </w:rPr>
              <w:t>（</w:t>
            </w:r>
            <w:r>
              <w:rPr>
                <w:rStyle w:val="7"/>
                <w:rFonts w:eastAsia="黑体"/>
                <w:i w:val="0"/>
              </w:rPr>
              <w:t>2类</w:t>
            </w:r>
            <w:r>
              <w:rPr>
                <w:rStyle w:val="7"/>
                <w:rFonts w:hint="default" w:eastAsia="黑体"/>
                <w:i w:val="0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hint="default" w:eastAsia="黑体"/>
                <w:i w:val="0"/>
              </w:rPr>
              <w:t>（21</w:t>
            </w:r>
            <w:r>
              <w:rPr>
                <w:rStyle w:val="7"/>
                <w:rFonts w:eastAsia="黑体"/>
                <w:i w:val="0"/>
              </w:rPr>
              <w:t>款</w:t>
            </w:r>
            <w:r>
              <w:rPr>
                <w:rStyle w:val="7"/>
                <w:rFonts w:hint="default" w:eastAsia="黑体"/>
                <w:i w:val="0"/>
              </w:rPr>
              <w:t>）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  <w:r>
              <w:rPr>
                <w:rStyle w:val="7"/>
                <w:rFonts w:hint="default" w:eastAsia="黑体"/>
                <w:i w:val="0"/>
              </w:rPr>
              <w:t>（7</w:t>
            </w:r>
            <w:r>
              <w:rPr>
                <w:rStyle w:val="7"/>
                <w:rFonts w:eastAsia="黑体"/>
                <w:i w:val="0"/>
              </w:rPr>
              <w:t>3项</w:t>
            </w:r>
            <w:r>
              <w:rPr>
                <w:rStyle w:val="7"/>
                <w:rFonts w:hint="default" w:eastAsia="黑体"/>
                <w:i w:val="0"/>
              </w:rPr>
              <w:t>）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黑体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公共服务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公共安全服务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200A0101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公共安全隐患排查治理服务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200A0102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公共安全情况监测服务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200A0109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网络及社会舆情监测、研究、引导、处置服务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就业公共服务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200A0301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就业指导服务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200A0302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职业技能培训服务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200A0304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人才服务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生态保护和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环境治理服务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生态资源调查、监测与管护服务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碳汇监测与评估服务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废弃物处理服务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环境保护舆情监控服务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环境保护成果交流与管理服务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污染防治服务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200A0610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政府组织的资源节约、环境保护教育、培训服务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农业、林业和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水利公共服务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200A1201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农业绿色发展和可持续发展服务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200A1202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农业资源与环境保护服务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200A1214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水资源管理、节约和保护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灾害防治及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应急管理服务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200A1403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防灾救灾物资储备、供应服务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rFonts w:hint="default"/>
                <w:i w:val="0"/>
              </w:rPr>
              <w:t>应急物资储备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hint="eastAsia"/>
                <w:i w:val="0"/>
              </w:rPr>
            </w:pPr>
            <w:r>
              <w:rPr>
                <w:rStyle w:val="7"/>
                <w:i w:val="0"/>
              </w:rPr>
              <w:t>公共信息与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宣传服务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公共信息服务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公共公益宣传服务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公共公益展览服务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公共信息系统开发、运行维护服务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政府宣传人才队伍培训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200A1506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法治宣传教育服务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行业管理服务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行业规划、政策研究服务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行业调查与处置服务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行业统计分析服务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行业职业资格准入和水平评价管理辅助性服务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行业规范服务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行业标准制修订服务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行业投诉处理服务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行业评估、咨询服务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200A1609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行业人才培养服务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技术性</w:t>
            </w:r>
            <w:r>
              <w:rPr>
                <w:rStyle w:val="7"/>
                <w:i w:val="0"/>
              </w:rPr>
              <w:br w:type="textWrapping"/>
            </w:r>
            <w:r>
              <w:rPr>
                <w:rStyle w:val="7"/>
                <w:i w:val="0"/>
              </w:rPr>
              <w:t>公共服务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200A1701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技术评审鉴定评估服务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200A1703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监测服务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200A1705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区划地名界线测绘服务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其他公共服务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200A1801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对外合作与交流服务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  <w:spacing w:val="0"/>
              </w:rPr>
            </w:pPr>
            <w:r>
              <w:rPr>
                <w:rStyle w:val="7"/>
                <w:i w:val="0"/>
                <w:spacing w:val="0"/>
              </w:rPr>
              <w:t>政府履职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  <w:spacing w:val="0"/>
              </w:rPr>
              <w:t>辅助性服务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法律服务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法律顾问服务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法律咨询服务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法律诉讼及其他争端解决法律服务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见证及公证服务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200B0105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行政复议、行政调解和仲裁等辅助性服务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课题研究和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社会调查服务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200B0201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课题研究服务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200B0202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社会调查服务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会计审计</w:t>
            </w:r>
            <w:r>
              <w:rPr>
                <w:rStyle w:val="7"/>
                <w:i w:val="0"/>
              </w:rPr>
              <w:br w:type="textWrapping"/>
            </w:r>
            <w:r>
              <w:rPr>
                <w:rStyle w:val="7"/>
                <w:i w:val="0"/>
              </w:rPr>
              <w:t>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200B0301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会计服务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200B0302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审计服务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200B0303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政府组织的资产清查服务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会议服务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200B0401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会议服务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200B0402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经贸活动的策划、组织、实施等辅助性服务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200B0403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  <w:spacing w:val="0"/>
              </w:rPr>
              <w:t>展览活动组展设计、实施等辅助性服务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监督检查</w:t>
            </w:r>
            <w:r>
              <w:rPr>
                <w:rStyle w:val="7"/>
                <w:i w:val="0"/>
              </w:rPr>
              <w:br w:type="textWrapping"/>
            </w:r>
            <w:r>
              <w:rPr>
                <w:rStyle w:val="7"/>
                <w:i w:val="0"/>
              </w:rPr>
              <w:t>辅助服务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200B0501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监督检查辅助服务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工程服务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200B0601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工程造价咨询服务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200B0602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工程监理服务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200B0603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工程鉴定、质量安全检测辅助性服务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评审评估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评价服务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200B0701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评审服务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200B0702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评估和评价服务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咨询服务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200B0801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咨询服务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机关工作人员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培训服务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200B0901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机关工作人员技术业务培训服务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200B0902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其他适合通过市场化方式提供的机关工作人员培训服务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信息化服务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200B1001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机关信息系统开发与维护服务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200B1002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数据处理服务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200B1003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网络接入服务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200B1004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其他适合通过市场化方式提供的信息化服务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后勤服务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维修保养服务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物业管理服务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安全服务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印刷和出版服务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餐饮服务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租赁服务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200B1107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  <w:spacing w:val="-6"/>
                <w:w w:val="99"/>
              </w:rPr>
              <w:t>其他适合通过市场化方式提供的后勤服务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  <w:spacing w:val="-17"/>
                <w:w w:val="99"/>
              </w:rPr>
              <w:t>其他辅助性服务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200B1201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翻译服务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200B1202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档案整理服务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200B1203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外事服务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200B1204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7"/>
                <w:i w:val="0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  <w:r>
              <w:rPr>
                <w:rStyle w:val="7"/>
                <w:i w:val="0"/>
              </w:rPr>
              <w:t>政府组织的招标、拍卖服务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i w:val="0"/>
              </w:rPr>
            </w:pPr>
          </w:p>
        </w:tc>
      </w:tr>
    </w:tbl>
    <w:p>
      <w:pPr>
        <w:widowControl/>
        <w:textAlignment w:val="bottom"/>
        <w:rPr>
          <w:rStyle w:val="8"/>
          <w:rFonts w:ascii="Times New Roman" w:hAnsi="Times New Roman" w:eastAsia="黑体" w:cs="Times New Roman"/>
          <w:b w:val="0"/>
          <w:bCs/>
          <w:sz w:val="32"/>
          <w:szCs w:val="32"/>
          <w:lang w:bidi="ar"/>
        </w:rPr>
      </w:pPr>
    </w:p>
    <w:p>
      <w:pPr>
        <w:pStyle w:val="3"/>
        <w:sectPr>
          <w:footerReference r:id="rId3" w:type="default"/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0" w:firstLine="0"/>
      <w:jc w:val="right"/>
      <w:rPr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0D763ED8"/>
    <w:rsid w:val="0D7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font11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2023-06-07T07:33:00Z</dcterms:created>
  <dc:creator>朱佳妮</dc:creator>
  <cp:lastModifiedBy>朱佳妮</cp:lastModifiedBy>
  <dcterms:modified xsi:type="dcterms:W3CDTF">2023-06-07T07:33:40Z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024C45687F6E48A3BFF43B56D6BDDAC8_11</vt:lpwstr>
  </property>
</Properties>
</file>