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40D1">
      <w:pPr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  <w:lang w:val="en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 w14:paraId="2B9B103A">
      <w:pPr>
        <w:overflowPunct w:val="0"/>
        <w:spacing w:before="156" w:beforeLines="50" w:after="156" w:afterLines="50" w:line="536" w:lineRule="exact"/>
        <w:jc w:val="center"/>
        <w:rPr>
          <w:rFonts w:eastAsia="方正小标宋_GBK"/>
          <w:color w:val="000000"/>
          <w:sz w:val="42"/>
          <w:szCs w:val="42"/>
        </w:rPr>
      </w:pPr>
      <w:r>
        <w:rPr>
          <w:rFonts w:eastAsia="方正小标宋_GBK"/>
          <w:color w:val="000000"/>
          <w:sz w:val="42"/>
          <w:szCs w:val="42"/>
        </w:rPr>
        <w:t>评审标准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28"/>
        <w:gridCol w:w="791"/>
        <w:gridCol w:w="6990"/>
      </w:tblGrid>
      <w:tr w14:paraId="4002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412211FE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228" w:type="dxa"/>
            <w:noWrap w:val="0"/>
            <w:vAlign w:val="center"/>
          </w:tcPr>
          <w:p w14:paraId="39E9CD9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评审因素</w:t>
            </w:r>
          </w:p>
        </w:tc>
        <w:tc>
          <w:tcPr>
            <w:tcW w:w="791" w:type="dxa"/>
            <w:noWrap w:val="0"/>
            <w:vAlign w:val="center"/>
          </w:tcPr>
          <w:p w14:paraId="14B05A40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6990" w:type="dxa"/>
            <w:noWrap w:val="0"/>
            <w:vAlign w:val="center"/>
          </w:tcPr>
          <w:p w14:paraId="73C3E78B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评分标准</w:t>
            </w:r>
          </w:p>
        </w:tc>
      </w:tr>
      <w:tr w14:paraId="2CB5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264AAEB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28" w:type="dxa"/>
            <w:noWrap w:val="0"/>
            <w:vAlign w:val="center"/>
          </w:tcPr>
          <w:p w14:paraId="0F3A905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基本条件</w:t>
            </w:r>
          </w:p>
        </w:tc>
        <w:tc>
          <w:tcPr>
            <w:tcW w:w="791" w:type="dxa"/>
            <w:noWrap w:val="0"/>
            <w:vAlign w:val="center"/>
          </w:tcPr>
          <w:p w14:paraId="476CC5F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20分</w:t>
            </w:r>
          </w:p>
        </w:tc>
        <w:tc>
          <w:tcPr>
            <w:tcW w:w="6990" w:type="dxa"/>
            <w:noWrap w:val="0"/>
            <w:vAlign w:val="center"/>
          </w:tcPr>
          <w:p w14:paraId="3FECAD22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color w:val="auto"/>
                <w:sz w:val="24"/>
                <w:szCs w:val="24"/>
              </w:rPr>
              <w:t>参评机构具备独立承担民事责任的能力；（2分）</w:t>
            </w:r>
          </w:p>
          <w:p w14:paraId="631967C1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2、参评机构具有良好的商业信誉和健全的财务会计制度；（2分）</w:t>
            </w:r>
          </w:p>
          <w:p w14:paraId="7ED15605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3、参评机构拟派团队成员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不含项目负责人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color w:val="auto"/>
                <w:sz w:val="24"/>
                <w:szCs w:val="24"/>
              </w:rPr>
              <w:t>具有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注册会计师证书且在参评机构执业的</w:t>
            </w:r>
            <w:r>
              <w:rPr>
                <w:color w:val="auto"/>
                <w:sz w:val="24"/>
                <w:szCs w:val="24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或高级会计师职称的，</w:t>
            </w:r>
            <w:r>
              <w:rPr>
                <w:color w:val="auto"/>
                <w:sz w:val="24"/>
                <w:szCs w:val="24"/>
              </w:rPr>
              <w:t>每个计2分，具有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中级会计师职称的，每个计1分，（同一成员不重复计分）</w:t>
            </w:r>
            <w:r>
              <w:rPr>
                <w:color w:val="auto"/>
                <w:sz w:val="24"/>
                <w:szCs w:val="24"/>
              </w:rPr>
              <w:t>本项最高计1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color w:val="auto"/>
                <w:sz w:val="24"/>
                <w:szCs w:val="24"/>
              </w:rPr>
              <w:t>分；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提供人员证书复印件并加盖参评机构公章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color w:val="auto"/>
                <w:sz w:val="24"/>
                <w:szCs w:val="24"/>
              </w:rPr>
              <w:t>（1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color w:val="auto"/>
                <w:sz w:val="24"/>
                <w:szCs w:val="24"/>
              </w:rPr>
              <w:t>分）</w:t>
            </w:r>
          </w:p>
          <w:p w14:paraId="08C7DF1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4、参评机构半年内连续三个月依法缴纳税收及社保记录良好；（2分）</w:t>
            </w:r>
          </w:p>
          <w:p w14:paraId="5CE74D07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5、参评机构3年内无重大违法记录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color w:val="auto"/>
                <w:sz w:val="24"/>
                <w:szCs w:val="24"/>
              </w:rPr>
              <w:t>2年内无不良信用记录；（2分）</w:t>
            </w:r>
          </w:p>
        </w:tc>
      </w:tr>
      <w:tr w14:paraId="16A3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52FB8AB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28" w:type="dxa"/>
            <w:noWrap w:val="0"/>
            <w:vAlign w:val="center"/>
          </w:tcPr>
          <w:p w14:paraId="31ECCC87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综合实力</w:t>
            </w:r>
          </w:p>
        </w:tc>
        <w:tc>
          <w:tcPr>
            <w:tcW w:w="791" w:type="dxa"/>
            <w:noWrap w:val="0"/>
            <w:vAlign w:val="center"/>
          </w:tcPr>
          <w:p w14:paraId="64970F6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20分</w:t>
            </w:r>
          </w:p>
        </w:tc>
        <w:tc>
          <w:tcPr>
            <w:tcW w:w="6990" w:type="dxa"/>
            <w:noWrap w:val="0"/>
            <w:vAlign w:val="center"/>
          </w:tcPr>
          <w:p w14:paraId="2AA56E1A">
            <w:pPr>
              <w:spacing w:line="400" w:lineRule="exact"/>
              <w:jc w:val="left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1、</w:t>
            </w:r>
            <w:r>
              <w:rPr>
                <w:rFonts w:hint="eastAsia"/>
                <w:color w:val="auto"/>
                <w:sz w:val="24"/>
                <w:szCs w:val="24"/>
              </w:rPr>
              <w:t>以往业绩：参评机构近三年（2022年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  <w:szCs w:val="24"/>
              </w:rPr>
              <w:t>月至今）以来 (以合同签订时间为准) ，参评机构具有省级行政事业单位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财务咨询同类型项目</w:t>
            </w:r>
            <w:r>
              <w:rPr>
                <w:rFonts w:hint="eastAsia"/>
                <w:color w:val="auto"/>
                <w:sz w:val="24"/>
                <w:szCs w:val="24"/>
              </w:rPr>
              <w:t>工作经验，每个计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分，本项最高计1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分；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提供合同复印件并加盖参评机构公章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4"/>
                <w:szCs w:val="24"/>
              </w:rPr>
              <w:t>分）</w:t>
            </w:r>
          </w:p>
          <w:p w14:paraId="0CEF6D30">
            <w:pPr>
              <w:spacing w:line="400" w:lineRule="exact"/>
              <w:jc w:val="left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2、</w:t>
            </w:r>
            <w:r>
              <w:rPr>
                <w:rFonts w:hint="eastAsia"/>
                <w:color w:val="auto"/>
                <w:sz w:val="24"/>
                <w:szCs w:val="24"/>
              </w:rPr>
              <w:t>项目负责人须具有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注册会计师及</w:t>
            </w:r>
            <w:r>
              <w:rPr>
                <w:rFonts w:hint="eastAsia"/>
                <w:color w:val="auto"/>
                <w:sz w:val="24"/>
                <w:szCs w:val="24"/>
              </w:rPr>
              <w:t>高级会计师证书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color w:val="auto"/>
                <w:sz w:val="24"/>
                <w:szCs w:val="24"/>
              </w:rPr>
              <w:t>，计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/>
                <w:color w:val="auto"/>
                <w:sz w:val="24"/>
                <w:szCs w:val="24"/>
              </w:rPr>
              <w:t>近三年（2022年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  <w:szCs w:val="24"/>
              </w:rPr>
              <w:t>月至今）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/>
                <w:color w:val="auto"/>
                <w:sz w:val="24"/>
                <w:szCs w:val="24"/>
              </w:rPr>
              <w:t>省级行政事业单位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财务咨询同类型项目工作经验3个及以上的，计3分，否则不得分</w:t>
            </w:r>
            <w:r>
              <w:rPr>
                <w:rFonts w:hint="eastAsia"/>
                <w:color w:val="auto"/>
                <w:sz w:val="24"/>
                <w:szCs w:val="24"/>
              </w:rPr>
              <w:t>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提供项目负责人相关证书复印件及工作经验证明材料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分）</w:t>
            </w:r>
          </w:p>
          <w:p w14:paraId="31DCB048">
            <w:pPr>
              <w:spacing w:line="400" w:lineRule="exact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3、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优秀证明：参评机构近</w:t>
            </w:r>
            <w:r>
              <w:rPr>
                <w:rFonts w:hint="eastAsia"/>
                <w:color w:val="auto"/>
                <w:sz w:val="24"/>
                <w:szCs w:val="24"/>
              </w:rPr>
              <w:t>三年（2022年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  <w:szCs w:val="24"/>
              </w:rPr>
              <w:t>月至今）以来（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/>
                <w:color w:val="auto"/>
                <w:sz w:val="24"/>
                <w:szCs w:val="24"/>
              </w:rPr>
              <w:t>证明材料落款时间为准），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/>
                <w:color w:val="auto"/>
                <w:sz w:val="24"/>
                <w:szCs w:val="24"/>
              </w:rPr>
              <w:t>省级行政事业单位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财务咨询同类型项目的服务质量被项目主管单位评为优秀或满意的</w:t>
            </w:r>
            <w:r>
              <w:rPr>
                <w:rFonts w:hint="eastAsia"/>
                <w:color w:val="auto"/>
                <w:sz w:val="24"/>
                <w:szCs w:val="24"/>
              </w:rPr>
              <w:t>，每个计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分，本项最高计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分；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提供相关材料证明文件）</w:t>
            </w:r>
            <w:r>
              <w:rPr>
                <w:rFonts w:hint="eastAsia"/>
                <w:color w:val="auto"/>
                <w:sz w:val="24"/>
                <w:szCs w:val="24"/>
              </w:rPr>
              <w:t>（5分）</w:t>
            </w:r>
          </w:p>
        </w:tc>
      </w:tr>
      <w:tr w14:paraId="75D7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DFD00FA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28" w:type="dxa"/>
            <w:noWrap w:val="0"/>
            <w:vAlign w:val="center"/>
          </w:tcPr>
          <w:p w14:paraId="7FD57B4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服务方案</w:t>
            </w:r>
          </w:p>
        </w:tc>
        <w:tc>
          <w:tcPr>
            <w:tcW w:w="791" w:type="dxa"/>
            <w:noWrap w:val="0"/>
            <w:vAlign w:val="center"/>
          </w:tcPr>
          <w:p w14:paraId="6934F2B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分</w:t>
            </w:r>
          </w:p>
        </w:tc>
        <w:tc>
          <w:tcPr>
            <w:tcW w:w="6990" w:type="dxa"/>
            <w:noWrap w:val="0"/>
            <w:vAlign w:val="center"/>
          </w:tcPr>
          <w:p w14:paraId="19E0A6FF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服务方案包括服务内容、人员安排、服务措施、响应时间等内容，方案详细、清晰、明确，符合我委工作实际需求。</w:t>
            </w:r>
          </w:p>
          <w:p w14:paraId="0CF6F3B2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方案科学、完整合理、可操作性强的计</w:t>
            </w:r>
            <w:r>
              <w:rPr>
                <w:color w:val="000000"/>
                <w:sz w:val="24"/>
                <w:szCs w:val="24"/>
                <w:lang w:val="en"/>
              </w:rPr>
              <w:t>20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"/>
              </w:rPr>
              <w:t>3</w:t>
            </w:r>
            <w:r>
              <w:rPr>
                <w:color w:val="000000"/>
                <w:sz w:val="24"/>
                <w:szCs w:val="24"/>
              </w:rPr>
              <w:t>0分；</w:t>
            </w:r>
          </w:p>
          <w:p w14:paraId="7C501592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方案较科学、较完整合理、可操作性较强的计</w:t>
            </w:r>
            <w:r>
              <w:rPr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color w:val="000000"/>
                <w:sz w:val="24"/>
                <w:szCs w:val="24"/>
              </w:rPr>
              <w:t>0-</w:t>
            </w:r>
            <w:r>
              <w:rPr>
                <w:color w:val="000000"/>
                <w:sz w:val="24"/>
                <w:szCs w:val="24"/>
                <w:lang w:val="en"/>
              </w:rPr>
              <w:t>2</w:t>
            </w:r>
            <w:r>
              <w:rPr>
                <w:color w:val="000000"/>
                <w:sz w:val="24"/>
                <w:szCs w:val="24"/>
              </w:rPr>
              <w:t>0分；</w:t>
            </w:r>
          </w:p>
          <w:p w14:paraId="35F447EB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方案欠科学、欠完整、可操作性一般的计</w:t>
            </w:r>
            <w:r>
              <w:rPr>
                <w:color w:val="000000"/>
                <w:sz w:val="24"/>
                <w:szCs w:val="24"/>
                <w:lang w:val="en"/>
              </w:rPr>
              <w:t>5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color w:val="000000"/>
                <w:sz w:val="24"/>
                <w:szCs w:val="24"/>
              </w:rPr>
              <w:t>0分；</w:t>
            </w:r>
          </w:p>
          <w:p w14:paraId="52227CFD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未提供方案的不计分。</w:t>
            </w:r>
          </w:p>
        </w:tc>
      </w:tr>
      <w:tr w14:paraId="080E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4E14A8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28" w:type="dxa"/>
            <w:noWrap w:val="0"/>
            <w:vAlign w:val="center"/>
          </w:tcPr>
          <w:p w14:paraId="62FA5EF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价格</w:t>
            </w:r>
          </w:p>
        </w:tc>
        <w:tc>
          <w:tcPr>
            <w:tcW w:w="791" w:type="dxa"/>
            <w:noWrap w:val="0"/>
            <w:vAlign w:val="center"/>
          </w:tcPr>
          <w:p w14:paraId="5C8128E9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分</w:t>
            </w:r>
          </w:p>
        </w:tc>
        <w:tc>
          <w:tcPr>
            <w:tcW w:w="6990" w:type="dxa"/>
            <w:noWrap w:val="0"/>
            <w:vAlign w:val="center"/>
          </w:tcPr>
          <w:p w14:paraId="1FEA1E9F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满足采购要求且机构报价中最低的报价为评审基准价，其价格分值为满分；其他参评机构的价格分值按照以下公式计算：</w:t>
            </w:r>
          </w:p>
          <w:p w14:paraId="31E7534C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评审报价得分=（评审基准价/机构报价）×</w:t>
            </w:r>
            <w:r>
              <w:rPr>
                <w:color w:val="000000"/>
                <w:sz w:val="24"/>
                <w:szCs w:val="24"/>
                <w:lang w:val="en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  <w:p w14:paraId="63F6D490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注：参评机构报价如低于所有合格参评机构报价平均值*</w:t>
            </w:r>
            <w:r>
              <w:rPr>
                <w:color w:val="000000"/>
                <w:sz w:val="24"/>
                <w:szCs w:val="24"/>
                <w:lang w:val="en"/>
              </w:rPr>
              <w:t>85</w:t>
            </w:r>
            <w:r>
              <w:rPr>
                <w:color w:val="000000"/>
                <w:sz w:val="24"/>
                <w:szCs w:val="24"/>
              </w:rPr>
              <w:t>%的，评审小组将认定其低于成本报价，该参评机构报价得分计0分，且其报价不计入基准价计算。</w:t>
            </w:r>
          </w:p>
        </w:tc>
      </w:tr>
    </w:tbl>
    <w:p w14:paraId="5CCF91E4">
      <w:pPr>
        <w:rPr>
          <w:color w:val="0000FF"/>
        </w:rPr>
      </w:pPr>
    </w:p>
    <w:p w14:paraId="30C926FF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F7683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CC1EE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B6A5C1"/>
    <w:p w14:paraId="0F2C9DB3"/>
    <w:p w14:paraId="22950063"/>
    <w:p w14:paraId="1D86D2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06824"/>
    <w:rsid w:val="27D0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Tahoma" w:hAnsi="Tahoma" w:eastAsia="微软雅黑"/>
      <w:sz w:val="22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2025-09-23T04:38:00Z</dcterms:created>
  <dc:creator>Yi。</dc:creator>
  <cp:lastModifiedBy>Yi。</cp:lastModifiedBy>
  <dcterms:modified xsi:type="dcterms:W3CDTF">2025-09-23T04:39:13Z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03DDB2560115424A93AEF58222BCEB8A_11</vt:lpwstr>
  </property>
  <property fmtid="{D5CDD505-2E9C-101B-9397-08002B2CF9AE}" pid="4" name="KSOTemplateDocerSaveRecord">
    <vt:lpwstr>eyJoZGlkIjoiYjRiOTYxNTgxMDFkOGZlMjA3YjMwYzY2NTIxMTQzYzAiLCJ1c2VySWQiOiI0MTExMzY4MjYifQ==</vt:lpwstr>
  </property>
</Properties>
</file>