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6" w:lineRule="exact"/>
        <w:rPr>
          <w:rFonts w:eastAsia="仿宋_GB2312"/>
          <w:color w:val="000000"/>
          <w:sz w:val="32"/>
          <w:szCs w:val="32"/>
        </w:rPr>
      </w:pPr>
      <w:r>
        <w:rPr>
          <w:rFonts w:eastAsia="仿宋_GB2312"/>
          <w:color w:val="000000"/>
          <w:sz w:val="32"/>
          <w:szCs w:val="32"/>
        </w:rPr>
        <w:t>附件2</w:t>
      </w:r>
    </w:p>
    <w:p>
      <w:pPr>
        <w:adjustRightInd w:val="0"/>
        <w:snapToGrid w:val="0"/>
        <w:spacing w:line="596" w:lineRule="exact"/>
        <w:rPr>
          <w:rFonts w:eastAsia="仿宋_GB2312"/>
          <w:color w:val="000000"/>
          <w:sz w:val="32"/>
          <w:szCs w:val="32"/>
        </w:rPr>
      </w:pPr>
    </w:p>
    <w:p>
      <w:pPr>
        <w:adjustRightInd w:val="0"/>
        <w:snapToGrid w:val="0"/>
        <w:spacing w:line="596" w:lineRule="exact"/>
        <w:jc w:val="center"/>
        <w:rPr>
          <w:rFonts w:eastAsia="方正小标宋简体"/>
          <w:color w:val="000000"/>
          <w:sz w:val="42"/>
          <w:szCs w:val="42"/>
        </w:rPr>
      </w:pPr>
      <w:bookmarkStart w:id="1" w:name="_GoBack"/>
      <w:r>
        <w:rPr>
          <w:rFonts w:eastAsia="方正小标宋简体"/>
          <w:color w:val="000000"/>
          <w:sz w:val="42"/>
          <w:szCs w:val="42"/>
        </w:rPr>
        <w:t>生态保护和修复支撑体系</w:t>
      </w:r>
    </w:p>
    <w:p>
      <w:pPr>
        <w:adjustRightInd w:val="0"/>
        <w:snapToGrid w:val="0"/>
        <w:spacing w:line="596" w:lineRule="exact"/>
        <w:jc w:val="center"/>
        <w:rPr>
          <w:rFonts w:eastAsia="方正小标宋简体"/>
          <w:color w:val="000000"/>
          <w:sz w:val="42"/>
          <w:szCs w:val="42"/>
          <w:shd w:val="clear" w:color="auto" w:fill="FFFFFF"/>
        </w:rPr>
      </w:pPr>
      <w:r>
        <w:rPr>
          <w:rFonts w:eastAsia="方正小标宋简体"/>
          <w:color w:val="000000"/>
          <w:sz w:val="42"/>
          <w:szCs w:val="42"/>
        </w:rPr>
        <w:t>中央预算内投资专项管理办法</w:t>
      </w:r>
    </w:p>
    <w:bookmarkEnd w:id="1"/>
    <w:p>
      <w:pPr>
        <w:adjustRightInd w:val="0"/>
        <w:snapToGrid w:val="0"/>
        <w:spacing w:line="596" w:lineRule="exact"/>
        <w:jc w:val="center"/>
        <w:rPr>
          <w:rFonts w:eastAsia="仿宋_GB2312"/>
          <w:color w:val="000000"/>
          <w:sz w:val="32"/>
          <w:szCs w:val="32"/>
          <w:shd w:val="clear" w:color="auto" w:fill="FFFFFF"/>
        </w:rPr>
      </w:pPr>
    </w:p>
    <w:p>
      <w:pPr>
        <w:adjustRightInd w:val="0"/>
        <w:snapToGrid w:val="0"/>
        <w:spacing w:line="596" w:lineRule="exact"/>
        <w:jc w:val="center"/>
        <w:rPr>
          <w:rFonts w:eastAsia="黑体"/>
          <w:color w:val="000000"/>
          <w:sz w:val="32"/>
          <w:szCs w:val="32"/>
          <w:shd w:val="clear" w:color="auto" w:fill="FFFFFF"/>
        </w:rPr>
      </w:pPr>
      <w:r>
        <w:rPr>
          <w:rFonts w:eastAsia="黑体"/>
          <w:color w:val="000000"/>
          <w:sz w:val="32"/>
          <w:szCs w:val="32"/>
          <w:shd w:val="clear" w:color="auto" w:fill="FFFFFF"/>
        </w:rPr>
        <w:t>第一章  总则</w:t>
      </w:r>
    </w:p>
    <w:p>
      <w:pPr>
        <w:adjustRightInd w:val="0"/>
        <w:snapToGrid w:val="0"/>
        <w:spacing w:line="596" w:lineRule="exact"/>
        <w:ind w:firstLine="640" w:firstLineChars="200"/>
        <w:rPr>
          <w:rFonts w:eastAsia="仿宋_GB2312"/>
          <w:color w:val="000000"/>
          <w:sz w:val="32"/>
          <w:szCs w:val="32"/>
        </w:rPr>
      </w:pPr>
    </w:p>
    <w:p>
      <w:pPr>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rPr>
        <w:t>第一条</w:t>
      </w:r>
      <w:r>
        <w:rPr>
          <w:rFonts w:eastAsia="仿宋_GB2312"/>
          <w:color w:val="000000"/>
          <w:sz w:val="32"/>
          <w:szCs w:val="32"/>
        </w:rPr>
        <w:t xml:space="preserve">  为加强生态保护和修复支撑体系中央预算内投资专项（以下简称“本专项”）管理，规范项目建设程序和行为，确保建设质量，充分发挥投资效益，根据《种子法》《野生动物保护法》《森林防火条例》《草原防火条例》《自然保护区条例》《政府投资条例》和《中央预算内投资补助和贴息项目管理办法》（国家发展改革委第45号令）、《中央预算内直接投资项目管理办法》（国家发展改革委第7号令）、《国家发展改革委关于加强中央预算内投资绩效管理有关工作的通知》（发改投资〔2019〕220号）、《国家发展改革委关于规范中央预算内投资资金安排方式及项目管理的通知》（发改投资规〔2020〕518号）等有关规定，制定本办法。</w:t>
      </w:r>
    </w:p>
    <w:p>
      <w:pPr>
        <w:tabs>
          <w:tab w:val="left" w:pos="2410"/>
        </w:tabs>
        <w:overflowPunct w:val="0"/>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rPr>
        <w:t>第二条</w:t>
      </w:r>
      <w:r>
        <w:rPr>
          <w:rFonts w:eastAsia="仿宋_GB2312"/>
          <w:color w:val="000000"/>
          <w:sz w:val="32"/>
          <w:szCs w:val="32"/>
        </w:rPr>
        <w:t xml:space="preserve">  本专项安排的生态保护和修复支撑体系中央预算内投资资金，有关单位可以采取直接投资、投资补助方式安排项目。</w:t>
      </w:r>
    </w:p>
    <w:p>
      <w:pPr>
        <w:tabs>
          <w:tab w:val="left" w:pos="2410"/>
        </w:tabs>
        <w:overflowPunct w:val="0"/>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rPr>
        <w:t>第三条</w:t>
      </w:r>
      <w:r>
        <w:rPr>
          <w:rFonts w:eastAsia="仿宋_GB2312"/>
          <w:color w:val="000000"/>
          <w:sz w:val="32"/>
          <w:szCs w:val="32"/>
        </w:rPr>
        <w:t xml:space="preserve">  本专项中央预算内投资应用于计划新开工或续建项目，原则上不得用于已完工项目。</w:t>
      </w:r>
    </w:p>
    <w:p>
      <w:pPr>
        <w:adjustRightInd w:val="0"/>
        <w:snapToGrid w:val="0"/>
        <w:spacing w:line="596" w:lineRule="exact"/>
        <w:jc w:val="center"/>
        <w:rPr>
          <w:rFonts w:eastAsia="仿宋_GB2312"/>
          <w:color w:val="000000"/>
          <w:sz w:val="32"/>
          <w:szCs w:val="32"/>
          <w:shd w:val="clear" w:color="auto" w:fill="FFFFFF"/>
        </w:rPr>
      </w:pPr>
    </w:p>
    <w:p>
      <w:pPr>
        <w:adjustRightInd w:val="0"/>
        <w:snapToGrid w:val="0"/>
        <w:spacing w:line="596" w:lineRule="exact"/>
        <w:jc w:val="center"/>
        <w:rPr>
          <w:rFonts w:eastAsia="黑体"/>
          <w:color w:val="000000"/>
          <w:sz w:val="32"/>
          <w:szCs w:val="32"/>
          <w:shd w:val="clear" w:color="auto" w:fill="FFFFFF"/>
        </w:rPr>
      </w:pPr>
      <w:r>
        <w:rPr>
          <w:rFonts w:eastAsia="黑体"/>
          <w:color w:val="000000"/>
          <w:sz w:val="32"/>
          <w:szCs w:val="32"/>
          <w:shd w:val="clear" w:color="auto" w:fill="FFFFFF"/>
        </w:rPr>
        <w:t>第二章  支持范围和标准</w:t>
      </w:r>
    </w:p>
    <w:p>
      <w:pPr>
        <w:adjustRightInd w:val="0"/>
        <w:snapToGrid w:val="0"/>
        <w:spacing w:line="596" w:lineRule="exact"/>
        <w:ind w:firstLine="643" w:firstLineChars="200"/>
        <w:rPr>
          <w:rFonts w:eastAsia="仿宋_GB2312"/>
          <w:b/>
          <w:color w:val="000000"/>
          <w:sz w:val="32"/>
          <w:szCs w:val="32"/>
          <w:shd w:val="clear" w:color="auto" w:fill="FFFFFF"/>
        </w:rPr>
      </w:pPr>
    </w:p>
    <w:p>
      <w:pPr>
        <w:adjustRightInd w:val="0"/>
        <w:snapToGrid w:val="0"/>
        <w:spacing w:line="596" w:lineRule="exact"/>
        <w:ind w:firstLine="643" w:firstLineChars="200"/>
        <w:rPr>
          <w:rFonts w:eastAsia="仿宋_GB2312"/>
          <w:color w:val="000000"/>
          <w:sz w:val="32"/>
          <w:szCs w:val="32"/>
          <w:shd w:val="clear" w:color="auto" w:fill="FFFFFF"/>
        </w:rPr>
      </w:pPr>
      <w:r>
        <w:rPr>
          <w:rFonts w:eastAsia="仿宋_GB2312"/>
          <w:b/>
          <w:color w:val="000000"/>
          <w:sz w:val="32"/>
          <w:szCs w:val="32"/>
          <w:shd w:val="clear" w:color="auto" w:fill="FFFFFF"/>
        </w:rPr>
        <w:t xml:space="preserve">第四条 </w:t>
      </w:r>
      <w:r>
        <w:rPr>
          <w:rFonts w:eastAsia="仿宋_GB2312"/>
          <w:color w:val="000000"/>
          <w:sz w:val="32"/>
          <w:szCs w:val="32"/>
          <w:shd w:val="clear" w:color="auto" w:fill="FFFFFF"/>
        </w:rPr>
        <w:t xml:space="preserve"> 本专项主要支持纳入《全国重要生态系统保护和修复重大工程总体规划（2021-2035年）》（以下简称《“双重”规划》）、《生态保护和修复支撑体系重大工程建设规划（2021-2035年）》（以下简称《支撑体系规划》）、《国家公园等自然保护地建设及野生动植物保护重大工程建设规划（2021-2035年）》（以下简称《自然保护地建设及野生动植物规划》）中的项目，具体范围包括：</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（一）重点生态资源保护项目，包括森林草原防灭火、林草种质资源保存库、基层管护站点建设等。</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（二）野生动植物保护及自然保护区建设，包括国家级自然保护区及野生动植物保护基础设施建设。</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（三）自然生态监测监管项目，包括生态保护和修复重大工程监测监管评估系统等。</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四）林业执法监管能力提升项目，包括防沙治沙示范、国家特殊及珍稀林木培育、木材战略储备基地、玉泉山等重点地区造林绿化、林业执法监管服务机构、国家级生态定位站、极小种群野生动植物资源拯救、国有林区环境整治基础设施建设项目等。</w:t>
      </w:r>
    </w:p>
    <w:p>
      <w:pPr>
        <w:adjustRightInd w:val="0"/>
        <w:snapToGrid w:val="0"/>
        <w:spacing w:line="596" w:lineRule="exact"/>
        <w:ind w:firstLine="640" w:firstLineChars="200"/>
        <w:rPr>
          <w:rFonts w:eastAsia="仿宋_GB2312"/>
          <w:color w:val="000000"/>
          <w:sz w:val="32"/>
          <w:szCs w:val="32"/>
          <w:shd w:val="clear" w:color="auto" w:fill="FFFFFF"/>
        </w:rPr>
      </w:pPr>
      <w:r>
        <w:rPr>
          <w:rFonts w:eastAsia="仿宋_GB2312"/>
          <w:color w:val="000000"/>
          <w:sz w:val="32"/>
          <w:szCs w:val="32"/>
        </w:rPr>
        <w:t>（五）</w:t>
      </w:r>
      <w:r>
        <w:rPr>
          <w:rFonts w:eastAsia="仿宋_GB2312"/>
          <w:bCs/>
          <w:color w:val="000000"/>
          <w:sz w:val="32"/>
          <w:szCs w:val="32"/>
        </w:rPr>
        <w:t>其他项目，包括</w:t>
      </w:r>
      <w:r>
        <w:rPr>
          <w:rFonts w:eastAsia="仿宋_GB2312"/>
          <w:color w:val="000000"/>
          <w:sz w:val="32"/>
          <w:szCs w:val="32"/>
        </w:rPr>
        <w:t>国务院或国家发展改革委批准、印发的其他相关规划内的生态保护和修复支撑体系项目</w:t>
      </w:r>
      <w:r>
        <w:rPr>
          <w:rFonts w:eastAsia="仿宋_GB2312"/>
          <w:color w:val="000000"/>
          <w:sz w:val="32"/>
          <w:szCs w:val="32"/>
          <w:shd w:val="clear" w:color="auto" w:fill="FFFFFF"/>
        </w:rPr>
        <w:t>。</w:t>
      </w:r>
    </w:p>
    <w:p>
      <w:pPr>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rPr>
        <w:t xml:space="preserve">第五条 </w:t>
      </w:r>
      <w:r>
        <w:rPr>
          <w:rFonts w:eastAsia="仿宋_GB2312"/>
          <w:color w:val="000000"/>
          <w:sz w:val="32"/>
          <w:szCs w:val="32"/>
        </w:rPr>
        <w:t xml:space="preserve"> 申请中央投资支持的建设内容及投资标准，应符合国家有关行业标准或规范。项目投资在具体项目审批、概算核定、资金申请报告和年度投资计划审批时明确，并据此相应测算确定中央预算内投资支持额度。</w:t>
      </w:r>
    </w:p>
    <w:p>
      <w:pPr>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rPr>
        <w:t>第六条</w:t>
      </w:r>
      <w:r>
        <w:rPr>
          <w:rFonts w:eastAsia="仿宋_GB2312"/>
          <w:color w:val="000000"/>
          <w:sz w:val="32"/>
          <w:szCs w:val="32"/>
        </w:rPr>
        <w:t xml:space="preserve">  本专项中央预算内投资支持标准为：</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（一）中央单位建设项目和西藏、新疆生产建设兵团建设项目，中央预算内投资支持比例为100%。</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二）森林草原防灭火项目（不含森林防火应急道路）。其中，森林防灭火项目西部地区（含按西部地区政策执行的地区及重点国有林区）、东北地区中央预算内投资支持比例为80%，其他地区中央预算内投资支持比例为60%；草原防灭火项目中央预算内投资支持比例为90%；森林防火应急道路建设项目，中央预算内投资定额支持30万元/公里。</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（三）野生动植物保护及自然保护区建设、林草种质资源保存库项目，中央预算内投资支持比例为80%。</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四）中央预算内投资支持生态定位站、玉泉山等重点地区造林绿化、林业重点实验室项目比例为100%；支持国有林区环境整治项目比例为90%；木材战略储备基地、防沙治沙示范、特殊及珍稀林木培育等项目参照现行同类项目标准，极小种群野生动植物资源拯救、林业执法监管站点等项目实行定额支持。</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五）基层管护站点建设。重点国有林区和内蒙古自治区国有林场管护用房建设项目，中央预算内投资支持标准为新建或重建改造35万元/个、加固改造25万元/个、功能完善10万元/个；江西、广西、重庆、云南等重点省份国有林场管护用房建设项目，中央预算内投资支持标准为新建或重建改造30万元/个、加固改造20万元/个、功能完善10万元/个。</w:t>
      </w:r>
    </w:p>
    <w:p>
      <w:pPr>
        <w:adjustRightInd w:val="0"/>
        <w:snapToGrid w:val="0"/>
        <w:spacing w:line="596" w:lineRule="exact"/>
        <w:ind w:firstLine="640" w:firstLineChars="200"/>
        <w:rPr>
          <w:rFonts w:eastAsia="仿宋_GB2312"/>
          <w:color w:val="000000"/>
          <w:sz w:val="32"/>
          <w:szCs w:val="32"/>
          <w:shd w:val="clear" w:color="auto" w:fill="FFFFFF"/>
        </w:rPr>
      </w:pPr>
      <w:r>
        <w:rPr>
          <w:rFonts w:eastAsia="仿宋_GB2312"/>
          <w:color w:val="000000"/>
          <w:sz w:val="32"/>
          <w:szCs w:val="32"/>
        </w:rPr>
        <w:t>（六）</w:t>
      </w:r>
      <w:r>
        <w:rPr>
          <w:rFonts w:eastAsia="仿宋_GB2312"/>
          <w:color w:val="000000"/>
          <w:sz w:val="32"/>
          <w:szCs w:val="32"/>
          <w:shd w:val="clear" w:color="auto" w:fill="FFFFFF"/>
        </w:rPr>
        <w:t>其他建设项目，</w:t>
      </w:r>
      <w:r>
        <w:rPr>
          <w:rFonts w:eastAsia="仿宋_GB2312"/>
          <w:color w:val="000000"/>
          <w:sz w:val="32"/>
          <w:szCs w:val="32"/>
        </w:rPr>
        <w:t>依据相关建设规划批准的投资标准执行</w:t>
      </w:r>
      <w:r>
        <w:rPr>
          <w:rFonts w:eastAsia="仿宋_GB2312"/>
          <w:color w:val="000000"/>
          <w:sz w:val="32"/>
          <w:szCs w:val="32"/>
          <w:shd w:val="clear" w:color="auto" w:fill="FFFFFF"/>
        </w:rPr>
        <w:t>。</w:t>
      </w:r>
    </w:p>
    <w:p>
      <w:pPr>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shd w:val="clear" w:color="auto" w:fill="FFFFFF"/>
        </w:rPr>
        <w:t>第七条</w:t>
      </w:r>
      <w:r>
        <w:rPr>
          <w:rFonts w:eastAsia="仿宋_GB2312"/>
          <w:color w:val="000000"/>
          <w:sz w:val="32"/>
          <w:szCs w:val="32"/>
          <w:shd w:val="clear" w:color="auto" w:fill="FFFFFF"/>
        </w:rPr>
        <w:t xml:space="preserve">  本专项中央预算内投资根据项目情况采取直接下达投资、打捆下达投资和切块下达投资三种方式</w:t>
      </w:r>
      <w:r>
        <w:rPr>
          <w:rFonts w:eastAsia="仿宋_GB2312"/>
          <w:color w:val="000000"/>
          <w:sz w:val="32"/>
          <w:szCs w:val="32"/>
        </w:rPr>
        <w:t>。</w:t>
      </w:r>
    </w:p>
    <w:p>
      <w:pPr>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shd w:val="clear" w:color="auto" w:fill="FFFFFF"/>
        </w:rPr>
        <w:t>第八条</w:t>
      </w:r>
      <w:r>
        <w:rPr>
          <w:rFonts w:eastAsia="仿宋_GB2312"/>
          <w:color w:val="000000"/>
          <w:sz w:val="32"/>
          <w:szCs w:val="32"/>
        </w:rPr>
        <w:t xml:space="preserve">  各地应根据地方财政承受能力和政府投资能力，切实加大地方财政投入，合理安排地方专项债券，积极争取开发性贷款、政策性贷款、国际金融组织贷款、外国政府贷款，保障项目建设资金需求。</w:t>
      </w:r>
    </w:p>
    <w:p>
      <w:pPr>
        <w:adjustRightInd w:val="0"/>
        <w:snapToGrid w:val="0"/>
        <w:spacing w:line="596" w:lineRule="exact"/>
        <w:jc w:val="center"/>
        <w:rPr>
          <w:rFonts w:eastAsia="黑体"/>
          <w:color w:val="000000"/>
          <w:sz w:val="32"/>
          <w:szCs w:val="32"/>
          <w:shd w:val="clear" w:color="auto" w:fill="FFFFFF"/>
        </w:rPr>
      </w:pPr>
    </w:p>
    <w:p>
      <w:pPr>
        <w:adjustRightInd w:val="0"/>
        <w:snapToGrid w:val="0"/>
        <w:spacing w:line="596" w:lineRule="exact"/>
        <w:jc w:val="center"/>
        <w:rPr>
          <w:rFonts w:eastAsia="黑体"/>
          <w:color w:val="000000"/>
          <w:sz w:val="32"/>
          <w:szCs w:val="32"/>
          <w:shd w:val="clear" w:color="auto" w:fill="FFFFFF"/>
        </w:rPr>
      </w:pPr>
      <w:r>
        <w:rPr>
          <w:rFonts w:eastAsia="黑体"/>
          <w:color w:val="000000"/>
          <w:sz w:val="32"/>
          <w:szCs w:val="32"/>
          <w:shd w:val="clear" w:color="auto" w:fill="FFFFFF"/>
        </w:rPr>
        <w:t>第三章　前期工作管理</w:t>
      </w:r>
    </w:p>
    <w:p>
      <w:pPr>
        <w:adjustRightInd w:val="0"/>
        <w:snapToGrid w:val="0"/>
        <w:spacing w:line="596" w:lineRule="exact"/>
        <w:ind w:firstLine="640" w:firstLineChars="200"/>
        <w:rPr>
          <w:rFonts w:eastAsia="仿宋_GB2312"/>
          <w:color w:val="000000"/>
          <w:sz w:val="32"/>
          <w:szCs w:val="32"/>
        </w:rPr>
      </w:pPr>
    </w:p>
    <w:p>
      <w:pPr>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rPr>
        <w:t>第九条</w:t>
      </w:r>
      <w:r>
        <w:rPr>
          <w:rFonts w:eastAsia="仿宋_GB2312"/>
          <w:color w:val="000000"/>
          <w:sz w:val="32"/>
          <w:szCs w:val="32"/>
        </w:rPr>
        <w:t xml:space="preserve">  生态保护和修复支撑体系项目为政府投资项目，实行审批制，包括审批项目建议书、可行性研究报告、初步设计。列入《“双重”规划》《支撑体系规划》</w:t>
      </w:r>
      <w:r>
        <w:rPr>
          <w:rFonts w:eastAsia="仿宋_GB2312"/>
          <w:color w:val="000000"/>
          <w:sz w:val="32"/>
          <w:szCs w:val="32"/>
          <w:shd w:val="clear" w:color="auto" w:fill="FFFFFF"/>
        </w:rPr>
        <w:t>《自然保护地建设及野生动植物规划》、</w:t>
      </w:r>
      <w:r>
        <w:rPr>
          <w:rFonts w:eastAsia="仿宋_GB2312"/>
          <w:color w:val="000000"/>
          <w:sz w:val="32"/>
          <w:szCs w:val="32"/>
        </w:rPr>
        <w:t>国务院或国家发展改革委批准、印发的其他相关规划的项目视同已经批复项目建议书。</w:t>
      </w:r>
    </w:p>
    <w:p>
      <w:pPr>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rPr>
        <w:t>第十条</w:t>
      </w:r>
      <w:r>
        <w:rPr>
          <w:rFonts w:eastAsia="仿宋_GB2312"/>
          <w:color w:val="000000"/>
          <w:sz w:val="32"/>
          <w:szCs w:val="32"/>
        </w:rPr>
        <w:t xml:space="preserve">  中央单位项目，由国家相关行业主管部门商国家发展改革委明确项目法人。地方项目，由各地根据审批权限分别由省级、市级或县级相关行业主管部门商发展改革部门确定项目法人，落实前期工作经费，组织开展项目前期工作。项目单位应保证前期工作的深度达到规定的要求，并对项目建议书、可行性研究报告、初步设计以及依法应当附具的其他文件的真实性负责。</w:t>
      </w:r>
    </w:p>
    <w:p>
      <w:pPr>
        <w:adjustRightInd w:val="0"/>
        <w:snapToGrid w:val="0"/>
        <w:spacing w:line="596" w:lineRule="exact"/>
        <w:ind w:firstLine="643" w:firstLineChars="200"/>
        <w:rPr>
          <w:rFonts w:eastAsia="仿宋_GB2312"/>
          <w:color w:val="000000"/>
          <w:spacing w:val="-2"/>
          <w:sz w:val="32"/>
          <w:szCs w:val="32"/>
        </w:rPr>
      </w:pPr>
      <w:r>
        <w:rPr>
          <w:rFonts w:eastAsia="仿宋_GB2312"/>
          <w:b/>
          <w:color w:val="000000"/>
          <w:sz w:val="32"/>
          <w:szCs w:val="32"/>
        </w:rPr>
        <w:t>第十一条</w:t>
      </w:r>
      <w:r>
        <w:rPr>
          <w:rFonts w:eastAsia="仿宋_GB2312"/>
          <w:color w:val="000000"/>
          <w:sz w:val="32"/>
          <w:szCs w:val="32"/>
        </w:rPr>
        <w:t xml:space="preserve">  </w:t>
      </w:r>
      <w:r>
        <w:rPr>
          <w:rFonts w:eastAsia="仿宋_GB2312"/>
          <w:color w:val="000000"/>
          <w:spacing w:val="-2"/>
          <w:sz w:val="32"/>
          <w:szCs w:val="32"/>
        </w:rPr>
        <w:t>中央单位项目，申请安排中央预算内投资3000万元及以上的，由国家发展改革委审批项目建议书和可行性研究报告，项目初步设计经国家相关行业主管部门审核后，投资概算报国家发展改革委核定，初步设计由国家相关行业主管部门审批；其余项目按隶属关于由国家相关行业主管部门审批后抄送国家发展改革委。地方项目，按地方审批权限有关规定执行。</w:t>
      </w:r>
    </w:p>
    <w:p>
      <w:pPr>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rPr>
        <w:t>第</w:t>
      </w:r>
      <w:r>
        <w:rPr>
          <w:rFonts w:eastAsia="仿宋_GB2312"/>
          <w:b/>
          <w:color w:val="000000"/>
          <w:sz w:val="32"/>
          <w:szCs w:val="32"/>
          <w:shd w:val="clear" w:color="auto" w:fill="FFFFFF"/>
        </w:rPr>
        <w:t>十二</w:t>
      </w:r>
      <w:r>
        <w:rPr>
          <w:rFonts w:eastAsia="仿宋_GB2312"/>
          <w:b/>
          <w:color w:val="000000"/>
          <w:sz w:val="32"/>
          <w:szCs w:val="32"/>
        </w:rPr>
        <w:t>条</w:t>
      </w:r>
      <w:r>
        <w:rPr>
          <w:rFonts w:eastAsia="仿宋_GB2312"/>
          <w:color w:val="000000"/>
          <w:sz w:val="32"/>
          <w:szCs w:val="32"/>
        </w:rPr>
        <w:t xml:space="preserve">  初步设计提出的投资概算超过经批准的可行性研究报告估算总投资10%的，项目法人应当向可行性研究报告审批部门报告，审批部门可以要求项目法人重新报送可行性研究报告。</w:t>
      </w:r>
    </w:p>
    <w:p>
      <w:pPr>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rPr>
        <w:t>第十三条</w:t>
      </w:r>
      <w:r>
        <w:rPr>
          <w:rFonts w:eastAsia="仿宋_GB2312"/>
          <w:color w:val="000000"/>
          <w:sz w:val="32"/>
          <w:szCs w:val="32"/>
        </w:rPr>
        <w:t xml:space="preserve"> </w:t>
      </w:r>
      <w:r>
        <w:rPr>
          <w:rFonts w:eastAsia="仿宋_GB2312"/>
          <w:b/>
          <w:color w:val="000000"/>
          <w:sz w:val="32"/>
          <w:szCs w:val="32"/>
        </w:rPr>
        <w:t xml:space="preserve"> </w:t>
      </w:r>
      <w:r>
        <w:rPr>
          <w:rFonts w:eastAsia="仿宋_GB2312"/>
          <w:color w:val="000000"/>
          <w:sz w:val="32"/>
          <w:szCs w:val="32"/>
        </w:rPr>
        <w:t>国家相关行业主管部门，省级发展改革、相关行业主管部门应加强项目储备，合理确定年度建设任务并测算资金需求，及时将符合条件的项目纳入重大建设项目库和三年滚动投资计划。入库项目应根据项目前期工作推进情况，及时更新填报、逐步补充完善项目信息，并进行动态调整。</w:t>
      </w:r>
    </w:p>
    <w:p>
      <w:pPr>
        <w:adjustRightInd w:val="0"/>
        <w:snapToGrid w:val="0"/>
        <w:spacing w:line="596" w:lineRule="exact"/>
        <w:jc w:val="center"/>
        <w:rPr>
          <w:rFonts w:eastAsia="仿宋_GB2312"/>
          <w:color w:val="000000"/>
          <w:sz w:val="32"/>
          <w:szCs w:val="32"/>
          <w:shd w:val="clear" w:color="auto" w:fill="FFFFFF"/>
        </w:rPr>
      </w:pPr>
    </w:p>
    <w:p>
      <w:pPr>
        <w:adjustRightInd w:val="0"/>
        <w:snapToGrid w:val="0"/>
        <w:spacing w:line="596" w:lineRule="exact"/>
        <w:jc w:val="center"/>
        <w:rPr>
          <w:rFonts w:eastAsia="黑体"/>
          <w:color w:val="000000"/>
          <w:sz w:val="32"/>
          <w:szCs w:val="32"/>
          <w:shd w:val="clear" w:color="auto" w:fill="FFFFFF"/>
        </w:rPr>
      </w:pPr>
      <w:r>
        <w:rPr>
          <w:rFonts w:eastAsia="黑体"/>
          <w:color w:val="000000"/>
          <w:sz w:val="32"/>
          <w:szCs w:val="32"/>
          <w:shd w:val="clear" w:color="auto" w:fill="FFFFFF"/>
        </w:rPr>
        <w:t>第四章  投资计划申报</w:t>
      </w:r>
    </w:p>
    <w:p>
      <w:pPr>
        <w:adjustRightInd w:val="0"/>
        <w:snapToGrid w:val="0"/>
        <w:spacing w:line="596" w:lineRule="exact"/>
        <w:ind w:firstLine="643" w:firstLineChars="200"/>
        <w:rPr>
          <w:rFonts w:eastAsia="仿宋_GB2312"/>
          <w:b/>
          <w:color w:val="000000"/>
          <w:sz w:val="32"/>
          <w:szCs w:val="32"/>
        </w:rPr>
      </w:pPr>
    </w:p>
    <w:p>
      <w:pPr>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rPr>
        <w:t>第十四条</w:t>
      </w:r>
      <w:r>
        <w:rPr>
          <w:rFonts w:eastAsia="仿宋_GB2312"/>
          <w:color w:val="000000"/>
          <w:sz w:val="32"/>
          <w:szCs w:val="32"/>
        </w:rPr>
        <w:t xml:space="preserve">  中央单位项目的年度投资计划申请报告，由国家相关行业主管部门按照本专项当年投资计划编制要求报送国家发展改革委。地方项目的年度投资计划申请报告，由省级发展改革部门会同相关行业主管部门按照本专项当年投资计划编制要求联合上报国家发展改革委和国家相关行业主管部门。</w:t>
      </w:r>
    </w:p>
    <w:p>
      <w:pPr>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rPr>
        <w:t xml:space="preserve">第十五条 </w:t>
      </w:r>
      <w:r>
        <w:rPr>
          <w:rFonts w:eastAsia="仿宋_GB2312"/>
          <w:color w:val="000000"/>
          <w:sz w:val="32"/>
          <w:szCs w:val="32"/>
        </w:rPr>
        <w:t xml:space="preserve"> 省级部门申请中央预算内投资计划应符合当地财政承受能力和政府投资能力，确保不造成地方政府债务风险，并根据所申报项目的具体情况明确拟采取的资金安排方式（直接投资或投资补助）。</w:t>
      </w:r>
    </w:p>
    <w:p>
      <w:pPr>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rPr>
        <w:t>第十六条</w:t>
      </w:r>
      <w:r>
        <w:rPr>
          <w:rFonts w:eastAsia="仿宋_GB2312"/>
          <w:color w:val="000000"/>
          <w:sz w:val="32"/>
          <w:szCs w:val="32"/>
        </w:rPr>
        <w:t xml:space="preserve">  拟申报的项目应符合以下条件：</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（一）符合山水林田湖草沙系统治理的相关要求；</w:t>
      </w:r>
    </w:p>
    <w:p>
      <w:pPr>
        <w:adjustRightInd w:val="0"/>
        <w:snapToGrid w:val="0"/>
        <w:spacing w:line="596" w:lineRule="exact"/>
        <w:ind w:firstLine="640" w:firstLineChars="200"/>
        <w:rPr>
          <w:rFonts w:eastAsia="仿宋_GB2312"/>
          <w:color w:val="000000"/>
          <w:spacing w:val="-6"/>
          <w:sz w:val="32"/>
          <w:szCs w:val="32"/>
        </w:rPr>
      </w:pPr>
      <w:r>
        <w:rPr>
          <w:rFonts w:eastAsia="仿宋_GB2312"/>
          <w:color w:val="000000"/>
          <w:sz w:val="32"/>
          <w:szCs w:val="32"/>
        </w:rPr>
        <w:t>（二）</w:t>
      </w:r>
      <w:r>
        <w:rPr>
          <w:rFonts w:eastAsia="仿宋_GB2312"/>
          <w:color w:val="000000"/>
          <w:spacing w:val="-6"/>
          <w:sz w:val="32"/>
          <w:szCs w:val="32"/>
        </w:rPr>
        <w:t>已列入三年滚动投资计划并录入国家重大建设项目库；</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（三）已通过全国投资项目在线审批监管平台完成审批（核准、备案）和相关前期手续，项目建设自筹资金已落实；</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（四）拟新建项目中央预算内投资计划下达后即可按期开工建设；</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（五）项目建设内容未获得过其他中央专项资金支持；</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（六）项目单位未被依法列入严重失信主体名单；</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（七）有关法律法规政策规定的其他条件。</w:t>
      </w:r>
    </w:p>
    <w:p>
      <w:pPr>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rPr>
        <w:t>第十七条</w:t>
      </w:r>
      <w:r>
        <w:rPr>
          <w:rFonts w:eastAsia="仿宋_GB2312"/>
          <w:color w:val="000000"/>
          <w:sz w:val="32"/>
          <w:szCs w:val="32"/>
        </w:rPr>
        <w:t xml:space="preserve">  年度投资计划申请报告包括项目的规划依据、前期工作批复情况、年度投资需求、建设内容、绩效目标等。申报部门要对年度投资计划申请报告的真实性、合规性负责。</w:t>
      </w:r>
    </w:p>
    <w:p>
      <w:pPr>
        <w:adjustRightInd w:val="0"/>
        <w:snapToGrid w:val="0"/>
        <w:spacing w:line="596" w:lineRule="exact"/>
        <w:jc w:val="center"/>
        <w:rPr>
          <w:rFonts w:eastAsia="仿宋_GB2312"/>
          <w:color w:val="000000"/>
          <w:sz w:val="32"/>
          <w:szCs w:val="32"/>
          <w:shd w:val="clear" w:color="auto" w:fill="FFFFFF"/>
        </w:rPr>
      </w:pPr>
    </w:p>
    <w:p>
      <w:pPr>
        <w:adjustRightInd w:val="0"/>
        <w:snapToGrid w:val="0"/>
        <w:spacing w:line="596" w:lineRule="exact"/>
        <w:jc w:val="center"/>
        <w:rPr>
          <w:rFonts w:eastAsia="黑体"/>
          <w:color w:val="000000"/>
          <w:sz w:val="32"/>
          <w:szCs w:val="32"/>
          <w:shd w:val="clear" w:color="auto" w:fill="FFFFFF"/>
        </w:rPr>
      </w:pPr>
      <w:r>
        <w:rPr>
          <w:rFonts w:eastAsia="黑体"/>
          <w:color w:val="000000"/>
          <w:sz w:val="32"/>
          <w:szCs w:val="32"/>
          <w:shd w:val="clear" w:color="auto" w:fill="FFFFFF"/>
        </w:rPr>
        <w:t>第五章  投资计划下达与执行</w:t>
      </w:r>
    </w:p>
    <w:p>
      <w:pPr>
        <w:adjustRightInd w:val="0"/>
        <w:snapToGrid w:val="0"/>
        <w:spacing w:line="596" w:lineRule="exact"/>
        <w:ind w:firstLine="643" w:firstLineChars="200"/>
        <w:rPr>
          <w:rFonts w:eastAsia="仿宋_GB2312"/>
          <w:b/>
          <w:color w:val="000000"/>
          <w:sz w:val="32"/>
          <w:szCs w:val="32"/>
        </w:rPr>
      </w:pPr>
    </w:p>
    <w:p>
      <w:pPr>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rPr>
        <w:t>第十八条</w:t>
      </w:r>
      <w:r>
        <w:rPr>
          <w:rFonts w:eastAsia="仿宋_GB2312"/>
          <w:color w:val="000000"/>
          <w:sz w:val="32"/>
          <w:szCs w:val="32"/>
        </w:rPr>
        <w:t xml:space="preserve">  国家发展改革委对中央单位项目年度投资建议计划进行审核和综合平衡后，将中央预算内投资计划分别下达给国家相关行业主管部门，并同步下达绩效目标。</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国家发展改革委会同国家相关行业主管部门，根据规划任务、上一年度项目实施情况、以往年度建设绩效，对地方上报的年度投资计划进行审核和综合平衡后，将年度中央预算内投资计划下达给省级发展改革、相关行业主管部门，并同步下达绩效目标。</w:t>
      </w:r>
    </w:p>
    <w:p>
      <w:pPr>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rPr>
        <w:t>第十九条</w:t>
      </w:r>
      <w:r>
        <w:rPr>
          <w:rFonts w:eastAsia="仿宋_GB2312"/>
          <w:color w:val="000000"/>
          <w:sz w:val="32"/>
          <w:szCs w:val="32"/>
        </w:rPr>
        <w:t xml:space="preserve">  国家相关行业主管部门收到中央单位项目中央预算内投资计划后，于10个工作日内转发下达已明确到具体项目的投资计划，于20个工作日内将打捆或切块项目投资计划分解落实到具体项目，并将转发下达文件抄送国家发展改革委。</w:t>
      </w:r>
    </w:p>
    <w:p>
      <w:pPr>
        <w:adjustRightInd w:val="0"/>
        <w:snapToGrid w:val="0"/>
        <w:spacing w:line="596" w:lineRule="exact"/>
        <w:ind w:firstLine="640" w:firstLineChars="200"/>
        <w:rPr>
          <w:rFonts w:eastAsia="仿宋_GB2312"/>
          <w:color w:val="000000"/>
          <w:sz w:val="32"/>
          <w:szCs w:val="32"/>
          <w:shd w:val="clear" w:color="auto" w:fill="FFFFFF"/>
        </w:rPr>
      </w:pPr>
      <w:r>
        <w:rPr>
          <w:rFonts w:eastAsia="仿宋_GB2312"/>
          <w:color w:val="000000"/>
          <w:sz w:val="32"/>
          <w:szCs w:val="32"/>
        </w:rPr>
        <w:t>省级发展改革、相关行业主管部门收到中央预算内投资计划后，于10个工作日内转发下达已明确到具体项目的投资计划，于20个工作日内将打捆或切块项目投资计划分解落实到具体项目，将转发下达文件抄送国家发展改革委、国家相关行业主管部门</w:t>
      </w:r>
      <w:r>
        <w:rPr>
          <w:rFonts w:eastAsia="仿宋_GB2312"/>
          <w:color w:val="000000"/>
          <w:sz w:val="32"/>
          <w:szCs w:val="32"/>
          <w:shd w:val="clear" w:color="auto" w:fill="FFFFFF"/>
        </w:rPr>
        <w:t>，并及时在</w:t>
      </w:r>
      <w:r>
        <w:rPr>
          <w:rFonts w:eastAsia="仿宋_GB2312"/>
          <w:color w:val="000000"/>
          <w:sz w:val="32"/>
          <w:szCs w:val="32"/>
        </w:rPr>
        <w:t>重大建设项目库</w:t>
      </w:r>
      <w:r>
        <w:rPr>
          <w:rFonts w:eastAsia="仿宋_GB2312"/>
          <w:color w:val="000000"/>
          <w:sz w:val="32"/>
          <w:szCs w:val="32"/>
          <w:shd w:val="clear" w:color="auto" w:fill="FFFFFF"/>
        </w:rPr>
        <w:t>中报备。</w:t>
      </w:r>
    </w:p>
    <w:p>
      <w:pPr>
        <w:adjustRightInd w:val="0"/>
        <w:snapToGrid w:val="0"/>
        <w:spacing w:line="596" w:lineRule="exact"/>
        <w:ind w:firstLine="640" w:firstLineChars="200"/>
        <w:rPr>
          <w:rFonts w:eastAsia="仿宋_GB2312"/>
          <w:color w:val="000000"/>
          <w:sz w:val="32"/>
          <w:szCs w:val="32"/>
          <w:shd w:val="clear" w:color="auto" w:fill="FFFFFF"/>
        </w:rPr>
      </w:pPr>
      <w:r>
        <w:rPr>
          <w:rFonts w:eastAsia="仿宋_GB2312"/>
          <w:color w:val="000000"/>
          <w:sz w:val="32"/>
          <w:szCs w:val="32"/>
          <w:shd w:val="clear" w:color="auto" w:fill="FFFFFF"/>
        </w:rPr>
        <w:t>分解后的项目要逐一落实项目法人单位及项目责任人、日常监管直接责任单位及监管责任人。</w:t>
      </w:r>
    </w:p>
    <w:p>
      <w:pPr>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rPr>
        <w:t>第二十条</w:t>
      </w:r>
      <w:r>
        <w:rPr>
          <w:rFonts w:eastAsia="仿宋_GB2312"/>
          <w:color w:val="000000"/>
          <w:sz w:val="32"/>
          <w:szCs w:val="32"/>
        </w:rPr>
        <w:t xml:space="preserve">  项目法人收到中央预算内投资计划后要尽快开工建设。严格执行项目法人责任制、招标投标制、建设监理制和合同管理制，依据批准的初步设计组织施工，对项目的建设质量及进度、资金管理和生产安全负责。</w:t>
      </w:r>
    </w:p>
    <w:p>
      <w:pPr>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rPr>
        <w:t>第二十一条</w:t>
      </w:r>
      <w:r>
        <w:rPr>
          <w:rFonts w:eastAsia="仿宋_GB2312"/>
          <w:color w:val="000000"/>
          <w:sz w:val="32"/>
          <w:szCs w:val="32"/>
        </w:rPr>
        <w:t xml:space="preserve">  对公众反映的有关情况，各级发展改革及相关行业主管部门应及时开展核查，确有问题的，督促项目法人等单位及时进行整改。</w:t>
      </w:r>
    </w:p>
    <w:p>
      <w:pPr>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rPr>
        <w:t>第二十二条</w:t>
      </w:r>
      <w:r>
        <w:rPr>
          <w:rFonts w:eastAsia="仿宋_GB2312"/>
          <w:color w:val="000000"/>
          <w:sz w:val="32"/>
          <w:szCs w:val="32"/>
        </w:rPr>
        <w:t xml:space="preserve">  项目建成后，项目法人应当及时向项目审批部门或项目核准、备案部门申请竣工验收。项目审批部门或项目核准、备案部门应严格按照国家有关规定组织开展项目验收工作</w:t>
      </w:r>
      <w:r>
        <w:rPr>
          <w:rFonts w:eastAsia="仿宋_GB2312"/>
          <w:color w:val="000000"/>
          <w:sz w:val="32"/>
          <w:szCs w:val="32"/>
          <w:shd w:val="clear" w:color="auto" w:fill="FFFFFF"/>
        </w:rPr>
        <w:t>。</w:t>
      </w:r>
    </w:p>
    <w:p>
      <w:pPr>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rPr>
        <w:t xml:space="preserve">第二十三条 </w:t>
      </w:r>
      <w:r>
        <w:rPr>
          <w:rFonts w:eastAsia="仿宋_GB2312"/>
          <w:color w:val="000000"/>
          <w:sz w:val="32"/>
          <w:szCs w:val="32"/>
        </w:rPr>
        <w:t xml:space="preserve"> 项目验收后，必须及时办理移交手续，明确产权，落实项目运行管护主体和管护责任，制定管护制度，确保项目长期发挥效益。</w:t>
      </w:r>
    </w:p>
    <w:p>
      <w:pPr>
        <w:adjustRightInd w:val="0"/>
        <w:snapToGrid w:val="0"/>
        <w:spacing w:line="596" w:lineRule="exact"/>
        <w:jc w:val="center"/>
        <w:rPr>
          <w:rFonts w:eastAsia="黑体"/>
          <w:color w:val="000000"/>
          <w:sz w:val="32"/>
          <w:szCs w:val="32"/>
          <w:shd w:val="clear" w:color="auto" w:fill="FFFFFF"/>
        </w:rPr>
      </w:pPr>
    </w:p>
    <w:p>
      <w:pPr>
        <w:adjustRightInd w:val="0"/>
        <w:snapToGrid w:val="0"/>
        <w:spacing w:line="596" w:lineRule="exact"/>
        <w:jc w:val="center"/>
        <w:rPr>
          <w:rFonts w:eastAsia="黑体"/>
          <w:color w:val="000000"/>
          <w:sz w:val="32"/>
          <w:szCs w:val="32"/>
          <w:shd w:val="clear" w:color="auto" w:fill="FFFFFF"/>
        </w:rPr>
      </w:pPr>
      <w:r>
        <w:rPr>
          <w:rFonts w:eastAsia="黑体"/>
          <w:color w:val="000000"/>
          <w:sz w:val="32"/>
          <w:szCs w:val="32"/>
          <w:shd w:val="clear" w:color="auto" w:fill="FFFFFF"/>
        </w:rPr>
        <w:t>第六章  监督管理</w:t>
      </w:r>
    </w:p>
    <w:p>
      <w:pPr>
        <w:adjustRightInd w:val="0"/>
        <w:snapToGrid w:val="0"/>
        <w:spacing w:line="596" w:lineRule="exact"/>
        <w:ind w:firstLine="640" w:firstLineChars="200"/>
        <w:rPr>
          <w:rFonts w:eastAsia="仿宋_GB2312"/>
          <w:color w:val="000000"/>
          <w:sz w:val="32"/>
          <w:szCs w:val="32"/>
        </w:rPr>
      </w:pPr>
    </w:p>
    <w:p>
      <w:pPr>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rPr>
        <w:t>第二十四条</w:t>
      </w:r>
      <w:r>
        <w:rPr>
          <w:rFonts w:eastAsia="仿宋_GB2312"/>
          <w:color w:val="000000"/>
          <w:sz w:val="32"/>
          <w:szCs w:val="32"/>
        </w:rPr>
        <w:t xml:space="preserve">  省级发展改革、相关行业主管部门加强对项目实施、建设管理、计划执行进度、资金拨付与使用等重点关键环节的监督检查力度，督促项目法人规范建设管理，确保建设质量和投资效益。</w:t>
      </w:r>
    </w:p>
    <w:p>
      <w:pPr>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shd w:val="clear" w:color="auto" w:fill="FFFFFF"/>
        </w:rPr>
        <w:t xml:space="preserve">第二十五条 </w:t>
      </w:r>
      <w:r>
        <w:rPr>
          <w:rFonts w:eastAsia="仿宋_GB2312"/>
          <w:color w:val="000000"/>
          <w:sz w:val="32"/>
          <w:szCs w:val="32"/>
        </w:rPr>
        <w:t xml:space="preserve"> 自转发投资计划的次月起，国家相关行业主管部门、省级发展改革及相关行业主管部门要通过国家重大建设项目库，组织项目法人开展项目建设进展情况统计工作。</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（一）国家相关行业主管部门为中央单位项目的日常监管直接责任单位，省级相关行业主管部门为地方项目的日常监管直接责任单位，履行监管主体责任。</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（二）项目法人于每月5日前，通过重大建设项目库准确填报投资计划分解下达、项目开工情况、投资完成情况、形象进度、竣工验收等信息。</w:t>
      </w:r>
    </w:p>
    <w:p>
      <w:pPr>
        <w:adjustRightInd w:val="0"/>
        <w:snapToGrid w:val="0"/>
        <w:spacing w:line="596" w:lineRule="exact"/>
        <w:ind w:firstLine="640" w:firstLineChars="200"/>
        <w:rPr>
          <w:rFonts w:eastAsia="仿宋_GB2312"/>
          <w:color w:val="000000"/>
          <w:spacing w:val="-2"/>
          <w:sz w:val="32"/>
          <w:szCs w:val="32"/>
        </w:rPr>
      </w:pPr>
      <w:r>
        <w:rPr>
          <w:rFonts w:eastAsia="仿宋_GB2312"/>
          <w:color w:val="000000"/>
          <w:sz w:val="32"/>
          <w:szCs w:val="32"/>
        </w:rPr>
        <w:t>（三）</w:t>
      </w:r>
      <w:r>
        <w:rPr>
          <w:rFonts w:eastAsia="仿宋_GB2312"/>
          <w:color w:val="000000"/>
          <w:spacing w:val="-2"/>
          <w:sz w:val="32"/>
          <w:szCs w:val="32"/>
        </w:rPr>
        <w:t>国家相关行业主管部门和省级相关行业主管部门分别负责审核中央单位项目、地方项目重大建设项目库数据，于每月10日前完成数据核对工作，并及时更新重大建设项目库数据。</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（四）国家相关行业主管部门于每月月底前，对</w:t>
      </w:r>
      <w:r>
        <w:rPr>
          <w:rFonts w:eastAsia="仿宋_GB2312"/>
          <w:color w:val="000000"/>
          <w:sz w:val="32"/>
          <w:szCs w:val="32"/>
          <w:shd w:val="clear" w:color="auto" w:fill="FFFFFF"/>
        </w:rPr>
        <w:t>生态保护和修复支撑体系</w:t>
      </w:r>
      <w:r>
        <w:rPr>
          <w:rFonts w:eastAsia="仿宋_GB2312"/>
          <w:color w:val="000000"/>
          <w:sz w:val="32"/>
          <w:szCs w:val="32"/>
        </w:rPr>
        <w:t>中央预算内投资计划执行情况进行系统分析，及时将发现的问题反馈项目所在省级相关行业主管部门，督促其做出整改，及时更新数据。</w:t>
      </w:r>
    </w:p>
    <w:p>
      <w:pPr>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rPr>
        <w:t>第二十六条</w:t>
      </w:r>
      <w:r>
        <w:rPr>
          <w:rFonts w:eastAsia="仿宋_GB2312"/>
          <w:color w:val="000000"/>
          <w:sz w:val="32"/>
          <w:szCs w:val="32"/>
        </w:rPr>
        <w:t xml:space="preserve">  国家发展改革委和国家相关行业主管部门将通过在线监测、抽查等方式对</w:t>
      </w:r>
      <w:r>
        <w:rPr>
          <w:rFonts w:eastAsia="仿宋_GB2312"/>
          <w:color w:val="000000"/>
          <w:sz w:val="32"/>
          <w:szCs w:val="32"/>
          <w:shd w:val="clear" w:color="auto" w:fill="FFFFFF"/>
        </w:rPr>
        <w:t>项目建</w:t>
      </w:r>
      <w:r>
        <w:rPr>
          <w:rFonts w:eastAsia="仿宋_GB2312"/>
          <w:color w:val="000000"/>
          <w:sz w:val="32"/>
          <w:szCs w:val="32"/>
        </w:rPr>
        <w:t>设情况开展工作检查，并将检查结果作为后续中央预算内投资安排的重要参考。</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（一）对于确实不能在投资计划下达一年内开工建设导致中央预算内投资不能按计划实施的，要按照管理权限办理投资计划调整，提高资金使用效率。</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二）对存在投资计划逾期未分解、未通过国家重大建设项目库及时准确完整填报项目信息、未按时开工、投资计划执行缓慢、资金沉淀超过一年等问题的省（区、市），将根据情况调减该省（区、市）下年度中央预算内投资规模。</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（三）对于多次调度均存在问题、迟迟不整改等情节严重的省（区、市），暂缓受理该地区生态保护和修复领域中央预算内投资专项申请。</w:t>
      </w:r>
    </w:p>
    <w:p>
      <w:pPr>
        <w:adjustRightInd w:val="0"/>
        <w:snapToGrid w:val="0"/>
        <w:spacing w:line="596" w:lineRule="exact"/>
        <w:jc w:val="center"/>
        <w:rPr>
          <w:rFonts w:eastAsia="黑体"/>
          <w:color w:val="000000"/>
          <w:sz w:val="32"/>
          <w:szCs w:val="32"/>
          <w:shd w:val="clear" w:color="auto" w:fill="FFFFFF"/>
        </w:rPr>
      </w:pPr>
    </w:p>
    <w:p>
      <w:pPr>
        <w:adjustRightInd w:val="0"/>
        <w:snapToGrid w:val="0"/>
        <w:spacing w:line="596" w:lineRule="exact"/>
        <w:jc w:val="center"/>
        <w:rPr>
          <w:rFonts w:eastAsia="黑体"/>
          <w:color w:val="000000"/>
          <w:sz w:val="32"/>
          <w:szCs w:val="32"/>
          <w:shd w:val="clear" w:color="auto" w:fill="FFFFFF"/>
        </w:rPr>
      </w:pPr>
      <w:r>
        <w:rPr>
          <w:rFonts w:eastAsia="黑体"/>
          <w:color w:val="000000"/>
          <w:sz w:val="32"/>
          <w:szCs w:val="32"/>
          <w:shd w:val="clear" w:color="auto" w:fill="FFFFFF"/>
        </w:rPr>
        <w:t>第七章  附  则</w:t>
      </w:r>
    </w:p>
    <w:p>
      <w:pPr>
        <w:adjustRightInd w:val="0"/>
        <w:snapToGrid w:val="0"/>
        <w:spacing w:line="596" w:lineRule="exact"/>
        <w:ind w:firstLine="643" w:firstLineChars="200"/>
        <w:rPr>
          <w:rFonts w:eastAsia="仿宋_GB2312"/>
          <w:b/>
          <w:color w:val="000000"/>
          <w:sz w:val="32"/>
          <w:szCs w:val="32"/>
        </w:rPr>
      </w:pPr>
    </w:p>
    <w:p>
      <w:pPr>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rPr>
        <w:t>第二十七条</w:t>
      </w:r>
      <w:r>
        <w:rPr>
          <w:rFonts w:eastAsia="仿宋_GB2312"/>
          <w:color w:val="000000"/>
          <w:sz w:val="32"/>
          <w:szCs w:val="32"/>
        </w:rPr>
        <w:t xml:space="preserve">  本办法由国家发展改革委负责解释。</w:t>
      </w:r>
    </w:p>
    <w:p>
      <w:pPr>
        <w:adjustRightInd w:val="0"/>
        <w:snapToGrid w:val="0"/>
        <w:spacing w:line="596" w:lineRule="exact"/>
        <w:ind w:firstLine="643" w:firstLineChars="200"/>
        <w:rPr>
          <w:rFonts w:eastAsia="仿宋_GB2312"/>
          <w:color w:val="000000"/>
          <w:sz w:val="32"/>
          <w:szCs w:val="32"/>
        </w:rPr>
      </w:pPr>
      <w:r>
        <w:rPr>
          <w:rFonts w:eastAsia="仿宋_GB2312"/>
          <w:b/>
          <w:color w:val="000000"/>
          <w:sz w:val="32"/>
          <w:szCs w:val="32"/>
        </w:rPr>
        <w:t xml:space="preserve">第二十八条 </w:t>
      </w:r>
      <w:r>
        <w:rPr>
          <w:rFonts w:eastAsia="仿宋_GB2312"/>
          <w:color w:val="000000"/>
          <w:sz w:val="32"/>
          <w:szCs w:val="32"/>
        </w:rPr>
        <w:t xml:space="preserve"> 省级发展改革委会同相关行业主管部门可根据本办法，制定省级管理办法，细化实化项目前期工作、投资申报、计划下达（调整）、项目实施、竣工验收、监督检查、信息报送等方面的要求。</w:t>
      </w:r>
    </w:p>
    <w:p>
      <w:r>
        <w:rPr>
          <w:rFonts w:eastAsia="仿宋_GB2312"/>
          <w:b/>
          <w:color w:val="000000"/>
          <w:sz w:val="32"/>
          <w:szCs w:val="32"/>
        </w:rPr>
        <w:t>第二十九条</w:t>
      </w:r>
      <w:r>
        <w:rPr>
          <w:rFonts w:eastAsia="仿宋_GB2312"/>
          <w:color w:val="000000"/>
          <w:sz w:val="32"/>
          <w:szCs w:val="32"/>
        </w:rPr>
        <w:t xml:space="preserve">  本办法自印发之日起实施，有效期5年。《生态保护支撑体系中央预算内投资专项管理办法》（发改农经规〔2019〕2028号）同时废止</w:t>
      </w:r>
      <w:bookmarkStart w:id="0" w:name="law_firsthit"/>
      <w:bookmarkEnd w:id="0"/>
      <w:r>
        <w:rPr>
          <w:rFonts w:eastAsia="仿宋_GB2312"/>
          <w:color w:val="00000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384140"/>
    <w:rsid w:val="75384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2021-12-24T07:38:00Z</dcterms:created>
  <dc:creator>郑旋</dc:creator>
  <cp:lastModifiedBy>郑旋</cp:lastModifiedBy>
  <dcterms:modified xsi:type="dcterms:W3CDTF">2021-12-24T07:38:55Z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F11B74589BE947CABA17C9BA6B1AB1C0</vt:lpwstr>
  </property>
</Properties>
</file>