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6" w:lineRule="atLeast"/>
        <w:jc w:val="left"/>
        <w:rPr>
          <w:rFonts w:ascii="仿宋_GB2312" w:hAnsi="Calibri" w:eastAsia="仿宋_GB2312" w:cs="宋体"/>
          <w:color w:val="333333"/>
          <w:kern w:val="0"/>
          <w:sz w:val="32"/>
          <w:szCs w:val="32"/>
        </w:rPr>
      </w:pPr>
      <w:r>
        <w:rPr>
          <w:rFonts w:hint="eastAsia" w:ascii="仿宋_GB2312" w:hAnsi="仿宋" w:eastAsia="仿宋_GB2312" w:cs="宋体"/>
          <w:color w:val="333333"/>
          <w:kern w:val="0"/>
          <w:sz w:val="32"/>
          <w:szCs w:val="32"/>
        </w:rPr>
        <w:t>附件：</w:t>
      </w:r>
    </w:p>
    <w:p>
      <w:pPr>
        <w:widowControl/>
        <w:spacing w:line="596" w:lineRule="atLeast"/>
        <w:jc w:val="center"/>
        <w:rPr>
          <w:rFonts w:ascii="Calibri" w:hAnsi="Calibri" w:eastAsia="微软雅黑" w:cs="宋体"/>
          <w:color w:val="333333"/>
          <w:kern w:val="0"/>
          <w:szCs w:val="21"/>
        </w:rPr>
      </w:pPr>
      <w:r>
        <w:rPr>
          <w:rFonts w:hint="eastAsia" w:ascii="方正小标宋_GBK" w:hAnsi="Calibri" w:eastAsia="方正小标宋_GBK" w:cs="宋体"/>
          <w:color w:val="333333"/>
          <w:kern w:val="0"/>
          <w:sz w:val="36"/>
          <w:szCs w:val="36"/>
        </w:rPr>
        <w:t> </w:t>
      </w:r>
    </w:p>
    <w:p>
      <w:pPr>
        <w:widowControl/>
        <w:spacing w:line="596" w:lineRule="atLeast"/>
        <w:jc w:val="center"/>
        <w:rPr>
          <w:rFonts w:hint="eastAsia" w:ascii="方正小标宋_GBK" w:hAnsi="Calibri" w:eastAsia="方正小标宋_GBK" w:cs="宋体"/>
          <w:color w:val="333333"/>
          <w:kern w:val="0"/>
          <w:sz w:val="36"/>
          <w:szCs w:val="36"/>
          <w:lang w:eastAsia="zh-CN"/>
        </w:rPr>
      </w:pPr>
      <w:bookmarkStart w:id="0" w:name="_GoBack"/>
      <w:r>
        <w:rPr>
          <w:rFonts w:hint="eastAsia" w:ascii="方正小标宋_GBK" w:hAnsi="Calibri" w:eastAsia="方正小标宋_GBK" w:cs="宋体"/>
          <w:color w:val="333333"/>
          <w:kern w:val="0"/>
          <w:sz w:val="36"/>
          <w:szCs w:val="36"/>
        </w:rPr>
        <w:t>湖南省202</w:t>
      </w:r>
      <w:r>
        <w:rPr>
          <w:rFonts w:hint="eastAsia" w:ascii="方正小标宋_GBK" w:hAnsi="Calibri" w:eastAsia="方正小标宋_GBK" w:cs="宋体"/>
          <w:color w:val="333333"/>
          <w:kern w:val="0"/>
          <w:sz w:val="36"/>
          <w:szCs w:val="36"/>
          <w:lang w:val="en-US" w:eastAsia="zh-CN"/>
        </w:rPr>
        <w:t>1</w:t>
      </w:r>
      <w:r>
        <w:rPr>
          <w:rFonts w:hint="eastAsia" w:ascii="方正小标宋_GBK" w:hAnsi="Calibri" w:eastAsia="方正小标宋_GBK" w:cs="宋体"/>
          <w:color w:val="333333"/>
          <w:kern w:val="0"/>
          <w:sz w:val="36"/>
          <w:szCs w:val="36"/>
        </w:rPr>
        <w:t>年粮食</w:t>
      </w:r>
      <w:r>
        <w:rPr>
          <w:rFonts w:hint="eastAsia" w:ascii="方正小标宋_GBK" w:hAnsi="Calibri" w:eastAsia="方正小标宋_GBK" w:cs="宋体"/>
          <w:color w:val="333333"/>
          <w:kern w:val="0"/>
          <w:sz w:val="36"/>
          <w:szCs w:val="36"/>
          <w:lang w:eastAsia="zh-CN"/>
        </w:rPr>
        <w:t>等重要农产品仓储</w:t>
      </w:r>
      <w:r>
        <w:rPr>
          <w:rFonts w:hint="eastAsia" w:ascii="方正小标宋_GBK" w:hAnsi="Calibri" w:eastAsia="方正小标宋_GBK" w:cs="宋体"/>
          <w:color w:val="333333"/>
          <w:kern w:val="0"/>
          <w:sz w:val="36"/>
          <w:szCs w:val="36"/>
        </w:rPr>
        <w:t>设施</w:t>
      </w:r>
      <w:r>
        <w:rPr>
          <w:rFonts w:hint="eastAsia" w:ascii="方正小标宋_GBK" w:hAnsi="Calibri" w:eastAsia="方正小标宋_GBK" w:cs="宋体"/>
          <w:color w:val="333333"/>
          <w:kern w:val="0"/>
          <w:sz w:val="36"/>
          <w:szCs w:val="36"/>
          <w:lang w:eastAsia="zh-CN"/>
        </w:rPr>
        <w:t>专项</w:t>
      </w:r>
    </w:p>
    <w:p>
      <w:pPr>
        <w:widowControl/>
        <w:spacing w:line="596" w:lineRule="atLeast"/>
        <w:jc w:val="center"/>
        <w:rPr>
          <w:rFonts w:ascii="Calibri" w:hAnsi="Calibri" w:eastAsia="微软雅黑" w:cs="宋体"/>
          <w:color w:val="333333"/>
          <w:kern w:val="0"/>
          <w:szCs w:val="21"/>
        </w:rPr>
      </w:pPr>
      <w:r>
        <w:rPr>
          <w:rFonts w:hint="eastAsia" w:ascii="方正小标宋_GBK" w:hAnsi="Calibri" w:eastAsia="方正小标宋_GBK" w:cs="宋体"/>
          <w:color w:val="333333"/>
          <w:kern w:val="0"/>
          <w:sz w:val="36"/>
          <w:szCs w:val="36"/>
        </w:rPr>
        <w:t>中央预算内投资</w:t>
      </w:r>
      <w:r>
        <w:rPr>
          <w:rFonts w:hint="eastAsia" w:ascii="方正小标宋_GBK" w:hAnsi="方正小标宋_GBK" w:eastAsia="方正小标宋_GBK" w:cs="方正小标宋_GBK"/>
          <w:b w:val="0"/>
          <w:bCs/>
          <w:color w:val="333333"/>
          <w:kern w:val="0"/>
          <w:sz w:val="36"/>
          <w:szCs w:val="36"/>
        </w:rPr>
        <w:t>分解</w:t>
      </w:r>
      <w:r>
        <w:rPr>
          <w:rFonts w:hint="eastAsia" w:ascii="方正小标宋_GBK" w:hAnsi="Calibri" w:eastAsia="方正小标宋_GBK" w:cs="宋体"/>
          <w:color w:val="333333"/>
          <w:kern w:val="0"/>
          <w:sz w:val="36"/>
          <w:szCs w:val="36"/>
        </w:rPr>
        <w:t>计划拟支持项目</w:t>
      </w:r>
    </w:p>
    <w:bookmarkEnd w:id="0"/>
    <w:p>
      <w:pPr>
        <w:widowControl/>
        <w:spacing w:line="600" w:lineRule="atLeast"/>
        <w:ind w:firstLine="640"/>
        <w:rPr>
          <w:rFonts w:ascii="Calibri" w:hAnsi="Calibri" w:eastAsia="微软雅黑" w:cs="宋体"/>
          <w:color w:val="333333"/>
          <w:kern w:val="0"/>
          <w:szCs w:val="21"/>
        </w:rPr>
      </w:pPr>
      <w:r>
        <w:rPr>
          <w:rFonts w:hint="eastAsia" w:ascii="仿宋" w:hAnsi="仿宋" w:eastAsia="仿宋" w:cs="宋体"/>
          <w:color w:val="333333"/>
          <w:kern w:val="0"/>
          <w:sz w:val="32"/>
          <w:szCs w:val="32"/>
        </w:rPr>
        <w:t> </w:t>
      </w:r>
    </w:p>
    <w:p>
      <w:pPr>
        <w:widowControl/>
        <w:spacing w:line="600" w:lineRule="atLeast"/>
        <w:ind w:firstLine="640"/>
        <w:rPr>
          <w:rFonts w:hint="eastAsia" w:ascii="仿宋_GB2312" w:hAnsi="仿宋_GB2312" w:eastAsia="仿宋_GB2312" w:cs="仿宋_GB2312"/>
          <w:color w:val="333333"/>
          <w:kern w:val="0"/>
          <w:sz w:val="32"/>
          <w:szCs w:val="32"/>
        </w:rPr>
      </w:pPr>
      <w:r>
        <w:rPr>
          <w:rFonts w:hint="eastAsia" w:ascii="仿宋_GB2312" w:hAnsi="仿宋" w:eastAsia="仿宋_GB2312" w:cs="宋体"/>
          <w:color w:val="333333"/>
          <w:kern w:val="0"/>
          <w:sz w:val="32"/>
          <w:szCs w:val="32"/>
        </w:rPr>
        <w:t>1、</w:t>
      </w:r>
      <w:r>
        <w:rPr>
          <w:rFonts w:hint="eastAsia" w:ascii="仿宋_GB2312" w:hAnsi="仿宋_GB2312" w:eastAsia="仿宋_GB2312" w:cs="仿宋_GB2312"/>
          <w:sz w:val="32"/>
          <w:szCs w:val="32"/>
        </w:rPr>
        <w:t>桃江县粮食局粮油购销有限公司桃江县2.5万吨标准化粮食储备仓建设项目</w:t>
      </w:r>
    </w:p>
    <w:p>
      <w:pPr>
        <w:widowControl/>
        <w:spacing w:line="600" w:lineRule="atLeast"/>
        <w:ind w:firstLine="640"/>
        <w:rPr>
          <w:rFonts w:ascii="仿宋_GB2312" w:hAnsi="Calibri" w:eastAsia="仿宋_GB2312" w:cs="宋体"/>
          <w:color w:val="333333"/>
          <w:kern w:val="0"/>
          <w:sz w:val="32"/>
          <w:szCs w:val="32"/>
        </w:rPr>
      </w:pPr>
      <w:r>
        <w:rPr>
          <w:rFonts w:hint="eastAsia" w:ascii="仿宋_GB2312" w:hAnsi="仿宋" w:eastAsia="仿宋_GB2312" w:cs="宋体"/>
          <w:color w:val="333333"/>
          <w:kern w:val="0"/>
          <w:sz w:val="32"/>
          <w:szCs w:val="32"/>
        </w:rPr>
        <w:t>2、</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耒阳国家粮食储备库5.6万吨粮食仓储项目</w:t>
      </w:r>
    </w:p>
    <w:p>
      <w:pPr>
        <w:widowControl/>
        <w:spacing w:line="600" w:lineRule="atLeast"/>
        <w:ind w:firstLine="640"/>
        <w:rPr>
          <w:rFonts w:ascii="仿宋_GB2312" w:hAnsi="Calibri" w:eastAsia="仿宋_GB2312" w:cs="宋体"/>
          <w:color w:val="333333"/>
          <w:kern w:val="0"/>
          <w:sz w:val="32"/>
          <w:szCs w:val="32"/>
        </w:rPr>
      </w:pPr>
      <w:r>
        <w:rPr>
          <w:rFonts w:hint="eastAsia" w:ascii="仿宋_GB2312" w:hAnsi="仿宋" w:eastAsia="仿宋_GB2312" w:cs="宋体"/>
          <w:color w:val="333333"/>
          <w:kern w:val="0"/>
          <w:sz w:val="32"/>
          <w:szCs w:val="32"/>
        </w:rPr>
        <w:t>3、</w:t>
      </w:r>
      <w:r>
        <w:rPr>
          <w:rFonts w:hint="eastAsia" w:ascii="仿宋_GB2312" w:hAnsi="仿宋_GB2312" w:eastAsia="仿宋_GB2312" w:cs="仿宋_GB2312"/>
          <w:sz w:val="32"/>
          <w:szCs w:val="32"/>
        </w:rPr>
        <w:t>宁远县粮油购销管理站宁远区域性粮食储备和应急配送中心建设项目</w:t>
      </w:r>
    </w:p>
    <w:p>
      <w:pPr>
        <w:widowControl/>
        <w:spacing w:line="600" w:lineRule="atLeast"/>
        <w:ind w:firstLine="640"/>
        <w:rPr>
          <w:rFonts w:ascii="仿宋_GB2312" w:hAnsi="Calibri" w:eastAsia="仿宋_GB2312" w:cs="宋体"/>
          <w:color w:val="333333"/>
          <w:kern w:val="0"/>
          <w:sz w:val="32"/>
          <w:szCs w:val="32"/>
        </w:rPr>
      </w:pPr>
      <w:r>
        <w:rPr>
          <w:rFonts w:hint="eastAsia" w:ascii="仿宋_GB2312" w:hAnsi="仿宋" w:eastAsia="仿宋_GB2312" w:cs="宋体"/>
          <w:color w:val="333333"/>
          <w:kern w:val="0"/>
          <w:sz w:val="32"/>
          <w:szCs w:val="32"/>
        </w:rPr>
        <w:t>4、</w:t>
      </w:r>
      <w:r>
        <w:rPr>
          <w:rFonts w:hint="eastAsia" w:ascii="仿宋_GB2312" w:hAnsi="仿宋_GB2312" w:eastAsia="仿宋_GB2312" w:cs="仿宋_GB2312"/>
          <w:sz w:val="32"/>
          <w:szCs w:val="32"/>
        </w:rPr>
        <w:t>华容县丰穗粮食购销有限公司粮食标准化储备仓建设项目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D3784"/>
    <w:rsid w:val="4EED3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2021-12-22T09:11:00Z</dcterms:created>
  <dc:creator>郑旋</dc:creator>
  <cp:lastModifiedBy>郑旋</cp:lastModifiedBy>
  <dcterms:modified xsi:type="dcterms:W3CDTF">2021-12-22T09:11:12Z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3DB631E10FB5400F9334EB145C8CE72B</vt:lpwstr>
  </property>
</Properties>
</file>