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附件3</w:t>
      </w:r>
    </w:p>
    <w:p>
      <w:pPr>
        <w:pStyle w:val="2"/>
        <w:rPr>
          <w:rFonts w:hint="default" w:ascii="Times New Roman" w:hAnsi="Times New Roman"/>
        </w:rPr>
      </w:pPr>
    </w:p>
    <w:p>
      <w:pPr>
        <w:widowControl/>
        <w:spacing w:line="596" w:lineRule="exact"/>
        <w:jc w:val="center"/>
        <w:textAlignment w:val="center"/>
        <w:rPr>
          <w:rFonts w:eastAsia="方正小标宋_GBK"/>
          <w:kern w:val="0"/>
          <w:sz w:val="40"/>
          <w:szCs w:val="40"/>
          <w:lang w:bidi="ar"/>
        </w:rPr>
      </w:pPr>
      <w:bookmarkStart w:id="0" w:name="_GoBack"/>
      <w:r>
        <w:rPr>
          <w:rFonts w:eastAsia="方正小标宋_GBK"/>
          <w:kern w:val="0"/>
          <w:sz w:val="40"/>
          <w:szCs w:val="40"/>
          <w:lang w:bidi="ar"/>
        </w:rPr>
        <w:t>资金绩效目标表</w:t>
      </w:r>
    </w:p>
    <w:bookmarkEnd w:id="0"/>
    <w:p>
      <w:pPr>
        <w:spacing w:line="596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（2022年度）</w:t>
      </w:r>
    </w:p>
    <w:p>
      <w:pPr>
        <w:jc w:val="right"/>
        <w:rPr>
          <w:rFonts w:hint="default"/>
        </w:rPr>
      </w:pPr>
      <w:r>
        <w:rPr>
          <w:rFonts w:hint="default"/>
        </w:rPr>
        <w:t>单位：万元</w:t>
      </w:r>
    </w:p>
    <w:tbl>
      <w:tblPr>
        <w:tblStyle w:val="4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4"/>
        <w:gridCol w:w="6"/>
        <w:gridCol w:w="158"/>
        <w:gridCol w:w="2028"/>
        <w:gridCol w:w="2260"/>
        <w:gridCol w:w="2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支出方向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kern w:val="21"/>
                <w:sz w:val="22"/>
                <w:szCs w:val="22"/>
                <w:lang w:bidi="ar"/>
              </w:rPr>
              <w:t>湘赣边区域合作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所属专项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省预算内基本建设投资专项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省级主管部门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省发展和改革委员会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专项资金实施期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val="en"/>
              </w:rPr>
            </w:pPr>
            <w:r>
              <w:rPr>
                <w:color w:val="000000"/>
                <w:kern w:val="0"/>
                <w:szCs w:val="21"/>
                <w:lang w:val="en"/>
              </w:rPr>
              <w:t>2020-2022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支出方向年度总金额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省级专项资金总额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加快湘赣边区域合作示范区建设，2022年重点安排红色教育基地保护利用及配套服务设施建设等项目；湘赣边村镇基础设施完善、公共服务提升、特色产业发展、城乡人居环境改善等项目。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度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效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指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产出</w:t>
            </w: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数量</w:t>
            </w: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支持项目数量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default"/>
                <w:color w:val="000000"/>
                <w:kern w:val="0"/>
                <w:szCs w:val="21"/>
              </w:rPr>
              <w:t>个左右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投资完成率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≥60%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投资计划下达时间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预算批复后60日内下达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效益</w:t>
            </w: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项目管理指标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“两个责任”按项目落实到位率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监督检查指标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审计、督查、巡视等</w:t>
            </w:r>
          </w:p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指出问题项目比例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≤5%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14E5"/>
    <w:rsid w:val="405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spacing w:line="480" w:lineRule="exact"/>
      <w:ind w:firstLine="20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2022-01-25T09:19:00Z</dcterms:created>
  <dc:creator>郑旋</dc:creator>
  <cp:lastModifiedBy>郑旋</cp:lastModifiedBy>
  <dcterms:modified xsi:type="dcterms:W3CDTF">2022-01-25T09:19:47Z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CE55231B093D4F5CB953432F3EE6959A</vt:lpwstr>
  </property>
</Properties>
</file>