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7" w:beforeLines="50" w:after="217" w:afterLines="50" w:line="596" w:lineRule="exact"/>
        <w:ind w:left="0" w:leftChars="0"/>
        <w:jc w:val="left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40"/>
          <w:szCs w:val="40"/>
        </w:rPr>
      </w:pPr>
      <w:bookmarkStart w:id="0" w:name="_GoBack"/>
      <w:r>
        <w:rPr>
          <w:rFonts w:hint="eastAsia" w:ascii="黑体" w:hAnsi="黑体" w:eastAsia="黑体" w:cs="黑体"/>
          <w:sz w:val="40"/>
          <w:szCs w:val="40"/>
          <w:lang w:eastAsia="zh-CN"/>
        </w:rPr>
        <w:t>建设项目中央预算内投资计划</w:t>
      </w:r>
      <w:r>
        <w:rPr>
          <w:rFonts w:hint="eastAsia" w:ascii="黑体" w:hAnsi="黑体" w:eastAsia="黑体" w:cs="黑体"/>
          <w:sz w:val="40"/>
          <w:szCs w:val="40"/>
        </w:rPr>
        <w:t>绩效目标表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sz w:val="40"/>
          <w:szCs w:val="40"/>
        </w:rPr>
        <w:t>（202</w:t>
      </w:r>
      <w:r>
        <w:rPr>
          <w:rFonts w:hint="default" w:ascii="Times New Roman" w:hAnsi="Times New Roman" w:eastAsia="仿宋_GB2312" w:cs="Times New Roman"/>
          <w:sz w:val="40"/>
          <w:szCs w:val="4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40"/>
          <w:szCs w:val="40"/>
        </w:rPr>
        <w:t>年度）</w:t>
      </w:r>
      <w:bookmarkEnd w:id="0"/>
    </w:p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8"/>
        <w:gridCol w:w="1214"/>
        <w:gridCol w:w="1295"/>
        <w:gridCol w:w="3111"/>
        <w:gridCol w:w="35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2" w:hRule="atLeast"/>
          <w:jc w:val="center"/>
        </w:trPr>
        <w:tc>
          <w:tcPr>
            <w:tcW w:w="3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6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xx省xx市（州）xx县（市、区）公共实训基地建设项目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3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申报地方</w:t>
            </w:r>
          </w:p>
        </w:tc>
        <w:tc>
          <w:tcPr>
            <w:tcW w:w="6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3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项目总投资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6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34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中央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预算内投资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金额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6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85" w:hRule="atLeast"/>
          <w:jc w:val="center"/>
        </w:trPr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总体目标</w:t>
            </w:r>
          </w:p>
        </w:tc>
        <w:tc>
          <w:tcPr>
            <w:tcW w:w="91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目标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1：申请安排中央预算内投资    万元，支持开展公共实训基地建设。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目标2：支持建设1个省/市/县级公共实训基地，提升公共职业技能培训基础能力。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绩效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目标</w:t>
            </w:r>
          </w:p>
        </w:tc>
        <w:tc>
          <w:tcPr>
            <w:tcW w:w="12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一级指标</w:t>
            </w:r>
          </w:p>
        </w:tc>
        <w:tc>
          <w:tcPr>
            <w:tcW w:w="12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二级指标</w:t>
            </w:r>
          </w:p>
        </w:tc>
        <w:tc>
          <w:tcPr>
            <w:tcW w:w="31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三级指标</w:t>
            </w:r>
          </w:p>
        </w:tc>
        <w:tc>
          <w:tcPr>
            <w:tcW w:w="35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指标值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实施效果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指标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产出指标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安排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省/市/县级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项目个数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建设项目验收合格率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89" w:hRule="atLeast"/>
          <w:jc w:val="center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效益指标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提升当地公共职业技能培训基础能力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面向城乡各类劳动者开展职业技能培训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培训后的就业和收入情况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培训人员就业能力和收入有所提升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满意度指标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培训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对象满意度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53" w:hRule="atLeast"/>
          <w:jc w:val="center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2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过程管理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指标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计划管理指标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投资计划转发用时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10个工作日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2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“两个责任”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按项目落实到位率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资金管理指标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当年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中央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预算内投资支付率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当年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总投资完成率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项目管理指标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当年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项目开工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率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  <w:jc w:val="center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超规模、超标准、超概算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eastAsia="zh-CN" w:bidi="ar"/>
              </w:rPr>
              <w:t>项目比例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15" w:hRule="atLeast"/>
          <w:jc w:val="center"/>
        </w:trPr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2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监督检查指标</w:t>
            </w:r>
          </w:p>
        </w:tc>
        <w:tc>
          <w:tcPr>
            <w:tcW w:w="3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审计、督查、巡视等指出问题项目比例</w:t>
            </w:r>
          </w:p>
        </w:tc>
        <w:tc>
          <w:tcPr>
            <w:tcW w:w="3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even"/>
          <w:pgSz w:w="11907" w:h="16840"/>
          <w:pgMar w:top="1871" w:right="1531" w:bottom="1531" w:left="1588" w:header="851" w:footer="1304" w:gutter="0"/>
          <w:cols w:space="720" w:num="1"/>
          <w:docGrid w:type="lines" w:linePitch="43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A1F36"/>
    <w:rsid w:val="256A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2022-01-17T02:56:00Z</dcterms:created>
  <dc:creator>郑旋</dc:creator>
  <cp:lastModifiedBy>郑旋</cp:lastModifiedBy>
  <dcterms:modified xsi:type="dcterms:W3CDTF">2022-01-17T02:56:56Z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F1B08414956549E1A518D059627EA564</vt:lpwstr>
  </property>
</Properties>
</file>