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after="217" w:afterLines="50" w:line="596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z w:val="40"/>
          <w:szCs w:val="40"/>
          <w:lang w:eastAsia="zh-CN"/>
        </w:rPr>
      </w:pPr>
      <w:bookmarkStart w:id="0" w:name="_GoBack"/>
      <w:r>
        <w:rPr>
          <w:rFonts w:hint="default" w:ascii="黑体" w:hAnsi="黑体" w:eastAsia="黑体" w:cs="黑体"/>
          <w:sz w:val="40"/>
          <w:szCs w:val="40"/>
          <w:lang w:val="en-US" w:eastAsia="zh-CN"/>
        </w:rPr>
        <w:t>中央预算内公共实训基地申报项目表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640"/>
        <w:jc w:val="right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                                        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单位：万元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89"/>
        <w:gridCol w:w="727"/>
        <w:gridCol w:w="864"/>
        <w:gridCol w:w="760"/>
        <w:gridCol w:w="843"/>
        <w:gridCol w:w="961"/>
        <w:gridCol w:w="1337"/>
        <w:gridCol w:w="751"/>
        <w:gridCol w:w="716"/>
        <w:gridCol w:w="945"/>
        <w:gridCol w:w="1119"/>
        <w:gridCol w:w="1027"/>
        <w:gridCol w:w="877"/>
        <w:gridCol w:w="75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项目名称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、级别及项目代码</w:t>
            </w:r>
          </w:p>
        </w:tc>
        <w:tc>
          <w:tcPr>
            <w:tcW w:w="8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建设性质</w:t>
            </w:r>
          </w:p>
        </w:tc>
        <w:tc>
          <w:tcPr>
            <w:tcW w:w="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市县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建设内容规模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起止年限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资金来源</w:t>
            </w:r>
          </w:p>
        </w:tc>
        <w:tc>
          <w:tcPr>
            <w:tcW w:w="9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总投资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至20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年底累计完成投资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年计划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项目（法人）单位</w:t>
            </w:r>
          </w:p>
        </w:tc>
        <w:tc>
          <w:tcPr>
            <w:tcW w:w="10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项目责任人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日常监管责任单位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日常监管责任人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备注（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项目当前进度情况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、是否已申请中央预算内投资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投资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建设内容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拟申请投资</w:t>
            </w: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说明：1、“建设性质”填报新建或改建或扩建；2、“所在市县”填报XX市州、XX县市区；3、“建设内容”填报土建、设备购置等。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509D"/>
    <w:rsid w:val="0B8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2022-01-17T02:57:00Z</dcterms:created>
  <dc:creator>郑旋</dc:creator>
  <cp:lastModifiedBy>郑旋</cp:lastModifiedBy>
  <dcterms:modified xsi:type="dcterms:W3CDTF">2022-01-17T02:57:31Z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5974C5091F1D42B88766B0C8C5047E3B</vt:lpwstr>
  </property>
</Properties>
</file>