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s>
        <w:snapToGrid w:val="0"/>
        <w:spacing w:line="60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附件1：</w:t>
      </w:r>
    </w:p>
    <w:p>
      <w:pPr>
        <w:tabs>
          <w:tab w:val="left" w:pos="630"/>
        </w:tabs>
        <w:snapToGrid w:val="0"/>
        <w:spacing w:line="600" w:lineRule="exact"/>
        <w:jc w:val="center"/>
        <w:rPr>
          <w:rFonts w:ascii="方正小标宋_GBK" w:hAnsi="宋体" w:eastAsia="方正小标宋_GBK" w:cs="宋体"/>
          <w:color w:val="000000"/>
          <w:sz w:val="32"/>
          <w:szCs w:val="32"/>
        </w:rPr>
      </w:pPr>
      <w:r>
        <w:rPr>
          <w:rFonts w:hint="eastAsia" w:ascii="方正小标宋_GBK" w:hAnsi="宋体" w:eastAsia="方正小标宋_GBK" w:cs="宋体"/>
          <w:color w:val="000000"/>
          <w:sz w:val="32"/>
          <w:szCs w:val="32"/>
        </w:rPr>
        <w:t>部门整体支出绩效评价指标表</w:t>
      </w:r>
    </w:p>
    <w:tbl>
      <w:tblPr>
        <w:tblStyle w:val="4"/>
        <w:tblW w:w="1515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8"/>
        <w:gridCol w:w="1085"/>
        <w:gridCol w:w="1097"/>
        <w:gridCol w:w="472"/>
        <w:gridCol w:w="2968"/>
        <w:gridCol w:w="3248"/>
        <w:gridCol w:w="4583"/>
        <w:gridCol w:w="5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0" w:hRule="atLeast"/>
          <w:tblHeader/>
          <w:jc w:val="center"/>
        </w:trPr>
        <w:tc>
          <w:tcPr>
            <w:tcW w:w="1138" w:type="dxa"/>
            <w:shd w:val="clear" w:color="auto" w:fill="auto"/>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一级指标</w:t>
            </w:r>
          </w:p>
        </w:tc>
        <w:tc>
          <w:tcPr>
            <w:tcW w:w="1085" w:type="dxa"/>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二级指标</w:t>
            </w:r>
          </w:p>
        </w:tc>
        <w:tc>
          <w:tcPr>
            <w:tcW w:w="1097" w:type="dxa"/>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三级指标</w:t>
            </w:r>
          </w:p>
        </w:tc>
        <w:tc>
          <w:tcPr>
            <w:tcW w:w="472" w:type="dxa"/>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分值</w:t>
            </w:r>
          </w:p>
        </w:tc>
        <w:tc>
          <w:tcPr>
            <w:tcW w:w="2968" w:type="dxa"/>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c>
          <w:tcPr>
            <w:tcW w:w="3248" w:type="dxa"/>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w:t>
            </w:r>
          </w:p>
        </w:tc>
        <w:tc>
          <w:tcPr>
            <w:tcW w:w="4583" w:type="dxa"/>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评价结果及依据</w:t>
            </w:r>
          </w:p>
        </w:tc>
        <w:tc>
          <w:tcPr>
            <w:tcW w:w="560" w:type="dxa"/>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25" w:hRule="atLeast"/>
          <w:jc w:val="center"/>
        </w:trPr>
        <w:tc>
          <w:tcPr>
            <w:tcW w:w="1138" w:type="dxa"/>
            <w:vMerge w:val="restart"/>
            <w:shd w:val="clear" w:color="auto" w:fill="auto"/>
            <w:vAlign w:val="center"/>
          </w:tcPr>
          <w:p>
            <w:pPr>
              <w:widowControl/>
              <w:spacing w:line="246"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投入</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（10分)</w:t>
            </w:r>
          </w:p>
        </w:tc>
        <w:tc>
          <w:tcPr>
            <w:tcW w:w="1085" w:type="dxa"/>
            <w:vMerge w:val="restart"/>
            <w:shd w:val="clear" w:color="auto" w:fill="auto"/>
            <w:vAlign w:val="center"/>
          </w:tcPr>
          <w:p>
            <w:pPr>
              <w:widowControl/>
              <w:spacing w:line="246" w:lineRule="exact"/>
              <w:jc w:val="center"/>
              <w:rPr>
                <w:rFonts w:ascii="仿宋_GB2312" w:hAnsi="宋体" w:eastAsia="仿宋_GB2312" w:cs="宋体"/>
                <w:color w:val="000000"/>
                <w:kern w:val="0"/>
                <w:sz w:val="20"/>
                <w:szCs w:val="20"/>
              </w:rPr>
            </w:pPr>
            <w:r>
              <w:rPr>
                <w:rFonts w:hint="eastAsia" w:ascii="宋体" w:hAnsi="宋体" w:cs="宋体"/>
                <w:color w:val="000000"/>
                <w:kern w:val="0"/>
                <w:sz w:val="20"/>
                <w:szCs w:val="20"/>
              </w:rPr>
              <w:t>预</w:t>
            </w:r>
            <w:r>
              <w:rPr>
                <w:rFonts w:hint="eastAsia" w:ascii="仿宋_GB2312" w:hAnsi="宋体" w:eastAsia="仿宋_GB2312" w:cs="宋体"/>
                <w:color w:val="000000"/>
                <w:kern w:val="0"/>
                <w:sz w:val="20"/>
                <w:szCs w:val="20"/>
              </w:rPr>
              <w:t>算配置</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（10分）</w:t>
            </w:r>
          </w:p>
        </w:tc>
        <w:tc>
          <w:tcPr>
            <w:tcW w:w="1097"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在职人员控制率</w:t>
            </w:r>
          </w:p>
        </w:tc>
        <w:tc>
          <w:tcPr>
            <w:tcW w:w="472" w:type="dxa"/>
            <w:shd w:val="clear" w:color="auto" w:fill="auto"/>
            <w:vAlign w:val="center"/>
          </w:tcPr>
          <w:p>
            <w:pPr>
              <w:widowControl/>
              <w:spacing w:line="246" w:lineRule="exact"/>
              <w:jc w:val="center"/>
              <w:rPr>
                <w:color w:val="000000"/>
                <w:kern w:val="0"/>
                <w:sz w:val="20"/>
                <w:szCs w:val="20"/>
              </w:rPr>
            </w:pPr>
            <w:r>
              <w:rPr>
                <w:color w:val="000000"/>
                <w:kern w:val="0"/>
                <w:sz w:val="20"/>
                <w:szCs w:val="20"/>
              </w:rPr>
              <w:t>5</w:t>
            </w:r>
          </w:p>
        </w:tc>
        <w:tc>
          <w:tcPr>
            <w:tcW w:w="2968"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w:t>
            </w:r>
            <w:r>
              <w:rPr>
                <w:rFonts w:eastAsia="仿宋_GB2312"/>
                <w:color w:val="000000"/>
                <w:kern w:val="0"/>
                <w:sz w:val="20"/>
                <w:szCs w:val="20"/>
              </w:rPr>
              <w:t>100%</w:t>
            </w:r>
            <w:r>
              <w:rPr>
                <w:rFonts w:hint="eastAsia" w:ascii="仿宋_GB2312" w:hAnsi="宋体" w:eastAsia="仿宋_GB2312" w:cs="宋体"/>
                <w:color w:val="000000"/>
                <w:kern w:val="0"/>
                <w:sz w:val="20"/>
                <w:szCs w:val="20"/>
              </w:rPr>
              <w:t>为标准。在职人员控制率</w:t>
            </w:r>
            <w:r>
              <w:rPr>
                <w:rFonts w:hint="eastAsia" w:ascii="宋体" w:hAnsi="宋体" w:cs="宋体"/>
                <w:color w:val="000000"/>
                <w:kern w:val="0"/>
                <w:sz w:val="20"/>
                <w:szCs w:val="20"/>
              </w:rPr>
              <w:t>≦</w:t>
            </w:r>
            <w:r>
              <w:rPr>
                <w:rFonts w:eastAsia="仿宋_GB2312"/>
                <w:color w:val="000000"/>
                <w:kern w:val="0"/>
                <w:sz w:val="20"/>
                <w:szCs w:val="20"/>
              </w:rPr>
              <w:t>100%</w:t>
            </w:r>
            <w:r>
              <w:rPr>
                <w:rFonts w:hint="eastAsia" w:ascii="仿宋_GB2312" w:hAnsi="宋体" w:eastAsia="仿宋_GB2312" w:cs="宋体"/>
                <w:color w:val="000000"/>
                <w:kern w:val="0"/>
                <w:sz w:val="20"/>
                <w:szCs w:val="20"/>
              </w:rPr>
              <w:t>，计</w:t>
            </w:r>
            <w:r>
              <w:rPr>
                <w:rFonts w:eastAsia="仿宋_GB2312"/>
                <w:color w:val="000000"/>
                <w:kern w:val="0"/>
                <w:sz w:val="20"/>
                <w:szCs w:val="20"/>
              </w:rPr>
              <w:t>5</w:t>
            </w:r>
            <w:r>
              <w:rPr>
                <w:rFonts w:hint="eastAsia" w:ascii="仿宋_GB2312" w:hAnsi="宋体" w:eastAsia="仿宋_GB2312" w:cs="宋体"/>
                <w:color w:val="000000"/>
                <w:kern w:val="0"/>
                <w:sz w:val="20"/>
                <w:szCs w:val="20"/>
              </w:rPr>
              <w:t>分；每超过一个百分点扣</w:t>
            </w:r>
            <w:r>
              <w:rPr>
                <w:rFonts w:eastAsia="仿宋_GB2312"/>
                <w:color w:val="000000"/>
                <w:kern w:val="0"/>
                <w:sz w:val="20"/>
                <w:szCs w:val="20"/>
              </w:rPr>
              <w:t>0.5</w:t>
            </w:r>
            <w:r>
              <w:rPr>
                <w:rFonts w:hint="eastAsia" w:ascii="仿宋_GB2312" w:hAnsi="宋体" w:eastAsia="仿宋_GB2312" w:cs="宋体"/>
                <w:color w:val="000000"/>
                <w:kern w:val="0"/>
                <w:sz w:val="20"/>
                <w:szCs w:val="20"/>
              </w:rPr>
              <w:t>分，扣完为止。</w:t>
            </w:r>
          </w:p>
        </w:tc>
        <w:tc>
          <w:tcPr>
            <w:tcW w:w="3248"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w:t>
            </w:r>
            <w:r>
              <w:rPr>
                <w:rFonts w:hint="eastAsia" w:ascii="宋体" w:hAnsi="宋体" w:cs="宋体"/>
                <w:color w:val="000000"/>
                <w:kern w:val="0"/>
                <w:sz w:val="20"/>
                <w:szCs w:val="20"/>
              </w:rPr>
              <w:t>职</w:t>
            </w:r>
            <w:r>
              <w:rPr>
                <w:rFonts w:hint="eastAsia" w:ascii="仿宋_GB2312" w:hAnsi="宋体" w:eastAsia="仿宋_GB2312" w:cs="宋体"/>
                <w:color w:val="000000"/>
                <w:kern w:val="0"/>
                <w:sz w:val="20"/>
                <w:szCs w:val="20"/>
              </w:rPr>
              <w:t>人</w:t>
            </w:r>
            <w:r>
              <w:rPr>
                <w:rFonts w:hint="eastAsia" w:ascii="宋体" w:hAnsi="宋体" w:cs="宋体"/>
                <w:color w:val="000000"/>
                <w:kern w:val="0"/>
                <w:sz w:val="20"/>
                <w:szCs w:val="20"/>
              </w:rPr>
              <w:t>员</w:t>
            </w:r>
            <w:r>
              <w:rPr>
                <w:rFonts w:hint="eastAsia" w:ascii="仿宋_GB2312" w:hAnsi="宋体" w:eastAsia="仿宋_GB2312" w:cs="宋体"/>
                <w:color w:val="000000"/>
                <w:kern w:val="0"/>
                <w:sz w:val="20"/>
                <w:szCs w:val="20"/>
              </w:rPr>
              <w:t>控制率</w:t>
            </w:r>
            <w:r>
              <w:rPr>
                <w:rFonts w:eastAsia="仿宋_GB2312"/>
                <w:color w:val="000000"/>
                <w:kern w:val="0"/>
                <w:sz w:val="20"/>
                <w:szCs w:val="20"/>
              </w:rPr>
              <w:t>=</w:t>
            </w:r>
            <w:r>
              <w:rPr>
                <w:rFonts w:hint="eastAsia" w:ascii="仿宋_GB2312" w:hAnsi="宋体" w:eastAsia="仿宋_GB2312" w:cs="宋体"/>
                <w:color w:val="000000"/>
                <w:kern w:val="0"/>
                <w:sz w:val="20"/>
                <w:szCs w:val="20"/>
              </w:rPr>
              <w:t>（在</w:t>
            </w:r>
            <w:r>
              <w:rPr>
                <w:rFonts w:hint="eastAsia" w:ascii="宋体" w:hAnsi="宋体" w:cs="宋体"/>
                <w:color w:val="000000"/>
                <w:kern w:val="0"/>
                <w:sz w:val="20"/>
                <w:szCs w:val="20"/>
              </w:rPr>
              <w:t>职</w:t>
            </w:r>
            <w:r>
              <w:rPr>
                <w:rFonts w:hint="eastAsia" w:ascii="仿宋_GB2312" w:hAnsi="宋体" w:eastAsia="仿宋_GB2312" w:cs="宋体"/>
                <w:color w:val="000000"/>
                <w:kern w:val="0"/>
                <w:sz w:val="20"/>
                <w:szCs w:val="20"/>
              </w:rPr>
              <w:t>人</w:t>
            </w:r>
            <w:r>
              <w:rPr>
                <w:rFonts w:hint="eastAsia" w:ascii="宋体" w:hAnsi="宋体" w:cs="宋体"/>
                <w:color w:val="000000"/>
                <w:kern w:val="0"/>
                <w:sz w:val="20"/>
                <w:szCs w:val="20"/>
              </w:rPr>
              <w:t>员数</w:t>
            </w:r>
            <w:r>
              <w:rPr>
                <w:rFonts w:eastAsia="仿宋_GB2312"/>
                <w:color w:val="000000"/>
                <w:kern w:val="0"/>
                <w:sz w:val="20"/>
                <w:szCs w:val="20"/>
              </w:rPr>
              <w:t>/</w:t>
            </w:r>
            <w:r>
              <w:rPr>
                <w:rFonts w:hint="eastAsia" w:ascii="宋体" w:hAnsi="宋体" w:cs="宋体"/>
                <w:color w:val="000000"/>
                <w:kern w:val="0"/>
                <w:sz w:val="20"/>
                <w:szCs w:val="20"/>
              </w:rPr>
              <w:t>编</w:t>
            </w:r>
            <w:r>
              <w:rPr>
                <w:rFonts w:hint="eastAsia" w:ascii="仿宋_GB2312" w:hAnsi="宋体" w:eastAsia="仿宋_GB2312" w:cs="宋体"/>
                <w:color w:val="000000"/>
                <w:kern w:val="0"/>
                <w:sz w:val="20"/>
                <w:szCs w:val="20"/>
              </w:rPr>
              <w:t>制</w:t>
            </w:r>
            <w:r>
              <w:rPr>
                <w:rFonts w:hint="eastAsia" w:ascii="宋体" w:hAnsi="宋体" w:cs="宋体"/>
                <w:color w:val="000000"/>
                <w:kern w:val="0"/>
                <w:sz w:val="20"/>
                <w:szCs w:val="20"/>
              </w:rPr>
              <w:t>数</w:t>
            </w:r>
            <w:r>
              <w:rPr>
                <w:rFonts w:hint="eastAsia" w:ascii="仿宋_GB2312" w:hAnsi="宋体" w:eastAsia="仿宋_GB2312" w:cs="宋体"/>
                <w:color w:val="000000"/>
                <w:kern w:val="0"/>
                <w:sz w:val="20"/>
                <w:szCs w:val="20"/>
              </w:rPr>
              <w:t>）</w:t>
            </w:r>
            <w:r>
              <w:rPr>
                <w:rFonts w:eastAsia="仿宋_GB2312"/>
                <w:color w:val="000000"/>
                <w:kern w:val="0"/>
                <w:sz w:val="20"/>
                <w:szCs w:val="20"/>
              </w:rPr>
              <w:t>×100%</w:t>
            </w:r>
            <w:r>
              <w:rPr>
                <w:rFonts w:hint="eastAsia" w:ascii="仿宋_GB2312" w:hAnsi="宋体" w:eastAsia="仿宋_GB2312" w:cs="宋体"/>
                <w:color w:val="000000"/>
                <w:kern w:val="0"/>
                <w:sz w:val="20"/>
                <w:szCs w:val="20"/>
              </w:rPr>
              <w:t>，在</w:t>
            </w:r>
            <w:r>
              <w:rPr>
                <w:rFonts w:hint="eastAsia" w:ascii="宋体" w:hAnsi="宋体" w:cs="宋体"/>
                <w:color w:val="000000"/>
                <w:kern w:val="0"/>
                <w:sz w:val="20"/>
                <w:szCs w:val="20"/>
              </w:rPr>
              <w:t>职</w:t>
            </w:r>
            <w:r>
              <w:rPr>
                <w:rFonts w:hint="eastAsia" w:ascii="仿宋_GB2312" w:hAnsi="宋体" w:eastAsia="仿宋_GB2312" w:cs="宋体"/>
                <w:color w:val="000000"/>
                <w:kern w:val="0"/>
                <w:sz w:val="20"/>
                <w:szCs w:val="20"/>
              </w:rPr>
              <w:t>人</w:t>
            </w:r>
            <w:r>
              <w:rPr>
                <w:rFonts w:hint="eastAsia" w:ascii="宋体" w:hAnsi="宋体" w:cs="宋体"/>
                <w:color w:val="000000"/>
                <w:kern w:val="0"/>
                <w:sz w:val="20"/>
                <w:szCs w:val="20"/>
              </w:rPr>
              <w:t>员数</w:t>
            </w:r>
            <w:r>
              <w:rPr>
                <w:rFonts w:hint="eastAsia" w:ascii="仿宋_GB2312" w:hAnsi="宋体" w:eastAsia="仿宋_GB2312" w:cs="宋体"/>
                <w:color w:val="000000"/>
                <w:kern w:val="0"/>
                <w:sz w:val="20"/>
                <w:szCs w:val="20"/>
              </w:rPr>
              <w:t>：部</w:t>
            </w:r>
            <w:r>
              <w:rPr>
                <w:rFonts w:hint="eastAsia" w:ascii="宋体" w:hAnsi="宋体" w:cs="宋体"/>
                <w:color w:val="000000"/>
                <w:kern w:val="0"/>
                <w:sz w:val="20"/>
                <w:szCs w:val="20"/>
              </w:rPr>
              <w:t>门</w:t>
            </w:r>
            <w:r>
              <w:rPr>
                <w:rFonts w:hint="eastAsia" w:ascii="仿宋_GB2312" w:hAnsi="宋体" w:eastAsia="仿宋_GB2312" w:cs="宋体"/>
                <w:color w:val="000000"/>
                <w:kern w:val="0"/>
                <w:sz w:val="20"/>
                <w:szCs w:val="20"/>
              </w:rPr>
              <w:t>（</w:t>
            </w:r>
            <w:r>
              <w:rPr>
                <w:rFonts w:hint="eastAsia" w:ascii="宋体" w:hAnsi="宋体" w:cs="宋体"/>
                <w:color w:val="000000"/>
                <w:kern w:val="0"/>
                <w:sz w:val="20"/>
                <w:szCs w:val="20"/>
              </w:rPr>
              <w:t>单</w:t>
            </w:r>
            <w:r>
              <w:rPr>
                <w:rFonts w:hint="eastAsia" w:ascii="仿宋_GB2312" w:hAnsi="宋体" w:eastAsia="仿宋_GB2312" w:cs="宋体"/>
                <w:color w:val="000000"/>
                <w:kern w:val="0"/>
                <w:sz w:val="20"/>
                <w:szCs w:val="20"/>
              </w:rPr>
              <w:t>位）</w:t>
            </w:r>
            <w:r>
              <w:rPr>
                <w:rFonts w:hint="eastAsia" w:ascii="宋体" w:hAnsi="宋体" w:cs="宋体"/>
                <w:color w:val="000000"/>
                <w:kern w:val="0"/>
                <w:sz w:val="20"/>
                <w:szCs w:val="20"/>
              </w:rPr>
              <w:t>实际</w:t>
            </w:r>
            <w:r>
              <w:rPr>
                <w:rFonts w:hint="eastAsia" w:ascii="仿宋_GB2312" w:hAnsi="宋体" w:eastAsia="仿宋_GB2312" w:cs="宋体"/>
                <w:color w:val="000000"/>
                <w:kern w:val="0"/>
                <w:sz w:val="20"/>
                <w:szCs w:val="20"/>
              </w:rPr>
              <w:t>在</w:t>
            </w:r>
            <w:r>
              <w:rPr>
                <w:rFonts w:hint="eastAsia" w:ascii="宋体" w:hAnsi="宋体" w:cs="宋体"/>
                <w:color w:val="000000"/>
                <w:kern w:val="0"/>
                <w:sz w:val="20"/>
                <w:szCs w:val="20"/>
              </w:rPr>
              <w:t>职</w:t>
            </w:r>
            <w:r>
              <w:rPr>
                <w:rFonts w:hint="eastAsia" w:ascii="仿宋_GB2312" w:hAnsi="宋体" w:eastAsia="仿宋_GB2312" w:cs="宋体"/>
                <w:color w:val="000000"/>
                <w:kern w:val="0"/>
                <w:sz w:val="20"/>
                <w:szCs w:val="20"/>
              </w:rPr>
              <w:t>人</w:t>
            </w:r>
            <w:r>
              <w:rPr>
                <w:rFonts w:hint="eastAsia" w:ascii="宋体" w:hAnsi="宋体" w:cs="宋体"/>
                <w:color w:val="000000"/>
                <w:kern w:val="0"/>
                <w:sz w:val="20"/>
                <w:szCs w:val="20"/>
              </w:rPr>
              <w:t>数</w:t>
            </w:r>
            <w:r>
              <w:rPr>
                <w:rFonts w:hint="eastAsia" w:ascii="仿宋_GB2312" w:hAnsi="宋体" w:eastAsia="仿宋_GB2312" w:cs="宋体"/>
                <w:color w:val="000000"/>
                <w:kern w:val="0"/>
                <w:sz w:val="20"/>
                <w:szCs w:val="20"/>
              </w:rPr>
              <w:t>，以</w:t>
            </w:r>
            <w:r>
              <w:rPr>
                <w:rFonts w:hint="eastAsia" w:ascii="宋体" w:hAnsi="宋体" w:cs="宋体"/>
                <w:color w:val="000000"/>
                <w:kern w:val="0"/>
                <w:sz w:val="20"/>
                <w:szCs w:val="20"/>
              </w:rPr>
              <w:t>财</w:t>
            </w:r>
            <w:r>
              <w:rPr>
                <w:rFonts w:hint="eastAsia" w:ascii="仿宋_GB2312" w:hAnsi="宋体" w:eastAsia="仿宋_GB2312" w:cs="宋体"/>
                <w:color w:val="000000"/>
                <w:kern w:val="0"/>
                <w:sz w:val="20"/>
                <w:szCs w:val="20"/>
              </w:rPr>
              <w:t>政</w:t>
            </w:r>
            <w:r>
              <w:rPr>
                <w:rFonts w:hint="eastAsia" w:ascii="宋体" w:hAnsi="宋体" w:cs="宋体"/>
                <w:color w:val="000000"/>
                <w:kern w:val="0"/>
                <w:sz w:val="20"/>
                <w:szCs w:val="20"/>
              </w:rPr>
              <w:t>厅</w:t>
            </w:r>
            <w:r>
              <w:rPr>
                <w:rFonts w:hint="eastAsia" w:ascii="仿宋_GB2312" w:hAnsi="宋体" w:eastAsia="仿宋_GB2312" w:cs="宋体"/>
                <w:color w:val="000000"/>
                <w:kern w:val="0"/>
                <w:sz w:val="20"/>
                <w:szCs w:val="20"/>
              </w:rPr>
              <w:t>确定的部</w:t>
            </w:r>
            <w:r>
              <w:rPr>
                <w:rFonts w:hint="eastAsia" w:ascii="宋体" w:hAnsi="宋体" w:cs="宋体"/>
                <w:color w:val="000000"/>
                <w:kern w:val="0"/>
                <w:sz w:val="20"/>
                <w:szCs w:val="20"/>
              </w:rPr>
              <w:t>门决</w:t>
            </w:r>
            <w:r>
              <w:rPr>
                <w:rFonts w:hint="eastAsia" w:ascii="仿宋_GB2312" w:hAnsi="宋体" w:eastAsia="仿宋_GB2312" w:cs="宋体"/>
                <w:color w:val="000000"/>
                <w:kern w:val="0"/>
                <w:sz w:val="20"/>
                <w:szCs w:val="20"/>
              </w:rPr>
              <w:t>算</w:t>
            </w:r>
            <w:r>
              <w:rPr>
                <w:rFonts w:hint="eastAsia" w:ascii="宋体" w:hAnsi="宋体" w:cs="宋体"/>
                <w:color w:val="000000"/>
                <w:kern w:val="0"/>
                <w:sz w:val="20"/>
                <w:szCs w:val="20"/>
              </w:rPr>
              <w:t>编</w:t>
            </w:r>
            <w:r>
              <w:rPr>
                <w:rFonts w:hint="eastAsia" w:ascii="仿宋_GB2312" w:hAnsi="宋体" w:eastAsia="仿宋_GB2312" w:cs="宋体"/>
                <w:color w:val="000000"/>
                <w:kern w:val="0"/>
                <w:sz w:val="20"/>
                <w:szCs w:val="20"/>
              </w:rPr>
              <w:t>制口</w:t>
            </w:r>
            <w:r>
              <w:rPr>
                <w:rFonts w:hint="eastAsia" w:ascii="宋体" w:hAnsi="宋体" w:cs="宋体"/>
                <w:color w:val="000000"/>
                <w:kern w:val="0"/>
                <w:sz w:val="20"/>
                <w:szCs w:val="20"/>
              </w:rPr>
              <w:t>径为</w:t>
            </w:r>
            <w:r>
              <w:rPr>
                <w:rFonts w:hint="eastAsia" w:ascii="仿宋_GB2312" w:hAnsi="宋体" w:eastAsia="仿宋_GB2312" w:cs="宋体"/>
                <w:color w:val="000000"/>
                <w:kern w:val="0"/>
                <w:sz w:val="20"/>
                <w:szCs w:val="20"/>
              </w:rPr>
              <w:t>准。</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编制数：机构编制部门核定批复的部门（单位）的人员编制数。</w:t>
            </w:r>
          </w:p>
        </w:tc>
        <w:tc>
          <w:tcPr>
            <w:tcW w:w="4583"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2017年人员编制决算数为771人，实际在职人数为708人。在职人员控制率为91.83%。</w:t>
            </w:r>
          </w:p>
        </w:tc>
        <w:tc>
          <w:tcPr>
            <w:tcW w:w="560" w:type="dxa"/>
            <w:shd w:val="clear" w:color="auto" w:fill="auto"/>
            <w:vAlign w:val="center"/>
          </w:tcPr>
          <w:p>
            <w:pPr>
              <w:widowControl/>
              <w:spacing w:line="246" w:lineRule="exact"/>
              <w:jc w:val="center"/>
              <w:rPr>
                <w:color w:val="000000"/>
                <w:kern w:val="0"/>
                <w:sz w:val="20"/>
                <w:szCs w:val="20"/>
              </w:rPr>
            </w:pPr>
            <w:r>
              <w:rPr>
                <w:color w:val="000000"/>
                <w:kern w:val="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5" w:hRule="atLeast"/>
          <w:jc w:val="center"/>
        </w:trPr>
        <w:tc>
          <w:tcPr>
            <w:tcW w:w="1138" w:type="dxa"/>
            <w:vMerge w:val="continue"/>
            <w:vAlign w:val="center"/>
          </w:tcPr>
          <w:p>
            <w:pPr>
              <w:widowControl/>
              <w:spacing w:line="246" w:lineRule="exact"/>
              <w:jc w:val="left"/>
              <w:rPr>
                <w:rFonts w:ascii="仿宋_GB2312" w:hAnsi="宋体" w:eastAsia="仿宋_GB2312" w:cs="宋体"/>
                <w:color w:val="000000"/>
                <w:kern w:val="0"/>
                <w:sz w:val="20"/>
                <w:szCs w:val="20"/>
              </w:rPr>
            </w:pPr>
          </w:p>
        </w:tc>
        <w:tc>
          <w:tcPr>
            <w:tcW w:w="1085" w:type="dxa"/>
            <w:vMerge w:val="continue"/>
            <w:vAlign w:val="center"/>
          </w:tcPr>
          <w:p>
            <w:pPr>
              <w:widowControl/>
              <w:spacing w:line="246" w:lineRule="exact"/>
              <w:jc w:val="left"/>
              <w:rPr>
                <w:rFonts w:ascii="仿宋_GB2312" w:hAnsi="宋体" w:eastAsia="仿宋_GB2312" w:cs="宋体"/>
                <w:color w:val="000000"/>
                <w:kern w:val="0"/>
                <w:sz w:val="20"/>
                <w:szCs w:val="20"/>
              </w:rPr>
            </w:pPr>
          </w:p>
        </w:tc>
        <w:tc>
          <w:tcPr>
            <w:tcW w:w="1097" w:type="dxa"/>
            <w:shd w:val="clear" w:color="auto" w:fill="auto"/>
            <w:vAlign w:val="center"/>
          </w:tcPr>
          <w:p>
            <w:pPr>
              <w:widowControl/>
              <w:spacing w:line="246" w:lineRule="exact"/>
              <w:jc w:val="left"/>
              <w:rPr>
                <w:color w:val="000000"/>
                <w:kern w:val="0"/>
                <w:sz w:val="20"/>
                <w:szCs w:val="20"/>
              </w:rPr>
            </w:pPr>
            <w:r>
              <w:rPr>
                <w:color w:val="000000"/>
                <w:kern w:val="0"/>
                <w:sz w:val="20"/>
                <w:szCs w:val="20"/>
              </w:rPr>
              <w:t>“</w:t>
            </w:r>
            <w:r>
              <w:rPr>
                <w:rFonts w:hint="eastAsia" w:ascii="仿宋_GB2312" w:eastAsia="仿宋_GB2312"/>
                <w:color w:val="000000"/>
                <w:kern w:val="0"/>
                <w:sz w:val="20"/>
                <w:szCs w:val="20"/>
              </w:rPr>
              <w:t>三公经费</w:t>
            </w:r>
            <w:r>
              <w:rPr>
                <w:color w:val="000000"/>
                <w:kern w:val="0"/>
                <w:sz w:val="20"/>
                <w:szCs w:val="20"/>
              </w:rPr>
              <w:t>”</w:t>
            </w:r>
            <w:r>
              <w:rPr>
                <w:rFonts w:hint="eastAsia" w:ascii="仿宋_GB2312" w:eastAsia="仿宋_GB2312"/>
                <w:color w:val="000000"/>
                <w:kern w:val="0"/>
                <w:sz w:val="20"/>
                <w:szCs w:val="20"/>
              </w:rPr>
              <w:t>变动率</w:t>
            </w:r>
          </w:p>
        </w:tc>
        <w:tc>
          <w:tcPr>
            <w:tcW w:w="472" w:type="dxa"/>
            <w:shd w:val="clear" w:color="auto" w:fill="auto"/>
            <w:vAlign w:val="center"/>
          </w:tcPr>
          <w:p>
            <w:pPr>
              <w:widowControl/>
              <w:spacing w:line="246" w:lineRule="exact"/>
              <w:jc w:val="center"/>
              <w:rPr>
                <w:color w:val="000000"/>
                <w:kern w:val="0"/>
                <w:sz w:val="20"/>
                <w:szCs w:val="20"/>
              </w:rPr>
            </w:pPr>
            <w:r>
              <w:rPr>
                <w:color w:val="000000"/>
                <w:kern w:val="0"/>
                <w:sz w:val="20"/>
                <w:szCs w:val="20"/>
              </w:rPr>
              <w:t>5</w:t>
            </w:r>
          </w:p>
        </w:tc>
        <w:tc>
          <w:tcPr>
            <w:tcW w:w="2968" w:type="dxa"/>
            <w:shd w:val="clear" w:color="auto" w:fill="auto"/>
            <w:vAlign w:val="center"/>
          </w:tcPr>
          <w:p>
            <w:pPr>
              <w:widowControl/>
              <w:spacing w:line="246" w:lineRule="exact"/>
              <w:jc w:val="left"/>
              <w:rPr>
                <w:color w:val="000000"/>
                <w:kern w:val="0"/>
                <w:sz w:val="20"/>
                <w:szCs w:val="20"/>
              </w:rPr>
            </w:pPr>
            <w:r>
              <w:rPr>
                <w:color w:val="000000"/>
                <w:kern w:val="0"/>
                <w:sz w:val="20"/>
                <w:szCs w:val="20"/>
              </w:rPr>
              <w:t>“</w:t>
            </w:r>
            <w:r>
              <w:rPr>
                <w:rFonts w:hint="eastAsia" w:ascii="仿宋_GB2312" w:eastAsia="仿宋_GB2312"/>
                <w:color w:val="000000"/>
                <w:kern w:val="0"/>
                <w:sz w:val="20"/>
                <w:szCs w:val="20"/>
              </w:rPr>
              <w:t>三公经费</w:t>
            </w:r>
            <w:r>
              <w:rPr>
                <w:color w:val="000000"/>
                <w:kern w:val="0"/>
                <w:sz w:val="20"/>
                <w:szCs w:val="20"/>
              </w:rPr>
              <w:t>”</w:t>
            </w:r>
            <w:r>
              <w:rPr>
                <w:rFonts w:hint="eastAsia" w:ascii="仿宋_GB2312" w:eastAsia="仿宋_GB2312"/>
                <w:color w:val="000000"/>
                <w:kern w:val="0"/>
                <w:sz w:val="20"/>
                <w:szCs w:val="20"/>
              </w:rPr>
              <w:t>变动率</w:t>
            </w:r>
            <w:r>
              <w:rPr>
                <w:rFonts w:hint="eastAsia" w:ascii="宋体" w:hAnsi="宋体"/>
                <w:color w:val="000000"/>
                <w:kern w:val="0"/>
                <w:sz w:val="20"/>
                <w:szCs w:val="20"/>
              </w:rPr>
              <w:t>≦</w:t>
            </w:r>
            <w:r>
              <w:rPr>
                <w:color w:val="000000"/>
                <w:kern w:val="0"/>
                <w:sz w:val="20"/>
                <w:szCs w:val="20"/>
              </w:rPr>
              <w:t>0,</w:t>
            </w:r>
            <w:r>
              <w:rPr>
                <w:rFonts w:hint="eastAsia" w:ascii="仿宋_GB2312" w:eastAsia="仿宋_GB2312"/>
                <w:color w:val="000000"/>
                <w:kern w:val="0"/>
                <w:sz w:val="20"/>
                <w:szCs w:val="20"/>
              </w:rPr>
              <w:t>计</w:t>
            </w:r>
            <w:r>
              <w:rPr>
                <w:color w:val="000000"/>
                <w:kern w:val="0"/>
                <w:sz w:val="20"/>
                <w:szCs w:val="20"/>
              </w:rPr>
              <w:t>8</w:t>
            </w:r>
            <w:r>
              <w:rPr>
                <w:rFonts w:hint="eastAsia" w:ascii="仿宋_GB2312" w:eastAsia="仿宋_GB2312"/>
                <w:color w:val="000000"/>
                <w:kern w:val="0"/>
                <w:sz w:val="20"/>
                <w:szCs w:val="20"/>
              </w:rPr>
              <w:t>分；</w:t>
            </w:r>
            <w:r>
              <w:rPr>
                <w:color w:val="000000"/>
                <w:kern w:val="0"/>
                <w:sz w:val="20"/>
                <w:szCs w:val="20"/>
              </w:rPr>
              <w:t>“</w:t>
            </w:r>
            <w:r>
              <w:rPr>
                <w:rFonts w:hint="eastAsia" w:ascii="仿宋_GB2312" w:eastAsia="仿宋_GB2312"/>
                <w:color w:val="000000"/>
                <w:kern w:val="0"/>
                <w:sz w:val="20"/>
                <w:szCs w:val="20"/>
              </w:rPr>
              <w:t>三公经费</w:t>
            </w:r>
            <w:r>
              <w:rPr>
                <w:color w:val="000000"/>
                <w:kern w:val="0"/>
                <w:sz w:val="20"/>
                <w:szCs w:val="20"/>
              </w:rPr>
              <w:t>”</w:t>
            </w:r>
            <w:r>
              <w:rPr>
                <w:rFonts w:hint="eastAsia" w:ascii="仿宋_GB2312" w:eastAsia="仿宋_GB2312"/>
                <w:color w:val="000000"/>
                <w:kern w:val="0"/>
                <w:sz w:val="20"/>
                <w:szCs w:val="20"/>
              </w:rPr>
              <w:t>＞</w:t>
            </w:r>
            <w:r>
              <w:rPr>
                <w:color w:val="000000"/>
                <w:kern w:val="0"/>
                <w:sz w:val="20"/>
                <w:szCs w:val="20"/>
              </w:rPr>
              <w:t>0</w:t>
            </w:r>
            <w:r>
              <w:rPr>
                <w:rFonts w:hint="eastAsia" w:ascii="仿宋_GB2312" w:eastAsia="仿宋_GB2312"/>
                <w:color w:val="000000"/>
                <w:kern w:val="0"/>
                <w:sz w:val="20"/>
                <w:szCs w:val="20"/>
              </w:rPr>
              <w:t>，每超过一个百分点扣</w:t>
            </w:r>
            <w:r>
              <w:rPr>
                <w:color w:val="000000"/>
                <w:kern w:val="0"/>
                <w:sz w:val="20"/>
                <w:szCs w:val="20"/>
              </w:rPr>
              <w:t>0.8</w:t>
            </w:r>
            <w:r>
              <w:rPr>
                <w:rFonts w:hint="eastAsia" w:ascii="仿宋_GB2312" w:eastAsia="仿宋_GB2312"/>
                <w:color w:val="000000"/>
                <w:kern w:val="0"/>
                <w:sz w:val="20"/>
                <w:szCs w:val="20"/>
              </w:rPr>
              <w:t>分，扣完为止。</w:t>
            </w:r>
          </w:p>
        </w:tc>
        <w:tc>
          <w:tcPr>
            <w:tcW w:w="3248" w:type="dxa"/>
            <w:shd w:val="clear" w:color="auto" w:fill="auto"/>
            <w:vAlign w:val="center"/>
          </w:tcPr>
          <w:p>
            <w:pPr>
              <w:widowControl/>
              <w:spacing w:line="246" w:lineRule="exact"/>
              <w:jc w:val="left"/>
              <w:rPr>
                <w:color w:val="000000"/>
                <w:kern w:val="0"/>
                <w:sz w:val="20"/>
                <w:szCs w:val="20"/>
              </w:rPr>
            </w:pPr>
            <w:r>
              <w:rPr>
                <w:color w:val="000000"/>
                <w:kern w:val="0"/>
                <w:sz w:val="20"/>
                <w:szCs w:val="20"/>
              </w:rPr>
              <w:t>“</w:t>
            </w:r>
            <w:r>
              <w:rPr>
                <w:rFonts w:hint="eastAsia" w:ascii="仿宋_GB2312" w:eastAsia="仿宋_GB2312"/>
                <w:color w:val="000000"/>
                <w:kern w:val="0"/>
                <w:sz w:val="20"/>
                <w:szCs w:val="20"/>
              </w:rPr>
              <w:t>三公经费</w:t>
            </w:r>
            <w:r>
              <w:rPr>
                <w:color w:val="000000"/>
                <w:kern w:val="0"/>
                <w:sz w:val="20"/>
                <w:szCs w:val="20"/>
              </w:rPr>
              <w:t>”</w:t>
            </w:r>
            <w:r>
              <w:rPr>
                <w:rFonts w:hint="eastAsia" w:ascii="仿宋_GB2312" w:eastAsia="仿宋_GB2312"/>
                <w:color w:val="000000"/>
                <w:kern w:val="0"/>
                <w:sz w:val="20"/>
                <w:szCs w:val="20"/>
              </w:rPr>
              <w:t>变动率</w:t>
            </w:r>
            <w:r>
              <w:rPr>
                <w:color w:val="000000"/>
                <w:kern w:val="0"/>
                <w:sz w:val="20"/>
                <w:szCs w:val="20"/>
              </w:rPr>
              <w:t>=[</w:t>
            </w:r>
            <w:r>
              <w:rPr>
                <w:rFonts w:hint="eastAsia" w:ascii="仿宋_GB2312" w:eastAsia="仿宋_GB2312"/>
                <w:color w:val="000000"/>
                <w:kern w:val="0"/>
                <w:sz w:val="20"/>
                <w:szCs w:val="20"/>
              </w:rPr>
              <w:t>（本年度</w:t>
            </w:r>
            <w:r>
              <w:rPr>
                <w:color w:val="000000"/>
                <w:kern w:val="0"/>
                <w:sz w:val="20"/>
                <w:szCs w:val="20"/>
              </w:rPr>
              <w:t>“</w:t>
            </w:r>
            <w:r>
              <w:rPr>
                <w:rFonts w:hint="eastAsia" w:ascii="仿宋_GB2312" w:eastAsia="仿宋_GB2312"/>
                <w:color w:val="000000"/>
                <w:kern w:val="0"/>
                <w:sz w:val="20"/>
                <w:szCs w:val="20"/>
              </w:rPr>
              <w:t>三公经费</w:t>
            </w:r>
            <w:r>
              <w:rPr>
                <w:color w:val="000000"/>
                <w:kern w:val="0"/>
                <w:sz w:val="20"/>
                <w:szCs w:val="20"/>
              </w:rPr>
              <w:t>”</w:t>
            </w:r>
            <w:r>
              <w:rPr>
                <w:rFonts w:hint="eastAsia" w:ascii="仿宋_GB2312" w:eastAsia="仿宋_GB2312"/>
                <w:color w:val="000000"/>
                <w:kern w:val="0"/>
                <w:sz w:val="20"/>
                <w:szCs w:val="20"/>
              </w:rPr>
              <w:t>预算数</w:t>
            </w:r>
            <w:r>
              <w:rPr>
                <w:color w:val="000000"/>
                <w:kern w:val="0"/>
                <w:sz w:val="20"/>
                <w:szCs w:val="20"/>
              </w:rPr>
              <w:t>-</w:t>
            </w:r>
            <w:r>
              <w:rPr>
                <w:rFonts w:hint="eastAsia" w:ascii="仿宋_GB2312" w:eastAsia="仿宋_GB2312"/>
                <w:color w:val="000000"/>
                <w:kern w:val="0"/>
                <w:sz w:val="20"/>
                <w:szCs w:val="20"/>
              </w:rPr>
              <w:t>上年度</w:t>
            </w:r>
            <w:r>
              <w:rPr>
                <w:color w:val="000000"/>
                <w:kern w:val="0"/>
                <w:sz w:val="20"/>
                <w:szCs w:val="20"/>
              </w:rPr>
              <w:t>“</w:t>
            </w:r>
            <w:r>
              <w:rPr>
                <w:rFonts w:hint="eastAsia" w:ascii="仿宋_GB2312" w:eastAsia="仿宋_GB2312"/>
                <w:color w:val="000000"/>
                <w:kern w:val="0"/>
                <w:sz w:val="20"/>
                <w:szCs w:val="20"/>
              </w:rPr>
              <w:t>三公经费</w:t>
            </w:r>
            <w:r>
              <w:rPr>
                <w:color w:val="000000"/>
                <w:kern w:val="0"/>
                <w:sz w:val="20"/>
                <w:szCs w:val="20"/>
              </w:rPr>
              <w:t>”</w:t>
            </w:r>
            <w:r>
              <w:rPr>
                <w:rFonts w:hint="eastAsia" w:ascii="仿宋_GB2312" w:eastAsia="仿宋_GB2312"/>
                <w:color w:val="000000"/>
                <w:kern w:val="0"/>
                <w:sz w:val="20"/>
                <w:szCs w:val="20"/>
              </w:rPr>
              <w:t>预算数）</w:t>
            </w:r>
            <w:r>
              <w:rPr>
                <w:color w:val="000000"/>
                <w:kern w:val="0"/>
                <w:sz w:val="20"/>
                <w:szCs w:val="20"/>
              </w:rPr>
              <w:t>/</w:t>
            </w:r>
            <w:r>
              <w:rPr>
                <w:rFonts w:hint="eastAsia" w:ascii="仿宋_GB2312" w:eastAsia="仿宋_GB2312"/>
                <w:color w:val="000000"/>
                <w:kern w:val="0"/>
                <w:sz w:val="20"/>
                <w:szCs w:val="20"/>
              </w:rPr>
              <w:t>上年度</w:t>
            </w:r>
            <w:r>
              <w:rPr>
                <w:color w:val="000000"/>
                <w:kern w:val="0"/>
                <w:sz w:val="20"/>
                <w:szCs w:val="20"/>
              </w:rPr>
              <w:t>“</w:t>
            </w:r>
            <w:r>
              <w:rPr>
                <w:rFonts w:hint="eastAsia" w:ascii="仿宋_GB2312" w:eastAsia="仿宋_GB2312"/>
                <w:color w:val="000000"/>
                <w:kern w:val="0"/>
                <w:sz w:val="20"/>
                <w:szCs w:val="20"/>
              </w:rPr>
              <w:t>三公经费</w:t>
            </w:r>
            <w:r>
              <w:rPr>
                <w:color w:val="000000"/>
                <w:kern w:val="0"/>
                <w:sz w:val="20"/>
                <w:szCs w:val="20"/>
              </w:rPr>
              <w:t>”</w:t>
            </w:r>
            <w:r>
              <w:rPr>
                <w:rFonts w:hint="eastAsia" w:ascii="仿宋_GB2312" w:eastAsia="仿宋_GB2312"/>
                <w:color w:val="000000"/>
                <w:kern w:val="0"/>
                <w:sz w:val="20"/>
                <w:szCs w:val="20"/>
              </w:rPr>
              <w:t>预算数</w:t>
            </w:r>
            <w:r>
              <w:rPr>
                <w:color w:val="000000"/>
                <w:kern w:val="0"/>
                <w:sz w:val="20"/>
                <w:szCs w:val="20"/>
              </w:rPr>
              <w:t>]×100%</w:t>
            </w:r>
          </w:p>
        </w:tc>
        <w:tc>
          <w:tcPr>
            <w:tcW w:w="4583" w:type="dxa"/>
            <w:shd w:val="clear" w:color="auto" w:fill="auto"/>
            <w:vAlign w:val="center"/>
          </w:tcPr>
          <w:p>
            <w:pPr>
              <w:widowControl/>
              <w:spacing w:line="246"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2017年 “三公”经费预算为566.66万元，2016年“三公”经费预算605.45万元，“三公经费”变动率=(566.66-605.45) /605.45=-6.41%</w:t>
            </w:r>
          </w:p>
        </w:tc>
        <w:tc>
          <w:tcPr>
            <w:tcW w:w="560" w:type="dxa"/>
            <w:shd w:val="clear" w:color="auto" w:fill="auto"/>
            <w:vAlign w:val="center"/>
          </w:tcPr>
          <w:p>
            <w:pPr>
              <w:widowControl/>
              <w:spacing w:line="246" w:lineRule="exact"/>
              <w:jc w:val="center"/>
              <w:rPr>
                <w:color w:val="000000"/>
                <w:kern w:val="0"/>
                <w:sz w:val="20"/>
                <w:szCs w:val="20"/>
              </w:rPr>
            </w:pPr>
            <w:r>
              <w:rPr>
                <w:color w:val="000000"/>
                <w:kern w:val="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40" w:hRule="atLeast"/>
          <w:jc w:val="center"/>
        </w:trPr>
        <w:tc>
          <w:tcPr>
            <w:tcW w:w="1138" w:type="dxa"/>
            <w:vMerge w:val="restart"/>
            <w:shd w:val="clear" w:color="auto" w:fill="auto"/>
            <w:vAlign w:val="center"/>
          </w:tcPr>
          <w:p>
            <w:pPr>
              <w:widowControl/>
              <w:spacing w:line="246" w:lineRule="exact"/>
              <w:jc w:val="center"/>
              <w:rPr>
                <w:rFonts w:ascii="仿宋_GB2312" w:hAnsi="宋体" w:eastAsia="仿宋_GB2312" w:cs="宋体"/>
                <w:color w:val="000000"/>
                <w:kern w:val="0"/>
                <w:sz w:val="20"/>
                <w:szCs w:val="20"/>
              </w:rPr>
            </w:pPr>
            <w:r>
              <w:rPr>
                <w:rFonts w:hint="eastAsia" w:ascii="宋体" w:hAnsi="宋体" w:cs="宋体"/>
                <w:color w:val="000000"/>
                <w:kern w:val="0"/>
                <w:sz w:val="20"/>
                <w:szCs w:val="20"/>
              </w:rPr>
              <w:t>过</w:t>
            </w:r>
            <w:r>
              <w:rPr>
                <w:rFonts w:hint="eastAsia" w:ascii="仿宋_GB2312" w:hAnsi="宋体" w:eastAsia="仿宋_GB2312" w:cs="宋体"/>
                <w:color w:val="000000"/>
                <w:kern w:val="0"/>
                <w:sz w:val="20"/>
                <w:szCs w:val="20"/>
              </w:rPr>
              <w:t>程</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（60分）</w:t>
            </w:r>
          </w:p>
        </w:tc>
        <w:tc>
          <w:tcPr>
            <w:tcW w:w="1085" w:type="dxa"/>
            <w:vMerge w:val="restart"/>
            <w:shd w:val="clear" w:color="auto" w:fill="auto"/>
            <w:vAlign w:val="center"/>
          </w:tcPr>
          <w:p>
            <w:pPr>
              <w:widowControl/>
              <w:spacing w:line="246" w:lineRule="exact"/>
              <w:jc w:val="center"/>
              <w:rPr>
                <w:rFonts w:ascii="仿宋_GB2312" w:hAnsi="宋体" w:eastAsia="仿宋_GB2312" w:cs="宋体"/>
                <w:color w:val="000000"/>
                <w:kern w:val="0"/>
                <w:sz w:val="20"/>
                <w:szCs w:val="20"/>
              </w:rPr>
            </w:pPr>
            <w:r>
              <w:rPr>
                <w:rFonts w:hint="eastAsia" w:ascii="宋体" w:hAnsi="宋体" w:cs="宋体"/>
                <w:color w:val="000000"/>
                <w:kern w:val="0"/>
                <w:sz w:val="20"/>
                <w:szCs w:val="20"/>
              </w:rPr>
              <w:t>预</w:t>
            </w:r>
            <w:r>
              <w:rPr>
                <w:rFonts w:hint="eastAsia" w:ascii="仿宋_GB2312" w:hAnsi="宋体" w:eastAsia="仿宋_GB2312" w:cs="宋体"/>
                <w:color w:val="000000"/>
                <w:kern w:val="0"/>
                <w:sz w:val="20"/>
                <w:szCs w:val="20"/>
              </w:rPr>
              <w:t>算</w:t>
            </w:r>
            <w:r>
              <w:rPr>
                <w:rFonts w:hint="eastAsia" w:ascii="宋体" w:hAnsi="宋体" w:cs="宋体"/>
                <w:color w:val="000000"/>
                <w:kern w:val="0"/>
                <w:sz w:val="20"/>
                <w:szCs w:val="20"/>
              </w:rPr>
              <w:t>执</w:t>
            </w:r>
            <w:r>
              <w:rPr>
                <w:rFonts w:hint="eastAsia" w:ascii="仿宋_GB2312" w:hAnsi="宋体" w:eastAsia="仿宋_GB2312" w:cs="宋体"/>
                <w:color w:val="000000"/>
                <w:kern w:val="0"/>
                <w:sz w:val="20"/>
                <w:szCs w:val="20"/>
              </w:rPr>
              <w:t>行</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（20分）</w:t>
            </w:r>
          </w:p>
        </w:tc>
        <w:tc>
          <w:tcPr>
            <w:tcW w:w="1097"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预算完成率</w:t>
            </w:r>
          </w:p>
        </w:tc>
        <w:tc>
          <w:tcPr>
            <w:tcW w:w="472" w:type="dxa"/>
            <w:shd w:val="clear" w:color="auto" w:fill="auto"/>
            <w:vAlign w:val="center"/>
          </w:tcPr>
          <w:p>
            <w:pPr>
              <w:widowControl/>
              <w:spacing w:line="246" w:lineRule="exact"/>
              <w:jc w:val="center"/>
              <w:rPr>
                <w:color w:val="000000"/>
                <w:kern w:val="0"/>
                <w:sz w:val="20"/>
                <w:szCs w:val="20"/>
              </w:rPr>
            </w:pPr>
            <w:r>
              <w:rPr>
                <w:color w:val="000000"/>
                <w:kern w:val="0"/>
                <w:sz w:val="20"/>
                <w:szCs w:val="20"/>
              </w:rPr>
              <w:t>5</w:t>
            </w:r>
          </w:p>
        </w:tc>
        <w:tc>
          <w:tcPr>
            <w:tcW w:w="2968" w:type="dxa"/>
            <w:shd w:val="clear" w:color="auto" w:fill="auto"/>
            <w:vAlign w:val="center"/>
          </w:tcPr>
          <w:p>
            <w:pPr>
              <w:widowControl/>
              <w:spacing w:line="246" w:lineRule="exact"/>
              <w:jc w:val="left"/>
              <w:rPr>
                <w:color w:val="000000"/>
                <w:kern w:val="0"/>
                <w:sz w:val="20"/>
                <w:szCs w:val="20"/>
              </w:rPr>
            </w:pPr>
            <w:r>
              <w:rPr>
                <w:color w:val="000000"/>
                <w:kern w:val="0"/>
                <w:sz w:val="20"/>
                <w:szCs w:val="20"/>
              </w:rPr>
              <w:t>100%</w:t>
            </w:r>
            <w:r>
              <w:rPr>
                <w:rFonts w:hint="eastAsia" w:ascii="仿宋_GB2312" w:eastAsia="仿宋_GB2312"/>
                <w:color w:val="000000"/>
                <w:kern w:val="0"/>
                <w:sz w:val="20"/>
                <w:szCs w:val="20"/>
              </w:rPr>
              <w:t>计满分，每低于</w:t>
            </w:r>
            <w:r>
              <w:rPr>
                <w:color w:val="000000"/>
                <w:kern w:val="0"/>
                <w:sz w:val="20"/>
                <w:szCs w:val="20"/>
              </w:rPr>
              <w:t>5%</w:t>
            </w:r>
            <w:r>
              <w:rPr>
                <w:rFonts w:hint="eastAsia" w:ascii="仿宋_GB2312" w:eastAsia="仿宋_GB2312"/>
                <w:color w:val="000000"/>
                <w:kern w:val="0"/>
                <w:sz w:val="20"/>
                <w:szCs w:val="20"/>
              </w:rPr>
              <w:t>扣</w:t>
            </w:r>
            <w:r>
              <w:rPr>
                <w:color w:val="000000"/>
                <w:kern w:val="0"/>
                <w:sz w:val="20"/>
                <w:szCs w:val="20"/>
              </w:rPr>
              <w:t>2</w:t>
            </w:r>
            <w:r>
              <w:rPr>
                <w:rFonts w:hint="eastAsia" w:ascii="仿宋_GB2312" w:eastAsia="仿宋_GB2312"/>
                <w:color w:val="000000"/>
                <w:kern w:val="0"/>
                <w:sz w:val="20"/>
                <w:szCs w:val="20"/>
              </w:rPr>
              <w:t>分，扣完为止。</w:t>
            </w:r>
          </w:p>
        </w:tc>
        <w:tc>
          <w:tcPr>
            <w:tcW w:w="3248"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预算完成率</w:t>
            </w:r>
            <w:r>
              <w:rPr>
                <w:rFonts w:eastAsia="仿宋_GB2312"/>
                <w:color w:val="000000"/>
                <w:kern w:val="0"/>
                <w:sz w:val="20"/>
                <w:szCs w:val="20"/>
              </w:rPr>
              <w:t>=</w:t>
            </w:r>
            <w:r>
              <w:rPr>
                <w:rFonts w:hint="eastAsia" w:ascii="仿宋_GB2312" w:hAnsi="宋体" w:eastAsia="仿宋_GB2312" w:cs="宋体"/>
                <w:color w:val="000000"/>
                <w:kern w:val="0"/>
                <w:sz w:val="20"/>
                <w:szCs w:val="20"/>
              </w:rPr>
              <w:t>（上年结转</w:t>
            </w:r>
            <w:r>
              <w:rPr>
                <w:rFonts w:eastAsia="仿宋_GB2312"/>
                <w:color w:val="000000"/>
                <w:kern w:val="0"/>
                <w:sz w:val="20"/>
                <w:szCs w:val="20"/>
              </w:rPr>
              <w:t>+</w:t>
            </w:r>
            <w:r>
              <w:rPr>
                <w:rFonts w:hint="eastAsia" w:ascii="仿宋_GB2312" w:hAnsi="宋体" w:eastAsia="仿宋_GB2312" w:cs="宋体"/>
                <w:color w:val="000000"/>
                <w:kern w:val="0"/>
                <w:sz w:val="20"/>
                <w:szCs w:val="20"/>
              </w:rPr>
              <w:t>年初预算</w:t>
            </w:r>
            <w:r>
              <w:rPr>
                <w:rFonts w:eastAsia="仿宋_GB2312"/>
                <w:color w:val="000000"/>
                <w:kern w:val="0"/>
                <w:sz w:val="20"/>
                <w:szCs w:val="20"/>
              </w:rPr>
              <w:t>+</w:t>
            </w:r>
            <w:r>
              <w:rPr>
                <w:rFonts w:hint="eastAsia" w:ascii="仿宋_GB2312" w:hAnsi="宋体" w:eastAsia="仿宋_GB2312" w:cs="宋体"/>
                <w:color w:val="000000"/>
                <w:kern w:val="0"/>
                <w:sz w:val="20"/>
                <w:szCs w:val="20"/>
              </w:rPr>
              <w:t>本年追加预算</w:t>
            </w:r>
            <w:r>
              <w:rPr>
                <w:rFonts w:eastAsia="仿宋_GB2312"/>
                <w:color w:val="000000"/>
                <w:kern w:val="0"/>
                <w:sz w:val="20"/>
                <w:szCs w:val="20"/>
              </w:rPr>
              <w:t>-</w:t>
            </w:r>
            <w:r>
              <w:rPr>
                <w:rFonts w:hint="eastAsia" w:ascii="仿宋_GB2312" w:hAnsi="宋体" w:eastAsia="仿宋_GB2312" w:cs="宋体"/>
                <w:color w:val="000000"/>
                <w:kern w:val="0"/>
                <w:sz w:val="20"/>
                <w:szCs w:val="20"/>
              </w:rPr>
              <w:t>年末结余）</w:t>
            </w:r>
            <w:r>
              <w:rPr>
                <w:rFonts w:eastAsia="仿宋_GB2312"/>
                <w:color w:val="000000"/>
                <w:kern w:val="0"/>
                <w:sz w:val="20"/>
                <w:szCs w:val="20"/>
              </w:rPr>
              <w:t>/</w:t>
            </w:r>
            <w:r>
              <w:rPr>
                <w:rFonts w:hint="eastAsia" w:ascii="仿宋_GB2312" w:hAnsi="宋体" w:eastAsia="仿宋_GB2312" w:cs="宋体"/>
                <w:color w:val="000000"/>
                <w:kern w:val="0"/>
                <w:sz w:val="20"/>
                <w:szCs w:val="20"/>
              </w:rPr>
              <w:t>（上年结转</w:t>
            </w:r>
            <w:r>
              <w:rPr>
                <w:rFonts w:eastAsia="仿宋_GB2312"/>
                <w:color w:val="000000"/>
                <w:kern w:val="0"/>
                <w:sz w:val="20"/>
                <w:szCs w:val="20"/>
              </w:rPr>
              <w:t>+</w:t>
            </w:r>
            <w:r>
              <w:rPr>
                <w:rFonts w:hint="eastAsia" w:ascii="仿宋_GB2312" w:hAnsi="宋体" w:eastAsia="仿宋_GB2312" w:cs="宋体"/>
                <w:color w:val="000000"/>
                <w:kern w:val="0"/>
                <w:sz w:val="20"/>
                <w:szCs w:val="20"/>
              </w:rPr>
              <w:t>年初预算</w:t>
            </w:r>
            <w:r>
              <w:rPr>
                <w:rFonts w:eastAsia="仿宋_GB2312"/>
                <w:color w:val="000000"/>
                <w:kern w:val="0"/>
                <w:sz w:val="20"/>
                <w:szCs w:val="20"/>
              </w:rPr>
              <w:t>+</w:t>
            </w:r>
            <w:r>
              <w:rPr>
                <w:rFonts w:hint="eastAsia" w:ascii="仿宋_GB2312" w:hAnsi="宋体" w:eastAsia="仿宋_GB2312" w:cs="宋体"/>
                <w:color w:val="000000"/>
                <w:kern w:val="0"/>
                <w:sz w:val="20"/>
                <w:szCs w:val="20"/>
              </w:rPr>
              <w:t>本年追加预算）</w:t>
            </w:r>
            <w:r>
              <w:rPr>
                <w:rFonts w:eastAsia="仿宋_GB2312"/>
                <w:color w:val="000000"/>
                <w:kern w:val="0"/>
                <w:sz w:val="20"/>
                <w:szCs w:val="20"/>
              </w:rPr>
              <w:t>×100%</w:t>
            </w:r>
            <w:r>
              <w:rPr>
                <w:rFonts w:hint="eastAsia" w:ascii="仿宋_GB2312" w:hAnsi="宋体" w:eastAsia="仿宋_GB2312" w:cs="宋体"/>
                <w:color w:val="000000"/>
                <w:kern w:val="0"/>
                <w:sz w:val="20"/>
                <w:szCs w:val="20"/>
              </w:rPr>
              <w:t>。</w:t>
            </w:r>
          </w:p>
        </w:tc>
        <w:tc>
          <w:tcPr>
            <w:tcW w:w="4583" w:type="dxa"/>
            <w:shd w:val="clear" w:color="auto" w:fill="auto"/>
            <w:vAlign w:val="center"/>
          </w:tcPr>
          <w:p>
            <w:pPr>
              <w:widowControl/>
              <w:spacing w:line="246"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预算完成率=（46582.39-9250.77+4852.03）/46582.39*100%=90.56%（剔除以下客观因素：按进度付款代拨专项经费2338.03万元、跨年执行重大项目前期费1,216.60万元、按进度付款专项资金1297.40万元。</w:t>
            </w:r>
          </w:p>
        </w:tc>
        <w:tc>
          <w:tcPr>
            <w:tcW w:w="560" w:type="dxa"/>
            <w:shd w:val="clear" w:color="auto" w:fill="auto"/>
            <w:vAlign w:val="center"/>
          </w:tcPr>
          <w:p>
            <w:pPr>
              <w:widowControl/>
              <w:spacing w:line="246" w:lineRule="exact"/>
              <w:jc w:val="center"/>
              <w:rPr>
                <w:color w:val="000000"/>
                <w:kern w:val="0"/>
                <w:sz w:val="20"/>
                <w:szCs w:val="20"/>
              </w:rPr>
            </w:pPr>
            <w:r>
              <w:rPr>
                <w:color w:val="000000"/>
                <w:kern w:val="0"/>
                <w:sz w:val="20"/>
                <w:szCs w:val="20"/>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42" w:hRule="atLeast"/>
          <w:jc w:val="center"/>
        </w:trPr>
        <w:tc>
          <w:tcPr>
            <w:tcW w:w="1138" w:type="dxa"/>
            <w:vMerge w:val="continue"/>
            <w:vAlign w:val="center"/>
          </w:tcPr>
          <w:p>
            <w:pPr>
              <w:widowControl/>
              <w:spacing w:line="246" w:lineRule="exact"/>
              <w:jc w:val="left"/>
              <w:rPr>
                <w:rFonts w:ascii="仿宋_GB2312" w:hAnsi="宋体" w:eastAsia="仿宋_GB2312" w:cs="宋体"/>
                <w:color w:val="000000"/>
                <w:kern w:val="0"/>
                <w:sz w:val="20"/>
                <w:szCs w:val="20"/>
              </w:rPr>
            </w:pPr>
          </w:p>
        </w:tc>
        <w:tc>
          <w:tcPr>
            <w:tcW w:w="1085" w:type="dxa"/>
            <w:vMerge w:val="continue"/>
            <w:vAlign w:val="center"/>
          </w:tcPr>
          <w:p>
            <w:pPr>
              <w:widowControl/>
              <w:spacing w:line="246" w:lineRule="exact"/>
              <w:jc w:val="left"/>
              <w:rPr>
                <w:rFonts w:ascii="仿宋_GB2312" w:hAnsi="宋体" w:eastAsia="仿宋_GB2312" w:cs="宋体"/>
                <w:color w:val="000000"/>
                <w:kern w:val="0"/>
                <w:sz w:val="20"/>
                <w:szCs w:val="20"/>
              </w:rPr>
            </w:pPr>
          </w:p>
        </w:tc>
        <w:tc>
          <w:tcPr>
            <w:tcW w:w="1097"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预算控制率</w:t>
            </w:r>
          </w:p>
        </w:tc>
        <w:tc>
          <w:tcPr>
            <w:tcW w:w="472" w:type="dxa"/>
            <w:shd w:val="clear" w:color="auto" w:fill="auto"/>
            <w:vAlign w:val="center"/>
          </w:tcPr>
          <w:p>
            <w:pPr>
              <w:widowControl/>
              <w:spacing w:line="246" w:lineRule="exact"/>
              <w:jc w:val="center"/>
              <w:rPr>
                <w:color w:val="000000"/>
                <w:kern w:val="0"/>
                <w:sz w:val="20"/>
                <w:szCs w:val="20"/>
              </w:rPr>
            </w:pPr>
            <w:r>
              <w:rPr>
                <w:color w:val="000000"/>
                <w:kern w:val="0"/>
                <w:sz w:val="20"/>
                <w:szCs w:val="20"/>
              </w:rPr>
              <w:t>5</w:t>
            </w:r>
          </w:p>
        </w:tc>
        <w:tc>
          <w:tcPr>
            <w:tcW w:w="2968"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预算控制率</w:t>
            </w:r>
            <w:r>
              <w:rPr>
                <w:rFonts w:eastAsia="仿宋_GB2312"/>
                <w:color w:val="000000"/>
                <w:kern w:val="0"/>
                <w:sz w:val="20"/>
                <w:szCs w:val="20"/>
              </w:rPr>
              <w:t>=0</w:t>
            </w:r>
            <w:r>
              <w:rPr>
                <w:rFonts w:hint="eastAsia" w:ascii="仿宋_GB2312" w:hAnsi="宋体" w:eastAsia="仿宋_GB2312" w:cs="宋体"/>
                <w:color w:val="000000"/>
                <w:kern w:val="0"/>
                <w:sz w:val="20"/>
                <w:szCs w:val="20"/>
              </w:rPr>
              <w:t>，计</w:t>
            </w:r>
            <w:r>
              <w:rPr>
                <w:rFonts w:eastAsia="仿宋_GB2312"/>
                <w:color w:val="000000"/>
                <w:kern w:val="0"/>
                <w:sz w:val="20"/>
                <w:szCs w:val="20"/>
              </w:rPr>
              <w:t>5</w:t>
            </w:r>
            <w:r>
              <w:rPr>
                <w:rFonts w:hint="eastAsia" w:ascii="仿宋_GB2312" w:hAnsi="宋体" w:eastAsia="仿宋_GB2312" w:cs="宋体"/>
                <w:color w:val="000000"/>
                <w:kern w:val="0"/>
                <w:sz w:val="20"/>
                <w:szCs w:val="20"/>
              </w:rPr>
              <w:t>分；</w:t>
            </w:r>
            <w:r>
              <w:rPr>
                <w:rFonts w:eastAsia="仿宋_GB2312"/>
                <w:color w:val="000000"/>
                <w:kern w:val="0"/>
                <w:sz w:val="20"/>
                <w:szCs w:val="20"/>
              </w:rPr>
              <w:t>0-10%</w:t>
            </w:r>
            <w:r>
              <w:rPr>
                <w:rFonts w:hint="eastAsia" w:ascii="仿宋_GB2312" w:hAnsi="宋体" w:eastAsia="仿宋_GB2312" w:cs="宋体"/>
                <w:color w:val="000000"/>
                <w:kern w:val="0"/>
                <w:sz w:val="20"/>
                <w:szCs w:val="20"/>
              </w:rPr>
              <w:t>（含），计</w:t>
            </w:r>
            <w:r>
              <w:rPr>
                <w:rFonts w:eastAsia="仿宋_GB2312"/>
                <w:color w:val="000000"/>
                <w:kern w:val="0"/>
                <w:sz w:val="20"/>
                <w:szCs w:val="20"/>
              </w:rPr>
              <w:t>4</w:t>
            </w:r>
            <w:r>
              <w:rPr>
                <w:rFonts w:hint="eastAsia" w:ascii="仿宋_GB2312" w:hAnsi="宋体" w:eastAsia="仿宋_GB2312" w:cs="宋体"/>
                <w:color w:val="000000"/>
                <w:kern w:val="0"/>
                <w:sz w:val="20"/>
                <w:szCs w:val="20"/>
              </w:rPr>
              <w:t>分；</w:t>
            </w:r>
            <w:r>
              <w:rPr>
                <w:rFonts w:eastAsia="仿宋_GB2312"/>
                <w:color w:val="000000"/>
                <w:kern w:val="0"/>
                <w:sz w:val="20"/>
                <w:szCs w:val="20"/>
              </w:rPr>
              <w:t>10-20%</w:t>
            </w:r>
            <w:r>
              <w:rPr>
                <w:rFonts w:hint="eastAsia" w:ascii="仿宋_GB2312" w:hAnsi="宋体" w:eastAsia="仿宋_GB2312" w:cs="宋体"/>
                <w:color w:val="000000"/>
                <w:kern w:val="0"/>
                <w:sz w:val="20"/>
                <w:szCs w:val="20"/>
              </w:rPr>
              <w:t>（含），计</w:t>
            </w:r>
            <w:r>
              <w:rPr>
                <w:rFonts w:eastAsia="仿宋_GB2312"/>
                <w:color w:val="000000"/>
                <w:kern w:val="0"/>
                <w:sz w:val="20"/>
                <w:szCs w:val="20"/>
              </w:rPr>
              <w:t>3</w:t>
            </w:r>
            <w:r>
              <w:rPr>
                <w:rFonts w:hint="eastAsia" w:ascii="仿宋_GB2312" w:hAnsi="宋体" w:eastAsia="仿宋_GB2312" w:cs="宋体"/>
                <w:color w:val="000000"/>
                <w:kern w:val="0"/>
                <w:sz w:val="20"/>
                <w:szCs w:val="20"/>
              </w:rPr>
              <w:t>分；</w:t>
            </w:r>
            <w:r>
              <w:rPr>
                <w:rFonts w:eastAsia="仿宋_GB2312"/>
                <w:color w:val="000000"/>
                <w:kern w:val="0"/>
                <w:sz w:val="20"/>
                <w:szCs w:val="20"/>
              </w:rPr>
              <w:t>20-30%</w:t>
            </w:r>
            <w:r>
              <w:rPr>
                <w:rFonts w:hint="eastAsia" w:ascii="仿宋_GB2312" w:hAnsi="宋体" w:eastAsia="仿宋_GB2312" w:cs="宋体"/>
                <w:color w:val="000000"/>
                <w:kern w:val="0"/>
                <w:sz w:val="20"/>
                <w:szCs w:val="20"/>
              </w:rPr>
              <w:t>（含），计</w:t>
            </w:r>
            <w:r>
              <w:rPr>
                <w:rFonts w:eastAsia="仿宋_GB2312"/>
                <w:color w:val="000000"/>
                <w:kern w:val="0"/>
                <w:sz w:val="20"/>
                <w:szCs w:val="20"/>
              </w:rPr>
              <w:t>2</w:t>
            </w:r>
            <w:r>
              <w:rPr>
                <w:rFonts w:hint="eastAsia" w:ascii="仿宋_GB2312" w:hAnsi="宋体" w:eastAsia="仿宋_GB2312" w:cs="宋体"/>
                <w:color w:val="000000"/>
                <w:kern w:val="0"/>
                <w:sz w:val="20"/>
                <w:szCs w:val="20"/>
              </w:rPr>
              <w:t>分；大于</w:t>
            </w:r>
            <w:r>
              <w:rPr>
                <w:rFonts w:eastAsia="仿宋_GB2312"/>
                <w:color w:val="000000"/>
                <w:kern w:val="0"/>
                <w:sz w:val="20"/>
                <w:szCs w:val="20"/>
              </w:rPr>
              <w:t>30%</w:t>
            </w:r>
            <w:r>
              <w:rPr>
                <w:rFonts w:hint="eastAsia" w:ascii="仿宋_GB2312" w:hAnsi="宋体" w:eastAsia="仿宋_GB2312" w:cs="宋体"/>
                <w:color w:val="000000"/>
                <w:kern w:val="0"/>
                <w:sz w:val="20"/>
                <w:szCs w:val="20"/>
              </w:rPr>
              <w:t>不得分。</w:t>
            </w:r>
          </w:p>
        </w:tc>
        <w:tc>
          <w:tcPr>
            <w:tcW w:w="3248" w:type="dxa"/>
            <w:shd w:val="clear" w:color="auto" w:fill="auto"/>
            <w:vAlign w:val="center"/>
          </w:tcPr>
          <w:p>
            <w:pPr>
              <w:widowControl/>
              <w:spacing w:line="246"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预算控制率</w:t>
            </w:r>
            <w:r>
              <w:rPr>
                <w:rFonts w:eastAsia="仿宋_GB2312"/>
                <w:color w:val="000000"/>
                <w:kern w:val="0"/>
                <w:sz w:val="20"/>
                <w:szCs w:val="20"/>
              </w:rPr>
              <w:t>=</w:t>
            </w:r>
            <w:r>
              <w:rPr>
                <w:rFonts w:hint="eastAsia" w:ascii="仿宋_GB2312" w:hAnsi="宋体" w:eastAsia="仿宋_GB2312" w:cs="宋体"/>
                <w:color w:val="000000"/>
                <w:kern w:val="0"/>
                <w:sz w:val="20"/>
                <w:szCs w:val="20"/>
              </w:rPr>
              <w:t>（本年追加预算</w:t>
            </w:r>
            <w:r>
              <w:rPr>
                <w:rFonts w:eastAsia="仿宋_GB2312"/>
                <w:color w:val="000000"/>
                <w:kern w:val="0"/>
                <w:sz w:val="20"/>
                <w:szCs w:val="20"/>
              </w:rPr>
              <w:t>/</w:t>
            </w:r>
            <w:r>
              <w:rPr>
                <w:rFonts w:hint="eastAsia" w:ascii="仿宋_GB2312" w:hAnsi="宋体" w:eastAsia="仿宋_GB2312" w:cs="宋体"/>
                <w:color w:val="000000"/>
                <w:kern w:val="0"/>
                <w:sz w:val="20"/>
                <w:szCs w:val="20"/>
              </w:rPr>
              <w:t>年初预算）</w:t>
            </w:r>
            <w:r>
              <w:rPr>
                <w:rFonts w:eastAsia="仿宋_GB2312"/>
                <w:color w:val="000000"/>
                <w:kern w:val="0"/>
                <w:sz w:val="20"/>
                <w:szCs w:val="20"/>
              </w:rPr>
              <w:t>×100%</w:t>
            </w:r>
            <w:r>
              <w:rPr>
                <w:rFonts w:hint="eastAsia" w:ascii="仿宋_GB2312" w:hAnsi="宋体" w:eastAsia="仿宋_GB2312" w:cs="宋体"/>
                <w:color w:val="000000"/>
                <w:kern w:val="0"/>
                <w:sz w:val="20"/>
                <w:szCs w:val="20"/>
              </w:rPr>
              <w:t>。</w:t>
            </w:r>
          </w:p>
        </w:tc>
        <w:tc>
          <w:tcPr>
            <w:tcW w:w="4583" w:type="dxa"/>
            <w:shd w:val="clear" w:color="auto" w:fill="auto"/>
            <w:vAlign w:val="center"/>
          </w:tcPr>
          <w:p>
            <w:pPr>
              <w:widowControl/>
              <w:spacing w:line="246"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预算控制率=（16234.18-10343.50）/21464.60*100%=27.44%，剔除以下客观影响因素10343.50万元：政策性省直单位在职及离退休人员综治奖、医保经费、绩效考核奖励资金、职业年金、物业服务补贴等1842.71万元，泛珠三角区域合作行政首长联</w:t>
            </w:r>
            <w:r>
              <w:rPr>
                <w:rFonts w:hint="eastAsia" w:ascii="仿宋_GB2312" w:eastAsia="仿宋_GB2312"/>
                <w:color w:val="000000"/>
                <w:kern w:val="0"/>
                <w:sz w:val="20"/>
                <w:szCs w:val="20"/>
                <w:lang w:eastAsia="zh-CN"/>
              </w:rPr>
              <w:t>席</w:t>
            </w:r>
            <w:r>
              <w:rPr>
                <w:rFonts w:hint="eastAsia" w:ascii="仿宋_GB2312" w:eastAsia="仿宋_GB2312"/>
                <w:color w:val="000000"/>
                <w:kern w:val="0"/>
                <w:sz w:val="20"/>
                <w:szCs w:val="20"/>
              </w:rPr>
              <w:t>会议等会议经费533.89万元，超级计算长沙中心项目建设扫尾资金、重大项目前期资金及评估费、研究费等1,545.10万元，全省铁路建设协调、异地搬迁等代拨专项经费3,216.43万元，中兴通讯信息化服务专项资金1297.4万元，湖南理工职院政策性高职生均拨款、助学金等追加经费1,907.97万元</w:t>
            </w:r>
          </w:p>
        </w:tc>
        <w:tc>
          <w:tcPr>
            <w:tcW w:w="560" w:type="dxa"/>
            <w:shd w:val="clear" w:color="auto" w:fill="auto"/>
            <w:vAlign w:val="center"/>
          </w:tcPr>
          <w:p>
            <w:pPr>
              <w:widowControl/>
              <w:spacing w:line="246" w:lineRule="exact"/>
              <w:jc w:val="center"/>
              <w:rPr>
                <w:color w:val="000000"/>
                <w:kern w:val="0"/>
                <w:sz w:val="20"/>
                <w:szCs w:val="20"/>
              </w:rPr>
            </w:pPr>
            <w:r>
              <w:rPr>
                <w:rFonts w:hint="eastAsia"/>
                <w:color w:val="000000"/>
                <w:kern w:val="0"/>
                <w:sz w:val="20"/>
                <w:szCs w:val="20"/>
              </w:rPr>
              <w:t>2</w:t>
            </w:r>
            <w:r>
              <w:rPr>
                <w:color w:val="000000"/>
                <w:kern w:val="0"/>
                <w:sz w:val="20"/>
                <w:szCs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40" w:hRule="atLeast"/>
          <w:jc w:val="center"/>
        </w:trPr>
        <w:tc>
          <w:tcPr>
            <w:tcW w:w="1138" w:type="dxa"/>
            <w:vMerge w:val="continue"/>
            <w:vAlign w:val="center"/>
          </w:tcPr>
          <w:p>
            <w:pPr>
              <w:widowControl/>
              <w:jc w:val="left"/>
              <w:rPr>
                <w:rFonts w:ascii="仿宋_GB2312" w:hAnsi="宋体" w:eastAsia="仿宋_GB2312" w:cs="宋体"/>
                <w:color w:val="000000"/>
                <w:kern w:val="0"/>
                <w:sz w:val="20"/>
                <w:szCs w:val="20"/>
              </w:rPr>
            </w:pPr>
          </w:p>
        </w:tc>
        <w:tc>
          <w:tcPr>
            <w:tcW w:w="1085" w:type="dxa"/>
            <w:vMerge w:val="continue"/>
            <w:vAlign w:val="center"/>
          </w:tcPr>
          <w:p>
            <w:pPr>
              <w:widowControl/>
              <w:jc w:val="left"/>
              <w:rPr>
                <w:rFonts w:ascii="仿宋_GB2312" w:hAnsi="宋体" w:eastAsia="仿宋_GB2312" w:cs="宋体"/>
                <w:color w:val="000000"/>
                <w:kern w:val="0"/>
                <w:sz w:val="20"/>
                <w:szCs w:val="20"/>
              </w:rPr>
            </w:pPr>
          </w:p>
        </w:tc>
        <w:tc>
          <w:tcPr>
            <w:tcW w:w="1097"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新建楼堂馆所面积控制率</w:t>
            </w:r>
          </w:p>
        </w:tc>
        <w:tc>
          <w:tcPr>
            <w:tcW w:w="472" w:type="dxa"/>
            <w:shd w:val="clear" w:color="auto" w:fill="auto"/>
            <w:vAlign w:val="center"/>
          </w:tcPr>
          <w:p>
            <w:pPr>
              <w:widowControl/>
              <w:jc w:val="center"/>
              <w:rPr>
                <w:color w:val="000000"/>
                <w:kern w:val="0"/>
                <w:sz w:val="20"/>
                <w:szCs w:val="20"/>
              </w:rPr>
            </w:pPr>
            <w:r>
              <w:rPr>
                <w:color w:val="000000"/>
                <w:kern w:val="0"/>
                <w:sz w:val="20"/>
                <w:szCs w:val="20"/>
              </w:rPr>
              <w:t>5</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100%以下（含）计满分，每超出5%扣2分，扣完为止。没有楼堂馆所项目的部门按满分计算。</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楼堂馆所面积控制率=实际建设面积/批准建设面积×100% 。</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该指标以2017年完工的新建楼堂馆所为评价内容。</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2017年</w:t>
            </w:r>
            <w:r>
              <w:rPr>
                <w:rFonts w:ascii="仿宋_GB2312" w:eastAsia="仿宋_GB2312"/>
                <w:color w:val="000000"/>
                <w:kern w:val="0"/>
                <w:sz w:val="20"/>
                <w:szCs w:val="20"/>
              </w:rPr>
              <w:t>无完工的</w:t>
            </w:r>
            <w:r>
              <w:rPr>
                <w:rFonts w:hint="eastAsia" w:ascii="仿宋_GB2312" w:eastAsia="仿宋_GB2312"/>
                <w:color w:val="000000"/>
                <w:kern w:val="0"/>
                <w:sz w:val="20"/>
                <w:szCs w:val="20"/>
              </w:rPr>
              <w:t>新建楼堂馆所</w:t>
            </w:r>
          </w:p>
        </w:tc>
        <w:tc>
          <w:tcPr>
            <w:tcW w:w="560" w:type="dxa"/>
            <w:shd w:val="clear" w:color="auto" w:fill="auto"/>
            <w:vAlign w:val="center"/>
          </w:tcPr>
          <w:p>
            <w:pPr>
              <w:widowControl/>
              <w:jc w:val="center"/>
              <w:rPr>
                <w:color w:val="000000"/>
                <w:kern w:val="0"/>
                <w:sz w:val="20"/>
                <w:szCs w:val="20"/>
              </w:rPr>
            </w:pPr>
            <w:r>
              <w:rPr>
                <w:color w:val="000000"/>
                <w:kern w:val="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40" w:hRule="atLeast"/>
          <w:jc w:val="center"/>
        </w:trPr>
        <w:tc>
          <w:tcPr>
            <w:tcW w:w="1138" w:type="dxa"/>
            <w:vMerge w:val="continue"/>
            <w:vAlign w:val="center"/>
          </w:tcPr>
          <w:p>
            <w:pPr>
              <w:widowControl/>
              <w:jc w:val="left"/>
              <w:rPr>
                <w:rFonts w:ascii="仿宋_GB2312" w:hAnsi="宋体" w:eastAsia="仿宋_GB2312" w:cs="宋体"/>
                <w:color w:val="000000"/>
                <w:kern w:val="0"/>
                <w:sz w:val="20"/>
                <w:szCs w:val="20"/>
              </w:rPr>
            </w:pPr>
          </w:p>
        </w:tc>
        <w:tc>
          <w:tcPr>
            <w:tcW w:w="1085" w:type="dxa"/>
            <w:vMerge w:val="continue"/>
            <w:vAlign w:val="center"/>
          </w:tcPr>
          <w:p>
            <w:pPr>
              <w:widowControl/>
              <w:jc w:val="left"/>
              <w:rPr>
                <w:rFonts w:ascii="仿宋_GB2312" w:hAnsi="宋体" w:eastAsia="仿宋_GB2312" w:cs="宋体"/>
                <w:color w:val="000000"/>
                <w:kern w:val="0"/>
                <w:sz w:val="20"/>
                <w:szCs w:val="20"/>
              </w:rPr>
            </w:pPr>
          </w:p>
        </w:tc>
        <w:tc>
          <w:tcPr>
            <w:tcW w:w="1097"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新建楼堂馆所投资概算控制率</w:t>
            </w:r>
          </w:p>
        </w:tc>
        <w:tc>
          <w:tcPr>
            <w:tcW w:w="472" w:type="dxa"/>
            <w:shd w:val="clear" w:color="auto" w:fill="auto"/>
            <w:vAlign w:val="center"/>
          </w:tcPr>
          <w:p>
            <w:pPr>
              <w:widowControl/>
              <w:jc w:val="center"/>
              <w:rPr>
                <w:color w:val="000000"/>
                <w:kern w:val="0"/>
                <w:sz w:val="20"/>
                <w:szCs w:val="20"/>
              </w:rPr>
            </w:pPr>
            <w:r>
              <w:rPr>
                <w:color w:val="000000"/>
                <w:kern w:val="0"/>
                <w:sz w:val="20"/>
                <w:szCs w:val="20"/>
              </w:rPr>
              <w:t>5</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100%以下（含）计满分，每超出5%扣2分，扣完为止。</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楼堂馆所投资预算控制率=实际投资金额/批准投资金额×100% 。</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该指标以2017年完工的新建楼堂馆所为评价内容。</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2017年无完工的新建楼堂馆所</w:t>
            </w:r>
          </w:p>
        </w:tc>
        <w:tc>
          <w:tcPr>
            <w:tcW w:w="560" w:type="dxa"/>
            <w:shd w:val="clear" w:color="auto" w:fill="auto"/>
            <w:vAlign w:val="center"/>
          </w:tcPr>
          <w:p>
            <w:pPr>
              <w:widowControl/>
              <w:jc w:val="center"/>
              <w:rPr>
                <w:color w:val="000000"/>
                <w:kern w:val="0"/>
                <w:sz w:val="20"/>
                <w:szCs w:val="20"/>
              </w:rPr>
            </w:pPr>
            <w:r>
              <w:rPr>
                <w:color w:val="000000"/>
                <w:kern w:val="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40" w:hRule="atLeast"/>
          <w:jc w:val="center"/>
        </w:trPr>
        <w:tc>
          <w:tcPr>
            <w:tcW w:w="1138" w:type="dxa"/>
            <w:vMerge w:val="continue"/>
            <w:vAlign w:val="center"/>
          </w:tcPr>
          <w:p>
            <w:pPr>
              <w:widowControl/>
              <w:jc w:val="left"/>
              <w:rPr>
                <w:rFonts w:ascii="仿宋_GB2312" w:hAnsi="宋体" w:eastAsia="仿宋_GB2312" w:cs="宋体"/>
                <w:color w:val="000000"/>
                <w:kern w:val="0"/>
                <w:sz w:val="20"/>
                <w:szCs w:val="20"/>
              </w:rPr>
            </w:pPr>
          </w:p>
        </w:tc>
        <w:tc>
          <w:tcPr>
            <w:tcW w:w="1085"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宋体" w:hAnsi="宋体" w:cs="宋体"/>
                <w:color w:val="000000"/>
                <w:kern w:val="0"/>
                <w:sz w:val="20"/>
                <w:szCs w:val="20"/>
              </w:rPr>
              <w:t>预</w:t>
            </w:r>
            <w:r>
              <w:rPr>
                <w:rFonts w:hint="eastAsia" w:ascii="仿宋_GB2312" w:hAnsi="宋体" w:eastAsia="仿宋_GB2312" w:cs="宋体"/>
                <w:color w:val="000000"/>
                <w:kern w:val="0"/>
                <w:sz w:val="20"/>
                <w:szCs w:val="20"/>
              </w:rPr>
              <w:t>算管理</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（20分）</w:t>
            </w:r>
          </w:p>
        </w:tc>
        <w:tc>
          <w:tcPr>
            <w:tcW w:w="1097"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公用经费控制率</w:t>
            </w:r>
          </w:p>
        </w:tc>
        <w:tc>
          <w:tcPr>
            <w:tcW w:w="472" w:type="dxa"/>
            <w:shd w:val="clear" w:color="auto" w:fill="auto"/>
            <w:vAlign w:val="center"/>
          </w:tcPr>
          <w:p>
            <w:pPr>
              <w:widowControl/>
              <w:jc w:val="center"/>
              <w:rPr>
                <w:color w:val="000000"/>
                <w:kern w:val="0"/>
                <w:sz w:val="20"/>
                <w:szCs w:val="20"/>
              </w:rPr>
            </w:pPr>
            <w:r>
              <w:rPr>
                <w:color w:val="000000"/>
                <w:kern w:val="0"/>
                <w:sz w:val="20"/>
                <w:szCs w:val="20"/>
              </w:rPr>
              <w:t>8</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100%以下（含）计满分，每超出1%扣1分，扣完为止。</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公用经费控制率=（实际支出公用经费总额/预算安排公用经费总额）×100%。</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公用经费支出是指部门基本支出中的一般商品和服务支出。</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公用经费控制率=5947.65/5957.22*100%=99.83%，注：委属单位湖南理工职院日常公用经费预算数含其他资本性支出等1,222.46万元，考核时应剔除</w:t>
            </w:r>
          </w:p>
        </w:tc>
        <w:tc>
          <w:tcPr>
            <w:tcW w:w="560" w:type="dxa"/>
            <w:shd w:val="clear" w:color="auto" w:fill="auto"/>
            <w:vAlign w:val="center"/>
          </w:tcPr>
          <w:p>
            <w:pPr>
              <w:widowControl/>
              <w:jc w:val="center"/>
              <w:rPr>
                <w:color w:val="000000"/>
                <w:kern w:val="0"/>
                <w:sz w:val="20"/>
                <w:szCs w:val="20"/>
              </w:rPr>
            </w:pPr>
            <w:r>
              <w:rPr>
                <w:color w:val="000000"/>
                <w:kern w:val="0"/>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138" w:type="dxa"/>
            <w:vMerge w:val="continue"/>
            <w:vAlign w:val="center"/>
          </w:tcPr>
          <w:p>
            <w:pPr>
              <w:widowControl/>
              <w:jc w:val="left"/>
              <w:rPr>
                <w:rFonts w:ascii="仿宋_GB2312" w:hAnsi="宋体" w:eastAsia="仿宋_GB2312" w:cs="宋体"/>
                <w:color w:val="000000"/>
                <w:kern w:val="0"/>
                <w:sz w:val="20"/>
                <w:szCs w:val="20"/>
              </w:rPr>
            </w:pPr>
          </w:p>
        </w:tc>
        <w:tc>
          <w:tcPr>
            <w:tcW w:w="1085" w:type="dxa"/>
            <w:vMerge w:val="continue"/>
            <w:vAlign w:val="center"/>
          </w:tcPr>
          <w:p>
            <w:pPr>
              <w:widowControl/>
              <w:jc w:val="left"/>
              <w:rPr>
                <w:rFonts w:ascii="仿宋_GB2312" w:hAnsi="宋体" w:eastAsia="仿宋_GB2312" w:cs="宋体"/>
                <w:color w:val="000000"/>
                <w:kern w:val="0"/>
                <w:sz w:val="20"/>
                <w:szCs w:val="20"/>
              </w:rPr>
            </w:pPr>
          </w:p>
        </w:tc>
        <w:tc>
          <w:tcPr>
            <w:tcW w:w="1097" w:type="dxa"/>
            <w:shd w:val="clear" w:color="auto" w:fill="auto"/>
            <w:vAlign w:val="center"/>
          </w:tcPr>
          <w:p>
            <w:pPr>
              <w:widowControl/>
              <w:jc w:val="left"/>
              <w:rPr>
                <w:color w:val="000000"/>
                <w:kern w:val="0"/>
                <w:sz w:val="20"/>
                <w:szCs w:val="20"/>
              </w:rPr>
            </w:pPr>
            <w:r>
              <w:rPr>
                <w:color w:val="000000"/>
                <w:kern w:val="0"/>
                <w:sz w:val="20"/>
                <w:szCs w:val="20"/>
              </w:rPr>
              <w:t>“</w:t>
            </w:r>
            <w:r>
              <w:rPr>
                <w:rFonts w:hint="eastAsia" w:ascii="仿宋_GB2312" w:eastAsia="仿宋_GB2312"/>
                <w:color w:val="000000"/>
                <w:kern w:val="0"/>
                <w:sz w:val="20"/>
                <w:szCs w:val="20"/>
              </w:rPr>
              <w:t>三公经费</w:t>
            </w:r>
            <w:r>
              <w:rPr>
                <w:color w:val="000000"/>
                <w:kern w:val="0"/>
                <w:sz w:val="20"/>
                <w:szCs w:val="20"/>
              </w:rPr>
              <w:t>”</w:t>
            </w:r>
            <w:r>
              <w:rPr>
                <w:rFonts w:hint="eastAsia" w:ascii="仿宋_GB2312" w:eastAsia="仿宋_GB2312"/>
                <w:color w:val="000000"/>
                <w:kern w:val="0"/>
                <w:sz w:val="20"/>
                <w:szCs w:val="20"/>
              </w:rPr>
              <w:t>控制率</w:t>
            </w:r>
          </w:p>
        </w:tc>
        <w:tc>
          <w:tcPr>
            <w:tcW w:w="472" w:type="dxa"/>
            <w:shd w:val="clear" w:color="auto" w:fill="auto"/>
            <w:vAlign w:val="center"/>
          </w:tcPr>
          <w:p>
            <w:pPr>
              <w:widowControl/>
              <w:jc w:val="center"/>
              <w:rPr>
                <w:color w:val="000000"/>
                <w:kern w:val="0"/>
                <w:sz w:val="20"/>
                <w:szCs w:val="20"/>
              </w:rPr>
            </w:pPr>
            <w:r>
              <w:rPr>
                <w:color w:val="000000"/>
                <w:kern w:val="0"/>
                <w:sz w:val="20"/>
                <w:szCs w:val="20"/>
              </w:rPr>
              <w:t>7</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100%以下（含）计满分，每超出1%扣1分，扣完为止。</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“三公经费”控制率-（“三公经费”实际支出数/“三公经费”预算安排数）×100%。</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“三公经费”控制率=545.06/566.66*100%=96.19%</w:t>
            </w:r>
          </w:p>
        </w:tc>
        <w:tc>
          <w:tcPr>
            <w:tcW w:w="560" w:type="dxa"/>
            <w:shd w:val="clear" w:color="auto" w:fill="auto"/>
            <w:vAlign w:val="center"/>
          </w:tcPr>
          <w:p>
            <w:pPr>
              <w:widowControl/>
              <w:jc w:val="center"/>
              <w:rPr>
                <w:color w:val="000000"/>
                <w:kern w:val="0"/>
                <w:sz w:val="20"/>
                <w:szCs w:val="20"/>
              </w:rPr>
            </w:pPr>
            <w:r>
              <w:rPr>
                <w:color w:val="000000"/>
                <w:kern w:val="0"/>
                <w:sz w:val="20"/>
                <w:szCs w:val="20"/>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138" w:type="dxa"/>
            <w:vMerge w:val="continue"/>
            <w:vAlign w:val="center"/>
          </w:tcPr>
          <w:p>
            <w:pPr>
              <w:widowControl/>
              <w:jc w:val="left"/>
              <w:rPr>
                <w:rFonts w:ascii="仿宋_GB2312" w:hAnsi="宋体" w:eastAsia="仿宋_GB2312" w:cs="宋体"/>
                <w:color w:val="000000"/>
                <w:kern w:val="0"/>
                <w:sz w:val="20"/>
                <w:szCs w:val="20"/>
              </w:rPr>
            </w:pPr>
          </w:p>
        </w:tc>
        <w:tc>
          <w:tcPr>
            <w:tcW w:w="1085" w:type="dxa"/>
            <w:vMerge w:val="continue"/>
            <w:vAlign w:val="center"/>
          </w:tcPr>
          <w:p>
            <w:pPr>
              <w:widowControl/>
              <w:jc w:val="left"/>
              <w:rPr>
                <w:rFonts w:ascii="仿宋_GB2312" w:hAnsi="宋体" w:eastAsia="仿宋_GB2312" w:cs="宋体"/>
                <w:color w:val="000000"/>
                <w:kern w:val="0"/>
                <w:sz w:val="20"/>
                <w:szCs w:val="20"/>
              </w:rPr>
            </w:pPr>
          </w:p>
        </w:tc>
        <w:tc>
          <w:tcPr>
            <w:tcW w:w="1097"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政府采购执行率</w:t>
            </w:r>
          </w:p>
        </w:tc>
        <w:tc>
          <w:tcPr>
            <w:tcW w:w="472" w:type="dxa"/>
            <w:shd w:val="clear" w:color="auto" w:fill="auto"/>
            <w:vAlign w:val="center"/>
          </w:tcPr>
          <w:p>
            <w:pPr>
              <w:widowControl/>
              <w:jc w:val="center"/>
              <w:rPr>
                <w:color w:val="000000"/>
                <w:kern w:val="0"/>
                <w:sz w:val="20"/>
                <w:szCs w:val="20"/>
              </w:rPr>
            </w:pPr>
            <w:r>
              <w:rPr>
                <w:color w:val="000000"/>
                <w:kern w:val="0"/>
                <w:sz w:val="20"/>
                <w:szCs w:val="20"/>
              </w:rPr>
              <w:t>6</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100%计满分，每超过（降低）5%扣2分。扣完为止。</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政府采购执行率=（实际政府采购金额/政府采购预算数）×100%</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政府采购执行率=5015.79/5767.43*100%=86.97%</w:t>
            </w:r>
          </w:p>
        </w:tc>
        <w:tc>
          <w:tcPr>
            <w:tcW w:w="560" w:type="dxa"/>
            <w:shd w:val="clear" w:color="auto" w:fill="auto"/>
            <w:vAlign w:val="center"/>
          </w:tcPr>
          <w:p>
            <w:pPr>
              <w:widowControl/>
              <w:jc w:val="center"/>
              <w:rPr>
                <w:color w:val="000000"/>
                <w:kern w:val="0"/>
                <w:sz w:val="20"/>
                <w:szCs w:val="20"/>
              </w:rPr>
            </w:pPr>
            <w:r>
              <w:rPr>
                <w:color w:val="000000"/>
                <w:kern w:val="0"/>
                <w:sz w:val="20"/>
                <w:szCs w:val="20"/>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95" w:hRule="atLeast"/>
          <w:jc w:val="center"/>
        </w:trPr>
        <w:tc>
          <w:tcPr>
            <w:tcW w:w="1138" w:type="dxa"/>
            <w:vMerge w:val="continue"/>
            <w:vAlign w:val="center"/>
          </w:tcPr>
          <w:p>
            <w:pPr>
              <w:widowControl/>
              <w:jc w:val="left"/>
              <w:rPr>
                <w:rFonts w:ascii="仿宋_GB2312" w:hAnsi="宋体" w:eastAsia="仿宋_GB2312" w:cs="宋体"/>
                <w:color w:val="000000"/>
                <w:kern w:val="0"/>
                <w:sz w:val="20"/>
                <w:szCs w:val="20"/>
              </w:rPr>
            </w:pPr>
          </w:p>
        </w:tc>
        <w:tc>
          <w:tcPr>
            <w:tcW w:w="1085" w:type="dxa"/>
            <w:vMerge w:val="continue"/>
            <w:vAlign w:val="center"/>
          </w:tcPr>
          <w:p>
            <w:pPr>
              <w:widowControl/>
              <w:jc w:val="left"/>
              <w:rPr>
                <w:rFonts w:ascii="仿宋_GB2312" w:hAnsi="宋体" w:eastAsia="仿宋_GB2312" w:cs="宋体"/>
                <w:color w:val="000000"/>
                <w:kern w:val="0"/>
                <w:sz w:val="20"/>
                <w:szCs w:val="20"/>
              </w:rPr>
            </w:pPr>
          </w:p>
        </w:tc>
        <w:tc>
          <w:tcPr>
            <w:tcW w:w="1097"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管理制度健全性</w:t>
            </w:r>
          </w:p>
        </w:tc>
        <w:tc>
          <w:tcPr>
            <w:tcW w:w="472" w:type="dxa"/>
            <w:shd w:val="clear" w:color="auto" w:fill="auto"/>
            <w:vAlign w:val="center"/>
          </w:tcPr>
          <w:p>
            <w:pPr>
              <w:widowControl/>
              <w:jc w:val="center"/>
              <w:rPr>
                <w:color w:val="000000"/>
                <w:kern w:val="0"/>
                <w:sz w:val="20"/>
                <w:szCs w:val="20"/>
              </w:rPr>
            </w:pPr>
            <w:r>
              <w:rPr>
                <w:color w:val="000000"/>
                <w:kern w:val="0"/>
                <w:sz w:val="20"/>
                <w:szCs w:val="20"/>
              </w:rPr>
              <w:t>8</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①有内部财务管理制度、会计核算制度等管理制度，2分；</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②有本部门厉行节约制度,2分；</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③相关管理制度合法、合规、完整，2分；④相关管理制度得到有效执行，2分。</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检查单位管理制度建立情况</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《单位内部控制制度》;《省发改委会议审批管理办法》;《机关财务管理制度》;《省发改委制度廉洁性评估工作实施办法》</w:t>
            </w:r>
          </w:p>
        </w:tc>
        <w:tc>
          <w:tcPr>
            <w:tcW w:w="560" w:type="dxa"/>
            <w:shd w:val="clear" w:color="auto" w:fill="auto"/>
            <w:vAlign w:val="center"/>
          </w:tcPr>
          <w:p>
            <w:pPr>
              <w:widowControl/>
              <w:jc w:val="center"/>
              <w:rPr>
                <w:color w:val="000000"/>
                <w:kern w:val="0"/>
                <w:sz w:val="20"/>
                <w:szCs w:val="20"/>
              </w:rPr>
            </w:pPr>
            <w:r>
              <w:rPr>
                <w:color w:val="000000"/>
                <w:kern w:val="0"/>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35" w:hRule="atLeast"/>
          <w:jc w:val="center"/>
        </w:trPr>
        <w:tc>
          <w:tcPr>
            <w:tcW w:w="1138" w:type="dxa"/>
            <w:vMerge w:val="continue"/>
            <w:vAlign w:val="center"/>
          </w:tcPr>
          <w:p>
            <w:pPr>
              <w:widowControl/>
              <w:jc w:val="left"/>
              <w:rPr>
                <w:rFonts w:ascii="仿宋_GB2312" w:hAnsi="宋体" w:eastAsia="仿宋_GB2312" w:cs="宋体"/>
                <w:color w:val="000000"/>
                <w:kern w:val="0"/>
                <w:sz w:val="20"/>
                <w:szCs w:val="20"/>
              </w:rPr>
            </w:pPr>
          </w:p>
        </w:tc>
        <w:tc>
          <w:tcPr>
            <w:tcW w:w="1085" w:type="dxa"/>
            <w:vMerge w:val="continue"/>
            <w:vAlign w:val="center"/>
          </w:tcPr>
          <w:p>
            <w:pPr>
              <w:widowControl/>
              <w:jc w:val="left"/>
              <w:rPr>
                <w:rFonts w:ascii="仿宋_GB2312" w:hAnsi="宋体" w:eastAsia="仿宋_GB2312" w:cs="宋体"/>
                <w:color w:val="000000"/>
                <w:kern w:val="0"/>
                <w:sz w:val="20"/>
                <w:szCs w:val="20"/>
              </w:rPr>
            </w:pPr>
          </w:p>
        </w:tc>
        <w:tc>
          <w:tcPr>
            <w:tcW w:w="1097"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资金使用合规性</w:t>
            </w:r>
          </w:p>
        </w:tc>
        <w:tc>
          <w:tcPr>
            <w:tcW w:w="472" w:type="dxa"/>
            <w:shd w:val="clear" w:color="auto" w:fill="auto"/>
            <w:vAlign w:val="center"/>
          </w:tcPr>
          <w:p>
            <w:pPr>
              <w:widowControl/>
              <w:jc w:val="center"/>
              <w:rPr>
                <w:color w:val="000000"/>
                <w:kern w:val="0"/>
                <w:sz w:val="20"/>
                <w:szCs w:val="20"/>
              </w:rPr>
            </w:pPr>
            <w:r>
              <w:rPr>
                <w:color w:val="000000"/>
                <w:kern w:val="0"/>
                <w:sz w:val="20"/>
                <w:szCs w:val="20"/>
              </w:rPr>
              <w:t>6</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以上情况每出现一例不符合要求的扣1分，扣完为止。</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审阅单位财务制度，现场对财务资料进行抽查</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《省发改委建设项目委托评估制度》；《省发改委重大项目前期工作经费管理办法》;省财政厅关于下达资金的通知及相关附件等；2017年部门决算报表</w:t>
            </w:r>
          </w:p>
        </w:tc>
        <w:tc>
          <w:tcPr>
            <w:tcW w:w="560" w:type="dxa"/>
            <w:shd w:val="clear" w:color="auto" w:fill="auto"/>
            <w:vAlign w:val="center"/>
          </w:tcPr>
          <w:p>
            <w:pPr>
              <w:widowControl/>
              <w:jc w:val="center"/>
              <w:rPr>
                <w:color w:val="000000"/>
                <w:kern w:val="0"/>
                <w:sz w:val="20"/>
                <w:szCs w:val="20"/>
              </w:rPr>
            </w:pPr>
            <w:r>
              <w:rPr>
                <w:color w:val="000000"/>
                <w:kern w:val="0"/>
                <w:sz w:val="20"/>
                <w:szCs w:val="20"/>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95" w:hRule="atLeast"/>
          <w:jc w:val="center"/>
        </w:trPr>
        <w:tc>
          <w:tcPr>
            <w:tcW w:w="1138" w:type="dxa"/>
            <w:vMerge w:val="continue"/>
            <w:vAlign w:val="center"/>
          </w:tcPr>
          <w:p>
            <w:pPr>
              <w:widowControl/>
              <w:jc w:val="left"/>
              <w:rPr>
                <w:rFonts w:ascii="仿宋_GB2312" w:hAnsi="宋体" w:eastAsia="仿宋_GB2312" w:cs="宋体"/>
                <w:color w:val="000000"/>
                <w:kern w:val="0"/>
                <w:sz w:val="20"/>
                <w:szCs w:val="20"/>
              </w:rPr>
            </w:pPr>
          </w:p>
        </w:tc>
        <w:tc>
          <w:tcPr>
            <w:tcW w:w="1085" w:type="dxa"/>
            <w:vMerge w:val="continue"/>
            <w:vAlign w:val="center"/>
          </w:tcPr>
          <w:p>
            <w:pPr>
              <w:widowControl/>
              <w:jc w:val="left"/>
              <w:rPr>
                <w:rFonts w:ascii="仿宋_GB2312" w:hAnsi="宋体" w:eastAsia="仿宋_GB2312" w:cs="宋体"/>
                <w:color w:val="000000"/>
                <w:kern w:val="0"/>
                <w:sz w:val="20"/>
                <w:szCs w:val="20"/>
              </w:rPr>
            </w:pPr>
          </w:p>
        </w:tc>
        <w:tc>
          <w:tcPr>
            <w:tcW w:w="1097"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预决算信息公开性</w:t>
            </w:r>
          </w:p>
        </w:tc>
        <w:tc>
          <w:tcPr>
            <w:tcW w:w="472" w:type="dxa"/>
            <w:shd w:val="clear" w:color="auto" w:fill="auto"/>
            <w:vAlign w:val="center"/>
          </w:tcPr>
          <w:p>
            <w:pPr>
              <w:widowControl/>
              <w:jc w:val="center"/>
              <w:rPr>
                <w:color w:val="000000"/>
                <w:kern w:val="0"/>
                <w:sz w:val="20"/>
                <w:szCs w:val="20"/>
              </w:rPr>
            </w:pPr>
            <w:r>
              <w:rPr>
                <w:color w:val="000000"/>
                <w:kern w:val="0"/>
                <w:sz w:val="20"/>
                <w:szCs w:val="20"/>
              </w:rPr>
              <w:t>5</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预决算信息是指与部门预算、执行、决算、监督、绩效等管理相关的信息。</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《湖南省发展</w:t>
            </w:r>
            <w:r>
              <w:rPr>
                <w:rFonts w:hint="eastAsia" w:ascii="仿宋_GB2312" w:eastAsia="仿宋_GB2312"/>
                <w:color w:val="000000"/>
                <w:kern w:val="0"/>
                <w:sz w:val="20"/>
                <w:szCs w:val="20"/>
                <w:lang w:eastAsia="zh-CN"/>
              </w:rPr>
              <w:t>和</w:t>
            </w:r>
            <w:bookmarkStart w:id="0" w:name="_GoBack"/>
            <w:bookmarkEnd w:id="0"/>
            <w:r>
              <w:rPr>
                <w:rFonts w:hint="eastAsia" w:ascii="仿宋_GB2312" w:eastAsia="仿宋_GB2312"/>
                <w:color w:val="000000"/>
                <w:kern w:val="0"/>
                <w:sz w:val="20"/>
                <w:szCs w:val="20"/>
              </w:rPr>
              <w:t>改革委员会2017年部门预算说明》、2017年预算信息公开表</w:t>
            </w:r>
          </w:p>
        </w:tc>
        <w:tc>
          <w:tcPr>
            <w:tcW w:w="560" w:type="dxa"/>
            <w:shd w:val="clear" w:color="auto" w:fill="auto"/>
            <w:vAlign w:val="center"/>
          </w:tcPr>
          <w:p>
            <w:pPr>
              <w:widowControl/>
              <w:jc w:val="center"/>
              <w:rPr>
                <w:color w:val="000000"/>
                <w:kern w:val="0"/>
                <w:sz w:val="20"/>
                <w:szCs w:val="20"/>
              </w:rPr>
            </w:pPr>
            <w:r>
              <w:rPr>
                <w:color w:val="000000"/>
                <w:kern w:val="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65" w:hRule="atLeast"/>
          <w:jc w:val="center"/>
        </w:trPr>
        <w:tc>
          <w:tcPr>
            <w:tcW w:w="1138"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宋体" w:hAnsi="宋体" w:cs="宋体"/>
                <w:color w:val="000000"/>
                <w:kern w:val="0"/>
                <w:sz w:val="20"/>
                <w:szCs w:val="20"/>
              </w:rPr>
              <w:t>产</w:t>
            </w:r>
            <w:r>
              <w:rPr>
                <w:rFonts w:hint="eastAsia" w:ascii="仿宋_GB2312" w:hAnsi="宋体" w:eastAsia="仿宋_GB2312" w:cs="宋体"/>
                <w:color w:val="000000"/>
                <w:kern w:val="0"/>
                <w:sz w:val="20"/>
                <w:szCs w:val="20"/>
              </w:rPr>
              <w:t>出及效率</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（20分）</w:t>
            </w:r>
          </w:p>
        </w:tc>
        <w:tc>
          <w:tcPr>
            <w:tcW w:w="1085"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宋体" w:hAnsi="宋体" w:cs="宋体"/>
                <w:color w:val="000000"/>
                <w:kern w:val="0"/>
                <w:sz w:val="20"/>
                <w:szCs w:val="20"/>
              </w:rPr>
              <w:t>职责</w:t>
            </w:r>
            <w:r>
              <w:rPr>
                <w:rFonts w:hint="eastAsia" w:ascii="仿宋_GB2312" w:hAnsi="宋体" w:eastAsia="仿宋_GB2312" w:cs="宋体"/>
                <w:color w:val="000000"/>
                <w:kern w:val="0"/>
                <w:sz w:val="20"/>
                <w:szCs w:val="20"/>
              </w:rPr>
              <w:t>履行</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（8分）</w:t>
            </w:r>
          </w:p>
        </w:tc>
        <w:tc>
          <w:tcPr>
            <w:tcW w:w="1097" w:type="dxa"/>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产出目标实际完成率</w:t>
            </w:r>
          </w:p>
        </w:tc>
        <w:tc>
          <w:tcPr>
            <w:tcW w:w="472" w:type="dxa"/>
            <w:shd w:val="clear" w:color="auto" w:fill="auto"/>
            <w:vAlign w:val="center"/>
          </w:tcPr>
          <w:p>
            <w:pPr>
              <w:widowControl/>
              <w:jc w:val="center"/>
              <w:rPr>
                <w:color w:val="000000"/>
                <w:kern w:val="0"/>
                <w:sz w:val="20"/>
                <w:szCs w:val="20"/>
              </w:rPr>
            </w:pPr>
            <w:r>
              <w:rPr>
                <w:color w:val="000000"/>
                <w:kern w:val="0"/>
                <w:sz w:val="20"/>
                <w:szCs w:val="20"/>
              </w:rPr>
              <w:t>8</w:t>
            </w:r>
          </w:p>
        </w:tc>
        <w:tc>
          <w:tcPr>
            <w:tcW w:w="296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xml:space="preserve">根据预算批复的产出目标数量进行计算，实际完成率＝（实际产出数/计划产出数）×100%，满分8分，95%（含）以上得满分，90%（含）-95%得7分，85%（含）-90%得6分，80%-85%得5分，70%-80%得4分，60%-70%得3分，60%以下不得分。              </w:t>
            </w:r>
          </w:p>
        </w:tc>
        <w:tc>
          <w:tcPr>
            <w:tcW w:w="3248"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考核绩效目标产出指标完成情况</w:t>
            </w:r>
          </w:p>
        </w:tc>
        <w:tc>
          <w:tcPr>
            <w:tcW w:w="4583" w:type="dxa"/>
            <w:shd w:val="clear" w:color="auto" w:fill="auto"/>
            <w:vAlign w:val="center"/>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完成常益长高铁等一批重点项目前期工作，实现了省政府确定的开工建设目标。华大基因落户湘江新区，桑顿新能源动力电池、中国通号长沙产业园、铁建重工高端装备、北汽株洲技改扩能、东江湖大数据产业园等一批重大产业项目相继竣工投产，酒湖特高压正式投运，永州电厂复工，长株潭城际铁路全线开通，永吉、武靖等高速公路建成通车，武冈机场正式运营，顺利完成预算绩效目标。</w:t>
            </w:r>
          </w:p>
        </w:tc>
        <w:tc>
          <w:tcPr>
            <w:tcW w:w="560" w:type="dxa"/>
            <w:shd w:val="clear" w:color="auto" w:fill="auto"/>
            <w:vAlign w:val="center"/>
          </w:tcPr>
          <w:p>
            <w:pPr>
              <w:widowControl/>
              <w:jc w:val="center"/>
              <w:rPr>
                <w:color w:val="000000"/>
                <w:kern w:val="0"/>
                <w:sz w:val="20"/>
                <w:szCs w:val="20"/>
              </w:rPr>
            </w:pPr>
            <w:r>
              <w:rPr>
                <w:color w:val="000000"/>
                <w:kern w:val="0"/>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138"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1085"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履</w:t>
            </w:r>
            <w:r>
              <w:rPr>
                <w:rFonts w:hint="eastAsia" w:ascii="宋体" w:hAnsi="宋体" w:cs="宋体"/>
                <w:color w:val="000000"/>
                <w:kern w:val="0"/>
                <w:sz w:val="20"/>
                <w:szCs w:val="20"/>
              </w:rPr>
              <w:t>职</w:t>
            </w:r>
            <w:r>
              <w:rPr>
                <w:rFonts w:hint="eastAsia" w:ascii="仿宋_GB2312" w:hAnsi="宋体" w:eastAsia="仿宋_GB2312" w:cs="宋体"/>
                <w:color w:val="000000"/>
                <w:kern w:val="0"/>
                <w:sz w:val="20"/>
                <w:szCs w:val="20"/>
              </w:rPr>
              <w:t>效益</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（22分）</w:t>
            </w:r>
          </w:p>
        </w:tc>
        <w:tc>
          <w:tcPr>
            <w:tcW w:w="1097"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经济效益</w:t>
            </w:r>
          </w:p>
        </w:tc>
        <w:tc>
          <w:tcPr>
            <w:tcW w:w="472" w:type="dxa"/>
            <w:vMerge w:val="restart"/>
            <w:shd w:val="clear" w:color="auto" w:fill="auto"/>
            <w:vAlign w:val="center"/>
          </w:tcPr>
          <w:p>
            <w:pPr>
              <w:widowControl/>
              <w:spacing w:line="240" w:lineRule="exact"/>
              <w:jc w:val="center"/>
              <w:rPr>
                <w:color w:val="000000"/>
                <w:kern w:val="0"/>
                <w:sz w:val="20"/>
                <w:szCs w:val="20"/>
              </w:rPr>
            </w:pPr>
            <w:r>
              <w:rPr>
                <w:color w:val="000000"/>
                <w:kern w:val="0"/>
                <w:sz w:val="20"/>
                <w:szCs w:val="20"/>
              </w:rPr>
              <w:t>10</w:t>
            </w:r>
          </w:p>
        </w:tc>
        <w:tc>
          <w:tcPr>
            <w:tcW w:w="2968" w:type="dxa"/>
            <w:vMerge w:val="restart"/>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此两项指标为设置部门整体支出绩效评价指标时必须考虑的共性要素，可根据部门实际情况有选择的进行设置，并将其细化为相应的个性化指标。</w:t>
            </w:r>
          </w:p>
        </w:tc>
        <w:tc>
          <w:tcPr>
            <w:tcW w:w="3248"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投资规模及争取预算内资金同比多增计5分，减少不计分。</w:t>
            </w:r>
          </w:p>
        </w:tc>
        <w:tc>
          <w:tcPr>
            <w:tcW w:w="4583" w:type="dxa"/>
            <w:shd w:val="clear" w:color="auto" w:fill="auto"/>
            <w:vAlign w:val="bottom"/>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我委全年投资增长13%，争取中央预算内资金205.2亿元，比2016年增加25.6亿元</w:t>
            </w:r>
          </w:p>
        </w:tc>
        <w:tc>
          <w:tcPr>
            <w:tcW w:w="560" w:type="dxa"/>
            <w:shd w:val="clear" w:color="auto" w:fill="auto"/>
            <w:vAlign w:val="center"/>
          </w:tcPr>
          <w:p>
            <w:pPr>
              <w:widowControl/>
              <w:spacing w:line="240" w:lineRule="exact"/>
              <w:jc w:val="center"/>
              <w:rPr>
                <w:color w:val="000000"/>
                <w:kern w:val="0"/>
                <w:sz w:val="20"/>
                <w:szCs w:val="20"/>
              </w:rPr>
            </w:pPr>
            <w:r>
              <w:rPr>
                <w:color w:val="000000"/>
                <w:kern w:val="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90" w:hRule="atLeast"/>
          <w:jc w:val="center"/>
        </w:trPr>
        <w:tc>
          <w:tcPr>
            <w:tcW w:w="1138"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108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1097"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社会效益</w:t>
            </w:r>
          </w:p>
        </w:tc>
        <w:tc>
          <w:tcPr>
            <w:tcW w:w="472" w:type="dxa"/>
            <w:vMerge w:val="continue"/>
            <w:vAlign w:val="center"/>
          </w:tcPr>
          <w:p>
            <w:pPr>
              <w:widowControl/>
              <w:spacing w:line="240" w:lineRule="exact"/>
              <w:jc w:val="left"/>
              <w:rPr>
                <w:color w:val="000000"/>
                <w:kern w:val="0"/>
                <w:sz w:val="20"/>
                <w:szCs w:val="20"/>
              </w:rPr>
            </w:pPr>
          </w:p>
        </w:tc>
        <w:tc>
          <w:tcPr>
            <w:tcW w:w="2968" w:type="dxa"/>
            <w:vMerge w:val="continue"/>
            <w:vAlign w:val="center"/>
          </w:tcPr>
          <w:p>
            <w:pPr>
              <w:widowControl/>
              <w:spacing w:line="240" w:lineRule="exact"/>
              <w:jc w:val="left"/>
              <w:rPr>
                <w:rFonts w:ascii="仿宋_GB2312" w:eastAsia="仿宋_GB2312"/>
                <w:color w:val="000000"/>
                <w:kern w:val="0"/>
                <w:sz w:val="20"/>
                <w:szCs w:val="20"/>
              </w:rPr>
            </w:pPr>
          </w:p>
        </w:tc>
        <w:tc>
          <w:tcPr>
            <w:tcW w:w="3248"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新增便民措施及1分、新增开放平台建设计1分、环境治理取得实际成果计3分</w:t>
            </w:r>
          </w:p>
        </w:tc>
        <w:tc>
          <w:tcPr>
            <w:tcW w:w="4583"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取消和停征行政事业性收费29项、取消行政许可事项34项、清理规范省级政府部门行政审批中介服务事项27项，省市县行政许可事项较改革前分别精简40%、46%和26%；助推开放平台建设，黄花综保区封关运行，郴州综保区通过验收，邵阳保税试点工作积极推进，长沙列入国家内陆主要货源地节点、主要铁路枢纽节点“双节点”城市，湘欧快线实现双向常态化运行；争取株洲、湘潭、娄底纳入全国首批12个产业转型升级示范区，永兴县纳入全国首批17个重点采煤沉陷区综合治理工程；牵头推进洞庭湖生态环境专项整治，协同推进湘江保护和治理第二个三年行动计划，基本完成清水塘、竹埠港国家第三方污染治理试点任务实施能耗总量和强度“双控”行动，完成194家重点企业4年碳排放报告核查；</w:t>
            </w:r>
          </w:p>
        </w:tc>
        <w:tc>
          <w:tcPr>
            <w:tcW w:w="560" w:type="dxa"/>
            <w:shd w:val="clear" w:color="auto" w:fill="auto"/>
            <w:vAlign w:val="center"/>
          </w:tcPr>
          <w:p>
            <w:pPr>
              <w:widowControl/>
              <w:spacing w:line="240" w:lineRule="exact"/>
              <w:jc w:val="center"/>
              <w:rPr>
                <w:color w:val="000000"/>
                <w:kern w:val="0"/>
                <w:sz w:val="20"/>
                <w:szCs w:val="20"/>
              </w:rPr>
            </w:pPr>
            <w:r>
              <w:rPr>
                <w:color w:val="000000"/>
                <w:kern w:val="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26" w:hRule="atLeast"/>
          <w:jc w:val="center"/>
        </w:trPr>
        <w:tc>
          <w:tcPr>
            <w:tcW w:w="1138"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108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1097" w:type="dxa"/>
            <w:shd w:val="clear" w:color="auto" w:fill="auto"/>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行政效能</w:t>
            </w:r>
          </w:p>
        </w:tc>
        <w:tc>
          <w:tcPr>
            <w:tcW w:w="472" w:type="dxa"/>
            <w:shd w:val="clear" w:color="auto" w:fill="auto"/>
            <w:vAlign w:val="center"/>
          </w:tcPr>
          <w:p>
            <w:pPr>
              <w:widowControl/>
              <w:spacing w:line="240" w:lineRule="exact"/>
              <w:jc w:val="center"/>
              <w:rPr>
                <w:color w:val="000000"/>
                <w:kern w:val="0"/>
                <w:sz w:val="20"/>
                <w:szCs w:val="20"/>
              </w:rPr>
            </w:pPr>
            <w:r>
              <w:rPr>
                <w:color w:val="000000"/>
                <w:kern w:val="0"/>
                <w:sz w:val="20"/>
                <w:szCs w:val="20"/>
              </w:rPr>
              <w:t>6</w:t>
            </w:r>
          </w:p>
        </w:tc>
        <w:tc>
          <w:tcPr>
            <w:tcW w:w="2968"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促进部门改进文风会风，加强经费及资产管理，推动网上办事，提高行政效率，降低行政成本效果较好的计6分；一般3分；无效果或者效果不明显0分。</w:t>
            </w:r>
          </w:p>
        </w:tc>
        <w:tc>
          <w:tcPr>
            <w:tcW w:w="3248"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根据部门自评材料评定。</w:t>
            </w:r>
          </w:p>
        </w:tc>
        <w:tc>
          <w:tcPr>
            <w:tcW w:w="4583"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在全国率先建立PPP项目联审机制，全省通过在线平台共受理审批、核准、备案项目3.3万多个；大大提高工作效能。</w:t>
            </w:r>
          </w:p>
        </w:tc>
        <w:tc>
          <w:tcPr>
            <w:tcW w:w="560" w:type="dxa"/>
            <w:shd w:val="clear" w:color="auto" w:fill="auto"/>
            <w:vAlign w:val="center"/>
          </w:tcPr>
          <w:p>
            <w:pPr>
              <w:widowControl/>
              <w:spacing w:line="240" w:lineRule="exact"/>
              <w:jc w:val="center"/>
              <w:rPr>
                <w:color w:val="000000"/>
                <w:kern w:val="0"/>
                <w:sz w:val="20"/>
                <w:szCs w:val="20"/>
              </w:rPr>
            </w:pPr>
            <w:r>
              <w:rPr>
                <w:color w:val="000000"/>
                <w:kern w:val="0"/>
                <w:sz w:val="20"/>
                <w:szCs w:val="20"/>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40" w:hRule="atLeast"/>
          <w:jc w:val="center"/>
        </w:trPr>
        <w:tc>
          <w:tcPr>
            <w:tcW w:w="1138"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108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1097" w:type="dxa"/>
            <w:shd w:val="clear" w:color="auto" w:fill="auto"/>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社会公众或服务对象满意度</w:t>
            </w:r>
          </w:p>
        </w:tc>
        <w:tc>
          <w:tcPr>
            <w:tcW w:w="472" w:type="dxa"/>
            <w:shd w:val="clear" w:color="auto" w:fill="auto"/>
            <w:vAlign w:val="center"/>
          </w:tcPr>
          <w:p>
            <w:pPr>
              <w:widowControl/>
              <w:spacing w:line="240" w:lineRule="exact"/>
              <w:jc w:val="center"/>
              <w:rPr>
                <w:color w:val="000000"/>
                <w:kern w:val="0"/>
                <w:sz w:val="20"/>
                <w:szCs w:val="20"/>
              </w:rPr>
            </w:pPr>
            <w:r>
              <w:rPr>
                <w:color w:val="000000"/>
                <w:kern w:val="0"/>
                <w:sz w:val="20"/>
                <w:szCs w:val="20"/>
              </w:rPr>
              <w:t>6</w:t>
            </w:r>
          </w:p>
        </w:tc>
        <w:tc>
          <w:tcPr>
            <w:tcW w:w="2968"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90%（含）以上计6分；</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80%（含）-90%，计4分；</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70%（含）-80%，计2分；</w:t>
            </w:r>
            <w:r>
              <w:rPr>
                <w:rFonts w:hint="eastAsia" w:ascii="仿宋_GB2312" w:eastAsia="仿宋_GB2312"/>
                <w:color w:val="000000"/>
                <w:kern w:val="0"/>
                <w:sz w:val="20"/>
                <w:szCs w:val="20"/>
              </w:rPr>
              <w:br w:type="textWrapping"/>
            </w:r>
            <w:r>
              <w:rPr>
                <w:rFonts w:hint="eastAsia" w:ascii="仿宋_GB2312" w:eastAsia="仿宋_GB2312"/>
                <w:color w:val="000000"/>
                <w:kern w:val="0"/>
                <w:sz w:val="20"/>
                <w:szCs w:val="20"/>
              </w:rPr>
              <w:t>低于70%计0分。</w:t>
            </w:r>
          </w:p>
        </w:tc>
        <w:tc>
          <w:tcPr>
            <w:tcW w:w="3248"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社会公众或服务对象是指部门（单位）履行职责而影响到的部门、群体或个人，一般采取社会调查的方式。</w:t>
            </w:r>
          </w:p>
        </w:tc>
        <w:tc>
          <w:tcPr>
            <w:tcW w:w="4583" w:type="dxa"/>
            <w:shd w:val="clear" w:color="auto" w:fill="auto"/>
            <w:vAlign w:val="center"/>
          </w:tcPr>
          <w:p>
            <w:pPr>
              <w:widowControl/>
              <w:spacing w:line="240" w:lineRule="exact"/>
              <w:jc w:val="left"/>
              <w:rPr>
                <w:rFonts w:ascii="仿宋_GB2312" w:eastAsia="仿宋_GB2312"/>
                <w:color w:val="000000"/>
                <w:kern w:val="0"/>
                <w:sz w:val="20"/>
                <w:szCs w:val="20"/>
              </w:rPr>
            </w:pPr>
            <w:r>
              <w:rPr>
                <w:rFonts w:hint="eastAsia" w:ascii="仿宋_GB2312" w:eastAsia="仿宋_GB2312"/>
                <w:color w:val="000000"/>
                <w:kern w:val="0"/>
                <w:sz w:val="20"/>
                <w:szCs w:val="20"/>
              </w:rPr>
              <w:t>　</w:t>
            </w:r>
            <w:r>
              <w:rPr>
                <w:rFonts w:hint="eastAsia" w:ascii="仿宋_GB2312" w:hAnsi="宋体" w:eastAsia="仿宋_GB2312" w:cs="宋体"/>
                <w:color w:val="000000"/>
                <w:kern w:val="0"/>
                <w:sz w:val="20"/>
                <w:szCs w:val="20"/>
              </w:rPr>
              <w:t>满意度</w:t>
            </w:r>
            <w:r>
              <w:rPr>
                <w:rFonts w:hint="eastAsia" w:ascii="仿宋_GB2312" w:eastAsia="仿宋_GB2312"/>
                <w:color w:val="000000"/>
                <w:kern w:val="0"/>
                <w:sz w:val="20"/>
                <w:szCs w:val="20"/>
              </w:rPr>
              <w:t>调查结果为“非常满意”，得分100分</w:t>
            </w:r>
          </w:p>
        </w:tc>
        <w:tc>
          <w:tcPr>
            <w:tcW w:w="560" w:type="dxa"/>
            <w:shd w:val="clear" w:color="auto" w:fill="auto"/>
            <w:vAlign w:val="center"/>
          </w:tcPr>
          <w:p>
            <w:pPr>
              <w:widowControl/>
              <w:spacing w:line="240" w:lineRule="exact"/>
              <w:jc w:val="center"/>
              <w:rPr>
                <w:color w:val="000000"/>
                <w:kern w:val="0"/>
                <w:sz w:val="20"/>
                <w:szCs w:val="20"/>
              </w:rPr>
            </w:pPr>
            <w:r>
              <w:rPr>
                <w:color w:val="000000"/>
                <w:kern w:val="0"/>
                <w:sz w:val="20"/>
                <w:szCs w:val="20"/>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0" w:hRule="atLeast"/>
          <w:jc w:val="center"/>
        </w:trPr>
        <w:tc>
          <w:tcPr>
            <w:tcW w:w="14591" w:type="dxa"/>
            <w:gridSpan w:val="7"/>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合计</w:t>
            </w:r>
          </w:p>
        </w:tc>
        <w:tc>
          <w:tcPr>
            <w:tcW w:w="560" w:type="dxa"/>
            <w:shd w:val="clear" w:color="auto" w:fill="auto"/>
            <w:vAlign w:val="center"/>
          </w:tcPr>
          <w:p>
            <w:pPr>
              <w:widowControl/>
              <w:jc w:val="center"/>
              <w:rPr>
                <w:color w:val="000000"/>
                <w:kern w:val="0"/>
                <w:sz w:val="20"/>
                <w:szCs w:val="20"/>
              </w:rPr>
            </w:pPr>
            <w:r>
              <w:rPr>
                <w:color w:val="000000"/>
                <w:kern w:val="0"/>
                <w:sz w:val="20"/>
                <w:szCs w:val="20"/>
              </w:rPr>
              <w:t>93</w:t>
            </w:r>
          </w:p>
        </w:tc>
      </w:tr>
    </w:tbl>
    <w:p>
      <w:pPr>
        <w:spacing w:line="596" w:lineRule="exact"/>
        <w:rPr>
          <w:sz w:val="32"/>
          <w:szCs w:val="32"/>
        </w:rPr>
        <w:sectPr>
          <w:footerReference r:id="rId3" w:type="default"/>
          <w:footerReference r:id="rId4" w:type="even"/>
          <w:pgSz w:w="16838" w:h="11906" w:orient="landscape"/>
          <w:pgMar w:top="1418" w:right="1134" w:bottom="1418" w:left="1134" w:header="851" w:footer="1304"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449359405"/>
      <w:docPartObj>
        <w:docPartGallery w:val="autotext"/>
      </w:docPartObj>
    </w:sdtPr>
    <w:sdtEndPr>
      <w:rPr>
        <w:rFonts w:ascii="Times New Roman" w:hAnsi="Times New Roman" w:cs="Times New Roman"/>
        <w:sz w:val="28"/>
        <w:szCs w:val="28"/>
      </w:rPr>
    </w:sdtEndPr>
    <w:sdtContent>
      <w:p>
        <w:pPr>
          <w:pStyle w:val="2"/>
          <w:ind w:right="281" w:rightChars="13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266427679"/>
      <w:docPartObj>
        <w:docPartGallery w:val="autotext"/>
      </w:docPartObj>
    </w:sdtPr>
    <w:sdtEndPr>
      <w:rPr>
        <w:rFonts w:ascii="Times New Roman" w:hAnsi="Times New Roman" w:cs="Times New Roman"/>
        <w:sz w:val="28"/>
        <w:szCs w:val="28"/>
      </w:rPr>
    </w:sdtEndPr>
    <w:sdtContent>
      <w:p>
        <w:pPr>
          <w:pStyle w:val="2"/>
          <w:ind w:right="281" w:rightChars="134" w:firstLine="282" w:firstLineChars="101"/>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96"/>
    <w:rsid w:val="00D57296"/>
    <w:rsid w:val="00FF04E5"/>
    <w:rsid w:val="0717107E"/>
    <w:rsid w:val="6506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3"/>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536</Words>
  <Characters>3057</Characters>
  <Lines>25</Lines>
  <Paragraphs>7</Paragraphs>
  <TotalTime>0</TotalTime>
  <ScaleCrop>false</ScaleCrop>
  <LinksUpToDate>false</LinksUpToDate>
  <CharactersWithSpaces>3586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2018-06-08T01:09:00Z</dcterms:created>
  <dc:creator>NTKO</dc:creator>
  <cp:lastModifiedBy>会议管理</cp:lastModifiedBy>
  <dcterms:modified xsi:type="dcterms:W3CDTF">2024-06-12T10:18:14Z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