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rPr>
          <w:rFonts w:ascii="仿宋_GB2312" w:hAnsi="宋体" w:eastAsia="仿宋_GB2312" w:cs="宋体"/>
          <w:kern w:val="0"/>
          <w:sz w:val="32"/>
          <w:szCs w:val="32"/>
        </w:rPr>
      </w:pPr>
      <w:bookmarkStart w:id="0" w:name="_GoBack"/>
      <w:bookmarkEnd w:id="0"/>
      <w:r>
        <w:rPr>
          <w:rFonts w:hint="eastAsia" w:ascii="仿宋_GB2312" w:hAnsi="宋体" w:eastAsia="仿宋_GB2312" w:cs="宋体"/>
          <w:kern w:val="0"/>
          <w:sz w:val="32"/>
          <w:szCs w:val="32"/>
        </w:rPr>
        <w:t>附件：</w:t>
      </w:r>
    </w:p>
    <w:p>
      <w:pPr>
        <w:autoSpaceDE w:val="0"/>
        <w:autoSpaceDN w:val="0"/>
        <w:adjustRightInd w:val="0"/>
        <w:spacing w:line="500" w:lineRule="exact"/>
        <w:jc w:val="center"/>
        <w:rPr>
          <w:rFonts w:ascii="方正小标宋_GBK" w:hAnsi="黑体" w:eastAsia="方正小标宋_GBK" w:cs="宋体"/>
          <w:kern w:val="0"/>
          <w:sz w:val="38"/>
          <w:szCs w:val="38"/>
        </w:rPr>
      </w:pPr>
      <w:r>
        <w:rPr>
          <w:rFonts w:hint="eastAsia" w:ascii="方正小标宋_GBK" w:hAnsi="黑体" w:eastAsia="方正小标宋_GBK" w:cs="宋体"/>
          <w:kern w:val="0"/>
          <w:sz w:val="38"/>
          <w:szCs w:val="38"/>
        </w:rPr>
        <w:t>湖南省自然资源系统行政事业性收费标准表</w:t>
      </w:r>
    </w:p>
    <w:p>
      <w:pPr>
        <w:autoSpaceDE w:val="0"/>
        <w:autoSpaceDN w:val="0"/>
        <w:adjustRightInd w:val="0"/>
        <w:spacing w:line="500" w:lineRule="exact"/>
        <w:jc w:val="right"/>
        <w:rPr>
          <w:rFonts w:ascii="黑体" w:eastAsia="仿宋_GB2312"/>
          <w:w w:val="98"/>
          <w:sz w:val="32"/>
          <w:szCs w:val="32"/>
        </w:rPr>
      </w:pPr>
      <w:r>
        <w:rPr>
          <w:rFonts w:hint="eastAsia" w:ascii="宋体" w:hAnsi="宋体" w:cs="宋体"/>
          <w:kern w:val="0"/>
          <w:szCs w:val="21"/>
        </w:rPr>
        <w:t>金额单位：元</w:t>
      </w:r>
    </w:p>
    <w:tbl>
      <w:tblPr>
        <w:tblStyle w:val="3"/>
        <w:tblW w:w="0" w:type="auto"/>
        <w:jc w:val="center"/>
        <w:tblLayout w:type="fixed"/>
        <w:tblCellMar>
          <w:top w:w="0" w:type="dxa"/>
          <w:left w:w="108" w:type="dxa"/>
          <w:bottom w:w="0" w:type="dxa"/>
          <w:right w:w="108" w:type="dxa"/>
        </w:tblCellMar>
      </w:tblPr>
      <w:tblGrid>
        <w:gridCol w:w="680"/>
        <w:gridCol w:w="1660"/>
        <w:gridCol w:w="1340"/>
        <w:gridCol w:w="2880"/>
        <w:gridCol w:w="1780"/>
        <w:gridCol w:w="3797"/>
        <w:gridCol w:w="2525"/>
      </w:tblGrid>
      <w:tr>
        <w:tblPrEx>
          <w:tblCellMar>
            <w:top w:w="0" w:type="dxa"/>
            <w:left w:w="108" w:type="dxa"/>
            <w:bottom w:w="0" w:type="dxa"/>
            <w:right w:w="108" w:type="dxa"/>
          </w:tblCellMar>
        </w:tblPrEx>
        <w:trPr>
          <w:trHeight w:val="454" w:hRule="atLeast"/>
          <w:tblHeader/>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黑体" w:hAnsi="黑体" w:eastAsia="黑体" w:cs="宋体"/>
                <w:bCs/>
                <w:kern w:val="0"/>
                <w:szCs w:val="21"/>
              </w:rPr>
            </w:pPr>
            <w:r>
              <w:rPr>
                <w:rFonts w:hint="eastAsia" w:ascii="黑体" w:hAnsi="黑体" w:eastAsia="黑体" w:cs="宋体"/>
                <w:bCs/>
                <w:kern w:val="0"/>
                <w:szCs w:val="21"/>
              </w:rPr>
              <w:t>序号</w:t>
            </w:r>
          </w:p>
        </w:tc>
        <w:tc>
          <w:tcPr>
            <w:tcW w:w="166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bCs/>
                <w:kern w:val="0"/>
                <w:szCs w:val="21"/>
              </w:rPr>
            </w:pPr>
            <w:r>
              <w:rPr>
                <w:rFonts w:hint="eastAsia" w:ascii="黑体" w:hAnsi="黑体" w:eastAsia="黑体" w:cs="宋体"/>
                <w:bCs/>
                <w:kern w:val="0"/>
                <w:szCs w:val="21"/>
              </w:rPr>
              <w:t>收费项目名称</w:t>
            </w:r>
          </w:p>
        </w:tc>
        <w:tc>
          <w:tcPr>
            <w:tcW w:w="134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bCs/>
                <w:kern w:val="0"/>
                <w:szCs w:val="21"/>
              </w:rPr>
            </w:pPr>
            <w:r>
              <w:rPr>
                <w:rFonts w:hint="eastAsia" w:ascii="黑体" w:hAnsi="黑体" w:eastAsia="黑体" w:cs="宋体"/>
                <w:bCs/>
                <w:kern w:val="0"/>
                <w:szCs w:val="21"/>
              </w:rPr>
              <w:t>计费单位</w:t>
            </w:r>
          </w:p>
        </w:tc>
        <w:tc>
          <w:tcPr>
            <w:tcW w:w="288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bCs/>
                <w:kern w:val="0"/>
                <w:szCs w:val="21"/>
              </w:rPr>
            </w:pPr>
            <w:r>
              <w:rPr>
                <w:rFonts w:hint="eastAsia" w:ascii="黑体" w:hAnsi="黑体" w:eastAsia="黑体" w:cs="宋体"/>
                <w:bCs/>
                <w:kern w:val="0"/>
                <w:szCs w:val="21"/>
              </w:rPr>
              <w:t>收费标准</w:t>
            </w:r>
          </w:p>
        </w:tc>
        <w:tc>
          <w:tcPr>
            <w:tcW w:w="178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bCs/>
                <w:kern w:val="0"/>
                <w:szCs w:val="21"/>
              </w:rPr>
            </w:pPr>
            <w:r>
              <w:rPr>
                <w:rFonts w:hint="eastAsia" w:ascii="黑体" w:hAnsi="黑体" w:eastAsia="黑体" w:cs="宋体"/>
                <w:bCs/>
                <w:kern w:val="0"/>
                <w:szCs w:val="21"/>
              </w:rPr>
              <w:t>执收单位</w:t>
            </w:r>
          </w:p>
        </w:tc>
        <w:tc>
          <w:tcPr>
            <w:tcW w:w="379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bCs/>
                <w:kern w:val="0"/>
                <w:szCs w:val="21"/>
              </w:rPr>
            </w:pPr>
            <w:r>
              <w:rPr>
                <w:rFonts w:hint="eastAsia" w:ascii="黑体" w:hAnsi="黑体" w:eastAsia="黑体" w:cs="宋体"/>
                <w:bCs/>
                <w:kern w:val="0"/>
                <w:szCs w:val="21"/>
              </w:rPr>
              <w:t>收费对象及范围</w:t>
            </w:r>
          </w:p>
        </w:tc>
        <w:tc>
          <w:tcPr>
            <w:tcW w:w="252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bCs/>
                <w:kern w:val="0"/>
                <w:szCs w:val="21"/>
              </w:rPr>
            </w:pPr>
            <w:r>
              <w:rPr>
                <w:rFonts w:hint="eastAsia" w:ascii="黑体" w:hAnsi="黑体" w:eastAsia="黑体" w:cs="宋体"/>
                <w:bCs/>
                <w:kern w:val="0"/>
                <w:szCs w:val="21"/>
              </w:rPr>
              <w:t>备</w:t>
            </w:r>
            <w:r>
              <w:rPr>
                <w:rFonts w:ascii="黑体" w:hAnsi="黑体" w:eastAsia="黑体" w:cs="宋体"/>
                <w:bCs/>
                <w:kern w:val="0"/>
                <w:szCs w:val="21"/>
              </w:rPr>
              <w:t xml:space="preserve">  </w:t>
            </w:r>
            <w:r>
              <w:rPr>
                <w:rFonts w:hint="eastAsia" w:ascii="黑体" w:hAnsi="黑体" w:eastAsia="黑体" w:cs="宋体"/>
                <w:bCs/>
                <w:kern w:val="0"/>
                <w:szCs w:val="21"/>
              </w:rPr>
              <w:t>注</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土地复垦费</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每亩</w:t>
            </w: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根据土地破坏程度和复垦工作量确定</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各级自然资源行政主管部门</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因挖损、塌陷、压占等造成土地破坏而没有条件复垦或复垦达不到要求的单位或个人</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由</w:t>
            </w:r>
            <w:r>
              <w:rPr>
                <w:rFonts w:hint="default" w:ascii="宋体" w:hAnsi="宋体" w:cs="宋体"/>
                <w:kern w:val="0"/>
                <w:szCs w:val="21"/>
                <w:lang w:val="en"/>
              </w:rPr>
              <w:t>县级以上</w:t>
            </w:r>
            <w:r>
              <w:rPr>
                <w:rFonts w:hint="eastAsia" w:ascii="宋体" w:hAnsi="宋体" w:cs="宋体"/>
                <w:kern w:val="0"/>
                <w:szCs w:val="21"/>
              </w:rPr>
              <w:t>价格、财政行政主管部门会同自然资源行政部门确定。</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二</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土地闲置费</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每亩</w:t>
            </w: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土地成交价款的</w:t>
            </w:r>
            <w:r>
              <w:rPr>
                <w:rFonts w:ascii="宋体" w:hAnsi="宋体" w:cs="宋体"/>
                <w:kern w:val="0"/>
                <w:szCs w:val="21"/>
              </w:rPr>
              <w:t>20%</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各级自然资源行政主管部门</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造成土地闲置的用地单位或个人</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由</w:t>
            </w:r>
            <w:r>
              <w:rPr>
                <w:rFonts w:hint="default" w:ascii="宋体" w:hAnsi="宋体" w:cs="宋体"/>
                <w:kern w:val="0"/>
                <w:szCs w:val="21"/>
                <w:lang w:val="en"/>
              </w:rPr>
              <w:t>县级以上</w:t>
            </w:r>
            <w:r>
              <w:rPr>
                <w:rFonts w:hint="eastAsia" w:ascii="宋体" w:hAnsi="宋体" w:cs="宋体"/>
                <w:kern w:val="0"/>
                <w:szCs w:val="21"/>
              </w:rPr>
              <w:t>价格、财政行政主管部门会同自然资源行政部门确定。</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三</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不动产登记费</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县级以上不动产登记机构</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办理登记的单位或个人</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住宅类</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每件</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80</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非住宅类</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每件</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550</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证书工本费</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每证</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10</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四</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耕地开垦费</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各级自然资源行政主管部门</w:t>
            </w:r>
          </w:p>
        </w:tc>
        <w:tc>
          <w:tcPr>
            <w:tcW w:w="3797" w:type="dxa"/>
            <w:tcBorders>
              <w:top w:val="nil"/>
              <w:left w:val="nil"/>
              <w:bottom w:val="nil"/>
              <w:right w:val="nil"/>
            </w:tcBorders>
            <w:vAlign w:val="center"/>
          </w:tcPr>
          <w:p>
            <w:pPr>
              <w:widowControl/>
              <w:spacing w:line="280" w:lineRule="exact"/>
              <w:rPr>
                <w:rFonts w:ascii="宋体" w:hAnsi="宋体" w:cs="宋体"/>
                <w:color w:val="000000"/>
                <w:kern w:val="0"/>
                <w:szCs w:val="21"/>
              </w:rPr>
            </w:pPr>
            <w:r>
              <w:rPr>
                <w:rFonts w:hint="eastAsia" w:ascii="宋体" w:hAnsi="宋体" w:cs="宋体"/>
                <w:color w:val="000000"/>
                <w:kern w:val="0"/>
                <w:szCs w:val="21"/>
              </w:rPr>
              <w:t>经批准占用耕地但没有条件开垦或者开垦的耕地不符合要求的非农业项目建设单位</w:t>
            </w:r>
          </w:p>
        </w:tc>
        <w:tc>
          <w:tcPr>
            <w:tcW w:w="25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优等</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c>
          <w:tcPr>
            <w:tcW w:w="28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ascii="宋体" w:hAnsi="宋体" w:cs="宋体"/>
                <w:kern w:val="0"/>
                <w:szCs w:val="21"/>
              </w:rPr>
              <w:t xml:space="preserve">   水田</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每亩</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78000</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ascii="宋体" w:hAnsi="宋体" w:cs="宋体"/>
                <w:kern w:val="0"/>
                <w:szCs w:val="21"/>
              </w:rPr>
              <w:t xml:space="preserve">   旱地</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每亩</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52000</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高等</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ascii="宋体" w:hAnsi="宋体" w:cs="宋体"/>
                <w:kern w:val="0"/>
                <w:szCs w:val="21"/>
              </w:rPr>
              <w:t xml:space="preserve">   水田</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每亩</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74000</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ascii="宋体" w:hAnsi="宋体" w:cs="宋体"/>
                <w:kern w:val="0"/>
                <w:szCs w:val="21"/>
              </w:rPr>
              <w:t xml:space="preserve">   旱地</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每亩</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46000</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中等</w:t>
            </w:r>
          </w:p>
        </w:tc>
        <w:tc>
          <w:tcPr>
            <w:tcW w:w="134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ascii="宋体" w:hAnsi="宋体" w:cs="宋体"/>
                <w:kern w:val="0"/>
                <w:szCs w:val="21"/>
              </w:rPr>
              <w:t xml:space="preserve">   水田</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每亩</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66000</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ascii="宋体" w:hAnsi="宋体" w:cs="宋体"/>
                <w:kern w:val="0"/>
                <w:szCs w:val="21"/>
              </w:rPr>
              <w:t xml:space="preserve">   旱地</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每亩</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38000</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低等</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ascii="宋体" w:hAnsi="宋体" w:cs="宋体"/>
                <w:kern w:val="0"/>
                <w:szCs w:val="21"/>
              </w:rPr>
              <w:t xml:space="preserve">   水田</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每亩</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59000</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ascii="宋体" w:hAnsi="宋体" w:cs="宋体"/>
                <w:kern w:val="0"/>
                <w:szCs w:val="21"/>
              </w:rPr>
              <w:t xml:space="preserve">   旱地</w:t>
            </w:r>
          </w:p>
        </w:tc>
        <w:tc>
          <w:tcPr>
            <w:tcW w:w="13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每亩</w:t>
            </w:r>
          </w:p>
        </w:tc>
        <w:tc>
          <w:tcPr>
            <w:tcW w:w="28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37000</w:t>
            </w:r>
          </w:p>
        </w:tc>
        <w:tc>
          <w:tcPr>
            <w:tcW w:w="17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379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c>
          <w:tcPr>
            <w:tcW w:w="25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　</w:t>
            </w:r>
          </w:p>
        </w:tc>
      </w:tr>
    </w:tbl>
    <w:p>
      <w:pPr>
        <w:sectPr>
          <w:footerReference r:id="rId3" w:type="default"/>
          <w:footerReference r:id="rId4" w:type="even"/>
          <w:pgSz w:w="16838" w:h="11906" w:orient="landscape"/>
          <w:pgMar w:top="1418" w:right="1418" w:bottom="1247" w:left="1418" w:header="851" w:footer="1021"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center"/>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57"/>
      <w:jc w:val="center"/>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10</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79"/>
    <w:rsid w:val="0024651D"/>
    <w:rsid w:val="00BA1579"/>
    <w:rsid w:val="9FC49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0"/>
    <w:pPr>
      <w:tabs>
        <w:tab w:val="center" w:pos="4153"/>
        <w:tab w:val="right" w:pos="8306"/>
      </w:tabs>
      <w:snapToGrid w:val="0"/>
      <w:jc w:val="left"/>
    </w:pPr>
    <w:rPr>
      <w:sz w:val="18"/>
      <w:szCs w:val="18"/>
    </w:rPr>
  </w:style>
  <w:style w:type="character" w:customStyle="1" w:styleId="5">
    <w:name w:val="页脚 Char"/>
    <w:basedOn w:val="4"/>
    <w:link w:val="2"/>
    <w:qFormat/>
    <w:uiPriority w:val="0"/>
    <w:rPr>
      <w:rFonts w:ascii="Times New Roman" w:hAnsi="Times New Roman" w:eastAsia="宋体" w:cs="Times New Roman"/>
      <w:sz w:val="18"/>
      <w:szCs w:val="18"/>
    </w:rPr>
  </w:style>
  <w:style w:type="character" w:customStyle="1" w:styleId="6">
    <w:name w:val="页脚 Char1"/>
    <w:basedOn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274</Words>
  <Characters>411</Characters>
  <Lines>27</Lines>
  <Paragraphs>42</Paragraphs>
  <TotalTime>0</TotalTime>
  <ScaleCrop>false</ScaleCrop>
  <LinksUpToDate>false</LinksUpToDate>
  <CharactersWithSpaces>643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2019-11-22T11:29:00Z</dcterms:created>
  <dc:creator>朱佳妮</dc:creator>
  <cp:lastModifiedBy>greatwall</cp:lastModifiedBy>
  <dcterms:modified xsi:type="dcterms:W3CDTF">2023-03-14T15:10:18Z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