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00" w:lineRule="exact"/>
        <w:rPr>
          <w:rFonts w:eastAsia="仿宋_GB2312"/>
          <w:sz w:val="32"/>
          <w:szCs w:val="32"/>
        </w:rPr>
      </w:pPr>
      <w:r>
        <w:rPr>
          <w:rFonts w:eastAsia="仿宋_GB2312"/>
          <w:sz w:val="32"/>
          <w:szCs w:val="32"/>
        </w:rPr>
        <w:t>附件3：</w:t>
      </w:r>
    </w:p>
    <w:p>
      <w:pPr>
        <w:autoSpaceDE w:val="0"/>
        <w:autoSpaceDN w:val="0"/>
        <w:adjustRightInd w:val="0"/>
        <w:spacing w:line="500" w:lineRule="exact"/>
        <w:rPr>
          <w:rFonts w:eastAsia="仿宋_GB2312"/>
          <w:sz w:val="32"/>
          <w:szCs w:val="32"/>
        </w:rPr>
      </w:pPr>
    </w:p>
    <w:p>
      <w:pPr>
        <w:autoSpaceDE w:val="0"/>
        <w:autoSpaceDN w:val="0"/>
        <w:adjustRightInd w:val="0"/>
        <w:spacing w:line="500" w:lineRule="exact"/>
        <w:jc w:val="center"/>
        <w:rPr>
          <w:rFonts w:eastAsia="方正小标宋_GBK"/>
          <w:sz w:val="40"/>
          <w:szCs w:val="40"/>
        </w:rPr>
      </w:pPr>
      <w:r>
        <w:rPr>
          <w:rFonts w:eastAsia="方正小标宋_GBK"/>
          <w:sz w:val="40"/>
          <w:szCs w:val="40"/>
        </w:rPr>
        <w:t>湖南省农村到户电价最高限价表</w:t>
      </w:r>
    </w:p>
    <w:p>
      <w:pPr>
        <w:autoSpaceDE w:val="0"/>
        <w:autoSpaceDN w:val="0"/>
        <w:adjustRightInd w:val="0"/>
        <w:spacing w:line="500" w:lineRule="exact"/>
        <w:jc w:val="center"/>
        <w:rPr>
          <w:rFonts w:eastAsia="方正小标宋_GBK"/>
          <w:sz w:val="40"/>
          <w:szCs w:val="40"/>
        </w:rPr>
      </w:pPr>
    </w:p>
    <w:p>
      <w:pPr>
        <w:autoSpaceDE w:val="0"/>
        <w:autoSpaceDN w:val="0"/>
        <w:adjustRightInd w:val="0"/>
        <w:spacing w:line="500" w:lineRule="exact"/>
        <w:jc w:val="right"/>
        <w:rPr>
          <w:sz w:val="22"/>
          <w:szCs w:val="22"/>
        </w:rPr>
      </w:pPr>
      <w:r>
        <w:rPr>
          <w:sz w:val="22"/>
          <w:szCs w:val="22"/>
        </w:rPr>
        <w:t>单位：元/千瓦时</w:t>
      </w:r>
    </w:p>
    <w:tbl>
      <w:tblPr>
        <w:tblStyle w:val="4"/>
        <w:tblW w:w="9304" w:type="dxa"/>
        <w:jc w:val="center"/>
        <w:tblInd w:w="0" w:type="dxa"/>
        <w:tblLayout w:type="fixed"/>
        <w:tblCellMar>
          <w:top w:w="0" w:type="dxa"/>
          <w:left w:w="108" w:type="dxa"/>
          <w:bottom w:w="0" w:type="dxa"/>
          <w:right w:w="108" w:type="dxa"/>
        </w:tblCellMar>
      </w:tblPr>
      <w:tblGrid>
        <w:gridCol w:w="1056"/>
        <w:gridCol w:w="1529"/>
        <w:gridCol w:w="2551"/>
        <w:gridCol w:w="1276"/>
        <w:gridCol w:w="992"/>
        <w:gridCol w:w="1900"/>
      </w:tblGrid>
      <w:tr>
        <w:tblPrEx>
          <w:tblLayout w:type="fixed"/>
          <w:tblCellMar>
            <w:top w:w="0" w:type="dxa"/>
            <w:left w:w="108" w:type="dxa"/>
            <w:bottom w:w="0" w:type="dxa"/>
            <w:right w:w="108" w:type="dxa"/>
          </w:tblCellMar>
        </w:tblPrEx>
        <w:trPr>
          <w:trHeight w:val="1024" w:hRule="atLeast"/>
          <w:jc w:val="center"/>
        </w:trPr>
        <w:tc>
          <w:tcPr>
            <w:tcW w:w="2585" w:type="dxa"/>
            <w:gridSpan w:val="2"/>
            <w:tcBorders>
              <w:top w:val="single" w:color="auto" w:sz="8" w:space="0"/>
              <w:left w:val="single" w:color="auto" w:sz="8" w:space="0"/>
              <w:bottom w:val="single" w:color="auto" w:sz="4" w:space="0"/>
              <w:right w:val="single" w:color="auto" w:sz="4" w:space="0"/>
            </w:tcBorders>
            <w:vAlign w:val="center"/>
          </w:tcPr>
          <w:p>
            <w:pPr>
              <w:widowControl/>
              <w:spacing w:line="320" w:lineRule="exact"/>
              <w:jc w:val="center"/>
              <w:rPr>
                <w:rFonts w:eastAsia="黑体"/>
                <w:bCs/>
                <w:kern w:val="0"/>
                <w:sz w:val="22"/>
                <w:szCs w:val="22"/>
              </w:rPr>
            </w:pPr>
            <w:r>
              <w:rPr>
                <w:rFonts w:eastAsia="黑体"/>
                <w:bCs/>
                <w:kern w:val="0"/>
                <w:sz w:val="22"/>
                <w:szCs w:val="22"/>
              </w:rPr>
              <w:t>类   别</w:t>
            </w:r>
          </w:p>
        </w:tc>
        <w:tc>
          <w:tcPr>
            <w:tcW w:w="2551"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szCs w:val="22"/>
              </w:rPr>
            </w:pPr>
            <w:r>
              <w:rPr>
                <w:rFonts w:eastAsia="黑体"/>
                <w:bCs/>
                <w:kern w:val="0"/>
                <w:sz w:val="22"/>
                <w:szCs w:val="22"/>
              </w:rPr>
              <w:t>城市郊区、用电量大的集镇、经济发达地区</w:t>
            </w:r>
          </w:p>
        </w:tc>
        <w:tc>
          <w:tcPr>
            <w:tcW w:w="1276"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szCs w:val="22"/>
              </w:rPr>
            </w:pPr>
            <w:r>
              <w:rPr>
                <w:rFonts w:eastAsia="黑体"/>
                <w:bCs/>
                <w:kern w:val="0"/>
                <w:sz w:val="22"/>
                <w:szCs w:val="22"/>
              </w:rPr>
              <w:t>一般平原、丘陵地区</w:t>
            </w:r>
          </w:p>
        </w:tc>
        <w:tc>
          <w:tcPr>
            <w:tcW w:w="992" w:type="dxa"/>
            <w:tcBorders>
              <w:top w:val="single" w:color="auto" w:sz="8" w:space="0"/>
              <w:left w:val="nil"/>
              <w:bottom w:val="single" w:color="auto" w:sz="4" w:space="0"/>
              <w:right w:val="single" w:color="auto" w:sz="4" w:space="0"/>
            </w:tcBorders>
            <w:vAlign w:val="center"/>
          </w:tcPr>
          <w:p>
            <w:pPr>
              <w:widowControl/>
              <w:spacing w:line="320" w:lineRule="exact"/>
              <w:jc w:val="center"/>
              <w:rPr>
                <w:rFonts w:eastAsia="黑体"/>
                <w:bCs/>
                <w:kern w:val="0"/>
                <w:sz w:val="22"/>
                <w:szCs w:val="22"/>
              </w:rPr>
            </w:pPr>
            <w:r>
              <w:rPr>
                <w:rFonts w:eastAsia="黑体"/>
                <w:bCs/>
                <w:kern w:val="0"/>
                <w:sz w:val="22"/>
                <w:szCs w:val="22"/>
              </w:rPr>
              <w:t>山区</w:t>
            </w:r>
          </w:p>
        </w:tc>
        <w:tc>
          <w:tcPr>
            <w:tcW w:w="1900" w:type="dxa"/>
            <w:tcBorders>
              <w:top w:val="single" w:color="auto" w:sz="8" w:space="0"/>
              <w:left w:val="nil"/>
              <w:bottom w:val="single" w:color="auto" w:sz="4" w:space="0"/>
              <w:right w:val="single" w:color="auto" w:sz="8" w:space="0"/>
            </w:tcBorders>
            <w:vAlign w:val="center"/>
          </w:tcPr>
          <w:p>
            <w:pPr>
              <w:widowControl/>
              <w:spacing w:line="320" w:lineRule="exact"/>
              <w:jc w:val="center"/>
              <w:rPr>
                <w:rFonts w:eastAsia="黑体"/>
                <w:bCs/>
                <w:kern w:val="0"/>
                <w:sz w:val="22"/>
                <w:szCs w:val="22"/>
              </w:rPr>
            </w:pPr>
            <w:r>
              <w:rPr>
                <w:rFonts w:eastAsia="黑体"/>
                <w:bCs/>
                <w:kern w:val="0"/>
                <w:sz w:val="22"/>
                <w:szCs w:val="22"/>
              </w:rPr>
              <w:t>备注</w:t>
            </w:r>
          </w:p>
        </w:tc>
      </w:tr>
      <w:tr>
        <w:tblPrEx>
          <w:tblLayout w:type="fixed"/>
          <w:tblCellMar>
            <w:top w:w="0" w:type="dxa"/>
            <w:left w:w="108" w:type="dxa"/>
            <w:bottom w:w="0" w:type="dxa"/>
            <w:right w:w="108" w:type="dxa"/>
          </w:tblCellMar>
        </w:tblPrEx>
        <w:trPr>
          <w:trHeight w:val="737" w:hRule="atLeast"/>
          <w:jc w:val="center"/>
        </w:trPr>
        <w:tc>
          <w:tcPr>
            <w:tcW w:w="1056" w:type="dxa"/>
            <w:vMerge w:val="restart"/>
            <w:tcBorders>
              <w:top w:val="nil"/>
              <w:left w:val="single" w:color="auto" w:sz="8" w:space="0"/>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居民生活用电</w:t>
            </w: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同价标准</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0.588</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0.588</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0.588</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auto" w:sz="4"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同价前基价</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0.588</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0.61</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0.64</w:t>
            </w:r>
          </w:p>
        </w:tc>
        <w:tc>
          <w:tcPr>
            <w:tcW w:w="1900" w:type="dxa"/>
            <w:tcBorders>
              <w:top w:val="nil"/>
              <w:left w:val="nil"/>
              <w:bottom w:val="single" w:color="auto" w:sz="4" w:space="0"/>
              <w:right w:val="single" w:color="auto" w:sz="8" w:space="0"/>
            </w:tcBorders>
            <w:vAlign w:val="center"/>
          </w:tcPr>
          <w:p>
            <w:pPr>
              <w:widowControl/>
              <w:spacing w:line="320" w:lineRule="exact"/>
              <w:jc w:val="left"/>
              <w:rPr>
                <w:kern w:val="0"/>
                <w:sz w:val="22"/>
                <w:szCs w:val="22"/>
              </w:rPr>
            </w:pPr>
            <w:r>
              <w:rPr>
                <w:kern w:val="0"/>
                <w:sz w:val="22"/>
                <w:szCs w:val="22"/>
              </w:rPr>
              <w:t>大电网未抄表到户的，地方电网已网改的</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auto" w:sz="4"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最高限价</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0.62</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0.65</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 xml:space="preserve">0.70 </w:t>
            </w:r>
          </w:p>
        </w:tc>
        <w:tc>
          <w:tcPr>
            <w:tcW w:w="1900" w:type="dxa"/>
            <w:tcBorders>
              <w:top w:val="nil"/>
              <w:left w:val="nil"/>
              <w:bottom w:val="single" w:color="auto" w:sz="4" w:space="0"/>
              <w:right w:val="single" w:color="auto" w:sz="8" w:space="0"/>
            </w:tcBorders>
            <w:vAlign w:val="center"/>
          </w:tcPr>
          <w:p>
            <w:pPr>
              <w:widowControl/>
              <w:spacing w:line="320" w:lineRule="exact"/>
              <w:jc w:val="left"/>
              <w:rPr>
                <w:kern w:val="0"/>
                <w:sz w:val="22"/>
                <w:szCs w:val="22"/>
              </w:rPr>
            </w:pPr>
            <w:r>
              <w:rPr>
                <w:kern w:val="0"/>
                <w:sz w:val="22"/>
                <w:szCs w:val="22"/>
              </w:rPr>
              <w:t>地方电网未网改的</w:t>
            </w:r>
          </w:p>
        </w:tc>
      </w:tr>
      <w:tr>
        <w:tblPrEx>
          <w:tblLayout w:type="fixed"/>
          <w:tblCellMar>
            <w:top w:w="0" w:type="dxa"/>
            <w:left w:w="108" w:type="dxa"/>
            <w:bottom w:w="0" w:type="dxa"/>
            <w:right w:w="108" w:type="dxa"/>
          </w:tblCellMar>
        </w:tblPrEx>
        <w:trPr>
          <w:trHeight w:val="737" w:hRule="atLeast"/>
          <w:jc w:val="center"/>
        </w:trPr>
        <w:tc>
          <w:tcPr>
            <w:tcW w:w="1056" w:type="dxa"/>
            <w:vMerge w:val="restart"/>
            <w:tcBorders>
              <w:top w:val="nil"/>
              <w:left w:val="single" w:color="auto" w:sz="8" w:space="0"/>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一般工商业及其他用电</w:t>
            </w: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已“网改”</w:t>
            </w:r>
          </w:p>
        </w:tc>
        <w:tc>
          <w:tcPr>
            <w:tcW w:w="2551"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0.9402</w:t>
            </w:r>
          </w:p>
        </w:tc>
        <w:tc>
          <w:tcPr>
            <w:tcW w:w="1276"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0.9702</w:t>
            </w:r>
          </w:p>
        </w:tc>
        <w:tc>
          <w:tcPr>
            <w:tcW w:w="992"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1.0222</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auto" w:sz="4"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未“网改”</w:t>
            </w:r>
          </w:p>
        </w:tc>
        <w:tc>
          <w:tcPr>
            <w:tcW w:w="2551"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0.9792</w:t>
            </w:r>
          </w:p>
        </w:tc>
        <w:tc>
          <w:tcPr>
            <w:tcW w:w="1276"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1.0092</w:t>
            </w:r>
          </w:p>
        </w:tc>
        <w:tc>
          <w:tcPr>
            <w:tcW w:w="992" w:type="dxa"/>
            <w:tcBorders>
              <w:top w:val="nil"/>
              <w:left w:val="nil"/>
              <w:bottom w:val="single" w:color="auto" w:sz="4" w:space="0"/>
              <w:right w:val="single" w:color="auto" w:sz="4" w:space="0"/>
            </w:tcBorders>
            <w:vAlign w:val="center"/>
          </w:tcPr>
          <w:p>
            <w:pPr>
              <w:spacing w:line="320" w:lineRule="exact"/>
              <w:jc w:val="center"/>
              <w:rPr>
                <w:sz w:val="22"/>
                <w:szCs w:val="22"/>
              </w:rPr>
            </w:pPr>
            <w:r>
              <w:rPr>
                <w:sz w:val="22"/>
                <w:szCs w:val="22"/>
              </w:rPr>
              <w:t>1.0622</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restart"/>
            <w:tcBorders>
              <w:top w:val="nil"/>
              <w:left w:val="single" w:color="auto" w:sz="8" w:space="0"/>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农业生产用电</w:t>
            </w: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已“网改”</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0.648</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0.668</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0.728</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auto" w:sz="4"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未“网改”</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0.68</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0.708</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0.768</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restart"/>
            <w:tcBorders>
              <w:top w:val="nil"/>
              <w:left w:val="single" w:color="auto" w:sz="8" w:space="0"/>
              <w:bottom w:val="single" w:color="000000" w:sz="8" w:space="0"/>
              <w:right w:val="single" w:color="auto" w:sz="4" w:space="0"/>
            </w:tcBorders>
            <w:vAlign w:val="center"/>
          </w:tcPr>
          <w:p>
            <w:pPr>
              <w:widowControl/>
              <w:spacing w:line="320" w:lineRule="exact"/>
              <w:jc w:val="center"/>
              <w:rPr>
                <w:kern w:val="0"/>
                <w:sz w:val="22"/>
                <w:szCs w:val="22"/>
              </w:rPr>
            </w:pPr>
            <w:r>
              <w:rPr>
                <w:kern w:val="0"/>
                <w:sz w:val="22"/>
                <w:szCs w:val="22"/>
              </w:rPr>
              <w:t>贫困县农排用电</w:t>
            </w:r>
          </w:p>
        </w:tc>
        <w:tc>
          <w:tcPr>
            <w:tcW w:w="1529"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已“网改”</w:t>
            </w:r>
          </w:p>
        </w:tc>
        <w:tc>
          <w:tcPr>
            <w:tcW w:w="2551"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 xml:space="preserve">0.50 </w:t>
            </w:r>
          </w:p>
        </w:tc>
        <w:tc>
          <w:tcPr>
            <w:tcW w:w="1276"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0.53</w:t>
            </w:r>
          </w:p>
        </w:tc>
        <w:tc>
          <w:tcPr>
            <w:tcW w:w="992" w:type="dxa"/>
            <w:tcBorders>
              <w:top w:val="nil"/>
              <w:left w:val="nil"/>
              <w:bottom w:val="single" w:color="auto" w:sz="4" w:space="0"/>
              <w:right w:val="single" w:color="auto" w:sz="4" w:space="0"/>
            </w:tcBorders>
            <w:vAlign w:val="center"/>
          </w:tcPr>
          <w:p>
            <w:pPr>
              <w:widowControl/>
              <w:spacing w:line="320" w:lineRule="exact"/>
              <w:jc w:val="center"/>
              <w:rPr>
                <w:kern w:val="0"/>
                <w:sz w:val="22"/>
                <w:szCs w:val="22"/>
              </w:rPr>
            </w:pPr>
            <w:r>
              <w:rPr>
                <w:kern w:val="0"/>
                <w:sz w:val="22"/>
                <w:szCs w:val="22"/>
              </w:rPr>
              <w:t>0.59</w:t>
            </w:r>
          </w:p>
        </w:tc>
        <w:tc>
          <w:tcPr>
            <w:tcW w:w="1900" w:type="dxa"/>
            <w:tcBorders>
              <w:top w:val="nil"/>
              <w:left w:val="nil"/>
              <w:bottom w:val="single" w:color="auto" w:sz="4" w:space="0"/>
              <w:right w:val="single" w:color="auto" w:sz="8" w:space="0"/>
            </w:tcBorders>
            <w:vAlign w:val="center"/>
          </w:tcPr>
          <w:p>
            <w:pPr>
              <w:widowControl/>
              <w:spacing w:line="320" w:lineRule="exact"/>
              <w:jc w:val="center"/>
              <w:rPr>
                <w:kern w:val="0"/>
                <w:sz w:val="22"/>
                <w:szCs w:val="22"/>
              </w:rPr>
            </w:pPr>
            <w:r>
              <w:rPr>
                <w:kern w:val="0"/>
                <w:sz w:val="22"/>
                <w:szCs w:val="22"/>
              </w:rPr>
              <w:t>　</w:t>
            </w:r>
          </w:p>
        </w:tc>
      </w:tr>
      <w:tr>
        <w:tblPrEx>
          <w:tblLayout w:type="fixed"/>
          <w:tblCellMar>
            <w:top w:w="0" w:type="dxa"/>
            <w:left w:w="108" w:type="dxa"/>
            <w:bottom w:w="0" w:type="dxa"/>
            <w:right w:w="108" w:type="dxa"/>
          </w:tblCellMar>
        </w:tblPrEx>
        <w:trPr>
          <w:trHeight w:val="737" w:hRule="atLeast"/>
          <w:jc w:val="center"/>
        </w:trPr>
        <w:tc>
          <w:tcPr>
            <w:tcW w:w="1056" w:type="dxa"/>
            <w:vMerge w:val="continue"/>
            <w:tcBorders>
              <w:top w:val="nil"/>
              <w:left w:val="single" w:color="auto" w:sz="8" w:space="0"/>
              <w:bottom w:val="single" w:color="000000" w:sz="8" w:space="0"/>
              <w:right w:val="single" w:color="auto" w:sz="4" w:space="0"/>
            </w:tcBorders>
            <w:vAlign w:val="center"/>
          </w:tcPr>
          <w:p>
            <w:pPr>
              <w:widowControl/>
              <w:spacing w:line="320" w:lineRule="exact"/>
              <w:jc w:val="left"/>
              <w:rPr>
                <w:kern w:val="0"/>
                <w:sz w:val="22"/>
                <w:szCs w:val="22"/>
              </w:rPr>
            </w:pPr>
          </w:p>
        </w:tc>
        <w:tc>
          <w:tcPr>
            <w:tcW w:w="1529" w:type="dxa"/>
            <w:tcBorders>
              <w:top w:val="nil"/>
              <w:left w:val="nil"/>
              <w:bottom w:val="single" w:color="auto" w:sz="8" w:space="0"/>
              <w:right w:val="single" w:color="auto" w:sz="4" w:space="0"/>
            </w:tcBorders>
            <w:vAlign w:val="center"/>
          </w:tcPr>
          <w:p>
            <w:pPr>
              <w:widowControl/>
              <w:spacing w:line="320" w:lineRule="exact"/>
              <w:jc w:val="center"/>
              <w:rPr>
                <w:kern w:val="0"/>
                <w:sz w:val="22"/>
                <w:szCs w:val="22"/>
              </w:rPr>
            </w:pPr>
            <w:r>
              <w:rPr>
                <w:kern w:val="0"/>
                <w:sz w:val="22"/>
                <w:szCs w:val="22"/>
              </w:rPr>
              <w:t>未“网改”</w:t>
            </w:r>
          </w:p>
        </w:tc>
        <w:tc>
          <w:tcPr>
            <w:tcW w:w="2551" w:type="dxa"/>
            <w:tcBorders>
              <w:top w:val="nil"/>
              <w:left w:val="nil"/>
              <w:bottom w:val="single" w:color="auto" w:sz="8" w:space="0"/>
              <w:right w:val="single" w:color="auto" w:sz="4" w:space="0"/>
            </w:tcBorders>
            <w:vAlign w:val="center"/>
          </w:tcPr>
          <w:p>
            <w:pPr>
              <w:widowControl/>
              <w:spacing w:line="320" w:lineRule="exact"/>
              <w:jc w:val="center"/>
              <w:rPr>
                <w:kern w:val="0"/>
                <w:sz w:val="22"/>
                <w:szCs w:val="22"/>
              </w:rPr>
            </w:pPr>
            <w:r>
              <w:rPr>
                <w:kern w:val="0"/>
                <w:sz w:val="22"/>
                <w:szCs w:val="22"/>
              </w:rPr>
              <w:t>0.54</w:t>
            </w:r>
          </w:p>
        </w:tc>
        <w:tc>
          <w:tcPr>
            <w:tcW w:w="1276" w:type="dxa"/>
            <w:tcBorders>
              <w:top w:val="nil"/>
              <w:left w:val="nil"/>
              <w:bottom w:val="single" w:color="auto" w:sz="8" w:space="0"/>
              <w:right w:val="single" w:color="auto" w:sz="4" w:space="0"/>
            </w:tcBorders>
            <w:vAlign w:val="center"/>
          </w:tcPr>
          <w:p>
            <w:pPr>
              <w:widowControl/>
              <w:spacing w:line="320" w:lineRule="exact"/>
              <w:jc w:val="center"/>
              <w:rPr>
                <w:kern w:val="0"/>
                <w:sz w:val="22"/>
                <w:szCs w:val="22"/>
              </w:rPr>
            </w:pPr>
            <w:r>
              <w:rPr>
                <w:kern w:val="0"/>
                <w:sz w:val="22"/>
                <w:szCs w:val="22"/>
              </w:rPr>
              <w:t>0.57</w:t>
            </w:r>
          </w:p>
        </w:tc>
        <w:tc>
          <w:tcPr>
            <w:tcW w:w="992" w:type="dxa"/>
            <w:tcBorders>
              <w:top w:val="nil"/>
              <w:left w:val="nil"/>
              <w:bottom w:val="single" w:color="auto" w:sz="8" w:space="0"/>
              <w:right w:val="single" w:color="auto" w:sz="4" w:space="0"/>
            </w:tcBorders>
            <w:vAlign w:val="center"/>
          </w:tcPr>
          <w:p>
            <w:pPr>
              <w:widowControl/>
              <w:spacing w:line="320" w:lineRule="exact"/>
              <w:jc w:val="center"/>
              <w:rPr>
                <w:kern w:val="0"/>
                <w:sz w:val="22"/>
                <w:szCs w:val="22"/>
              </w:rPr>
            </w:pPr>
            <w:r>
              <w:rPr>
                <w:kern w:val="0"/>
                <w:sz w:val="22"/>
                <w:szCs w:val="22"/>
              </w:rPr>
              <w:t>0.63</w:t>
            </w:r>
          </w:p>
        </w:tc>
        <w:tc>
          <w:tcPr>
            <w:tcW w:w="1900" w:type="dxa"/>
            <w:tcBorders>
              <w:top w:val="nil"/>
              <w:left w:val="nil"/>
              <w:bottom w:val="single" w:color="auto" w:sz="8" w:space="0"/>
              <w:right w:val="single" w:color="auto" w:sz="8" w:space="0"/>
            </w:tcBorders>
            <w:vAlign w:val="center"/>
          </w:tcPr>
          <w:p>
            <w:pPr>
              <w:widowControl/>
              <w:spacing w:line="320" w:lineRule="exact"/>
              <w:jc w:val="center"/>
              <w:rPr>
                <w:kern w:val="0"/>
                <w:sz w:val="22"/>
                <w:szCs w:val="22"/>
              </w:rPr>
            </w:pPr>
            <w:r>
              <w:rPr>
                <w:kern w:val="0"/>
                <w:sz w:val="22"/>
                <w:szCs w:val="22"/>
              </w:rPr>
              <w:t>　</w:t>
            </w:r>
          </w:p>
        </w:tc>
      </w:tr>
    </w:tbl>
    <w:p>
      <w:pPr>
        <w:autoSpaceDE w:val="0"/>
        <w:autoSpaceDN w:val="0"/>
        <w:adjustRightInd w:val="0"/>
        <w:spacing w:line="240" w:lineRule="exact"/>
        <w:ind w:firstLine="480" w:firstLineChars="200"/>
        <w:rPr>
          <w:sz w:val="24"/>
        </w:rPr>
      </w:pPr>
    </w:p>
    <w:p>
      <w:pPr>
        <w:autoSpaceDE w:val="0"/>
        <w:autoSpaceDN w:val="0"/>
        <w:adjustRightInd w:val="0"/>
        <w:spacing w:line="440" w:lineRule="exact"/>
        <w:ind w:firstLine="480" w:firstLineChars="200"/>
        <w:rPr>
          <w:sz w:val="24"/>
        </w:rPr>
      </w:pPr>
      <w:r>
        <w:rPr>
          <w:sz w:val="24"/>
        </w:rPr>
        <w:t>注：表列农村到户电价由省电网销售电价和农村电网低压维护费构成。除居民生活用电的其他各类用电，农村到户电价与供农村供电所目录电价的价差为农村低压电网维护费。</w:t>
      </w:r>
    </w:p>
    <w:p>
      <w:pPr>
        <w:autoSpaceDE w:val="0"/>
        <w:autoSpaceDN w:val="0"/>
        <w:adjustRightInd w:val="0"/>
        <w:spacing w:line="596" w:lineRule="exact"/>
      </w:pPr>
      <w:r>
        <w:drawing>
          <wp:anchor distT="0" distB="0" distL="114300" distR="114300" simplePos="0" relativeHeight="251660288" behindDoc="0" locked="0" layoutInCell="1" allowOverlap="1">
            <wp:simplePos x="0" y="0"/>
            <wp:positionH relativeFrom="column">
              <wp:posOffset>163195</wp:posOffset>
            </wp:positionH>
            <wp:positionV relativeFrom="paragraph">
              <wp:posOffset>8184515</wp:posOffset>
            </wp:positionV>
            <wp:extent cx="762000" cy="581025"/>
            <wp:effectExtent l="0" t="0" r="0" b="9525"/>
            <wp:wrapNone/>
            <wp:docPr id="1" name="图片 2" descr="空白图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空白图捕获"/>
                    <pic:cNvPicPr>
                      <a:picLocks noChangeAspect="1"/>
                    </pic:cNvPicPr>
                  </pic:nvPicPr>
                  <pic:blipFill>
                    <a:blip r:embed="rId6"/>
                    <a:stretch>
                      <a:fillRect/>
                    </a:stretch>
                  </pic:blipFill>
                  <pic:spPr>
                    <a:xfrm>
                      <a:off x="0" y="0"/>
                      <a:ext cx="762000" cy="581025"/>
                    </a:xfrm>
                    <a:prstGeom prst="rect">
                      <a:avLst/>
                    </a:prstGeom>
                    <a:noFill/>
                    <a:ln w="9525">
                      <a:noFill/>
                    </a:ln>
                  </pic:spPr>
                </pic:pic>
              </a:graphicData>
            </a:graphic>
          </wp:anchor>
        </w:drawing>
      </w:r>
      <w:bookmarkStart w:id="0" w:name="_GoBack"/>
      <w:r>
        <w:drawing>
          <wp:anchor distT="0" distB="0" distL="114300" distR="114300" simplePos="0" relativeHeight="251659264" behindDoc="0" locked="0" layoutInCell="1" allowOverlap="1">
            <wp:simplePos x="0" y="0"/>
            <wp:positionH relativeFrom="column">
              <wp:posOffset>3933825</wp:posOffset>
            </wp:positionH>
            <wp:positionV relativeFrom="paragraph">
              <wp:posOffset>8184515</wp:posOffset>
            </wp:positionV>
            <wp:extent cx="1790700" cy="506095"/>
            <wp:effectExtent l="0" t="0" r="0" b="8255"/>
            <wp:wrapNone/>
            <wp:docPr id="2" name="图片 3" descr="通知_湘发改价商[2016]1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通知_湘发改价商[2016]1号"/>
                    <pic:cNvPicPr>
                      <a:picLocks noChangeAspect="1"/>
                    </pic:cNvPicPr>
                  </pic:nvPicPr>
                  <pic:blipFill>
                    <a:blip r:embed="rId7"/>
                    <a:stretch>
                      <a:fillRect/>
                    </a:stretch>
                  </pic:blipFill>
                  <pic:spPr>
                    <a:xfrm>
                      <a:off x="0" y="0"/>
                      <a:ext cx="1790700" cy="506095"/>
                    </a:xfrm>
                    <a:prstGeom prst="rect">
                      <a:avLst/>
                    </a:prstGeom>
                    <a:noFill/>
                    <a:ln w="9525">
                      <a:noFill/>
                    </a:ln>
                  </pic:spPr>
                </pic:pic>
              </a:graphicData>
            </a:graphic>
          </wp:anchor>
        </w:drawing>
      </w:r>
      <w:bookmarkEnd w:id="0"/>
    </w:p>
    <w:p/>
    <w:p/>
    <w:sectPr>
      <w:footerReference r:id="rId3" w:type="default"/>
      <w:footerReference r:id="rId4" w:type="even"/>
      <w:pgSz w:w="11906" w:h="16838"/>
      <w:pgMar w:top="1871" w:right="1531" w:bottom="1531" w:left="1588"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rFonts w:hint="eastAsia"/>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8</w:t>
    </w:r>
    <w:r>
      <w:rPr>
        <w:kern w:val="0"/>
        <w:sz w:val="28"/>
        <w:szCs w:val="28"/>
      </w:rPr>
      <w:fldChar w:fldCharType="end"/>
    </w:r>
    <w:r>
      <w:rPr>
        <w:kern w:val="0"/>
        <w:sz w:val="28"/>
        <w:szCs w:val="28"/>
      </w:rPr>
      <w:t xml:space="preserve"> </w:t>
    </w:r>
    <w:r>
      <w:rPr>
        <w:rFonts w:hint="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13936"/>
    <w:rsid w:val="3BB1393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2018-09-25T02:01:00Z</dcterms:created>
  <dc:creator>NTKO</dc:creator>
  <cp:lastModifiedBy>NTKO</cp:lastModifiedBy>
  <dcterms:modified xsi:type="dcterms:W3CDTF">2018-09-25T02:01:41Z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