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湖南省电网（已开征城市公用事业附加费地区）销售电价表</w:t>
      </w:r>
    </w:p>
    <w:p>
      <w:pPr>
        <w:autoSpaceDE w:val="0"/>
        <w:autoSpaceDN w:val="0"/>
        <w:adjustRightInd w:val="0"/>
        <w:spacing w:line="50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单位：元/千瓦时</w:t>
      </w:r>
    </w:p>
    <w:tbl>
      <w:tblPr>
        <w:tblStyle w:val="3"/>
        <w:tblW w:w="146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1113"/>
        <w:gridCol w:w="1418"/>
        <w:gridCol w:w="2098"/>
        <w:gridCol w:w="1134"/>
        <w:gridCol w:w="1134"/>
        <w:gridCol w:w="1985"/>
        <w:gridCol w:w="21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用电分类</w:t>
            </w:r>
          </w:p>
        </w:tc>
        <w:tc>
          <w:tcPr>
            <w:tcW w:w="689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电度电价</w:t>
            </w:r>
          </w:p>
        </w:tc>
        <w:tc>
          <w:tcPr>
            <w:tcW w:w="41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基本电价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不满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1千伏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1-10千伏</w:t>
            </w:r>
          </w:p>
        </w:tc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35-110千伏以下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110千伏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220千伏及以上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最大需量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变压器容量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（元/千瓦·月）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（元/千伏安·月）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一、居民生活用电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0.5880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0.5730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二、一般工商业及其他用电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0.8777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0.8577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0.8377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0.8177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其中：中小化肥生产用电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0.6387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0.6287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三、大工业用电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0.6922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0.6632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0.6352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其中：中小化肥生产用电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0.5187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0.5037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四、农业生产用电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0.5487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0.5287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0.5087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其中：贫困县农业排灌用电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0.4117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0.4017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0.3917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6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752" w:hanging="752" w:hangingChars="342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注: 1、上表所列价格，除中小化肥、农业排灌用电外，含农网改造还贷资金2分钱；除贫困县农业排灌用电外，含国家重大水利工程建设基金0.375分钱。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6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2、上表所列价格，除农业生产用电外，均含可再生能源电价附加,其中：居民生活用电0.1分钱，其他用电1.9分钱。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6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3、上表所列价格，除农业生产用电外，均含大中型水库移民后期扶持资金0.83分钱和地方水库移民后期扶持资金0.05分钱。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ind w:left="863" w:leftChars="254" w:hanging="330" w:hangingChars="150"/>
        <w:rPr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4、上表所列价格，除农业生产、农村居民生活用电外，均含城市公用事业附加费，其中：居民生活用电2分钱，大工业、一般工商业用电0.7分钱；</w:t>
      </w:r>
      <w:r>
        <w:rPr>
          <w:kern w:val="0"/>
          <w:sz w:val="22"/>
          <w:szCs w:val="22"/>
        </w:rPr>
        <w:t>未开征城市公用事业附加费地区其用电价格相应降低。</w:t>
      </w:r>
    </w:p>
    <w:p>
      <w:pPr>
        <w:autoSpaceDE w:val="0"/>
        <w:autoSpaceDN w:val="0"/>
        <w:adjustRightInd w:val="0"/>
        <w:spacing w:line="360" w:lineRule="exact"/>
        <w:ind w:left="878" w:leftChars="261" w:hanging="330" w:hangingChars="150"/>
        <w:rPr>
          <w:bCs/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5、上表所列居民生活用电价格中含农村低压电网维护费，其中：城市居民生活用电每千瓦时3.9分</w:t>
      </w:r>
      <w:r>
        <w:rPr>
          <w:kern w:val="0"/>
          <w:sz w:val="22"/>
          <w:szCs w:val="22"/>
        </w:rPr>
        <w:t>钱</w:t>
      </w:r>
      <w:r>
        <w:rPr>
          <w:bCs/>
          <w:kern w:val="0"/>
          <w:sz w:val="22"/>
          <w:szCs w:val="22"/>
        </w:rPr>
        <w:t>，农村居民生活用电每千瓦时15.9分</w:t>
      </w:r>
      <w:r>
        <w:rPr>
          <w:kern w:val="0"/>
          <w:sz w:val="22"/>
          <w:szCs w:val="22"/>
        </w:rPr>
        <w:t>钱</w:t>
      </w:r>
      <w:r>
        <w:rPr>
          <w:bCs/>
          <w:kern w:val="0"/>
          <w:sz w:val="22"/>
          <w:szCs w:val="22"/>
        </w:rPr>
        <w:t>。供农村供电所电量，在表列电价基础上，居民生活用电每千瓦时降低12分/千瓦时。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07BC"/>
    <w:rsid w:val="650007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2018-09-25T02:00:00Z</dcterms:created>
  <dc:creator>NTKO</dc:creator>
  <cp:lastModifiedBy>NTKO</cp:lastModifiedBy>
  <dcterms:modified xsi:type="dcterms:W3CDTF">2018-09-25T02:01:00Z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