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hint="eastAsia" w:ascii="仿宋_GB2312" w:eastAsia="仿宋_GB2312"/>
          <w:sz w:val="32"/>
          <w:szCs w:val="32"/>
        </w:rPr>
      </w:pPr>
      <w:r>
        <w:rPr>
          <w:rFonts w:hint="eastAsia" w:ascii="仿宋_GB2312" w:eastAsia="仿宋_GB2312"/>
          <w:sz w:val="32"/>
          <w:szCs w:val="32"/>
        </w:rPr>
        <w:t>附件2：</w:t>
      </w:r>
    </w:p>
    <w:p>
      <w:pPr>
        <w:spacing w:line="596" w:lineRule="exact"/>
        <w:rPr>
          <w:rFonts w:eastAsia="方正小标宋_GBK"/>
          <w:b/>
          <w:sz w:val="44"/>
          <w:szCs w:val="32"/>
        </w:rPr>
      </w:pPr>
    </w:p>
    <w:p>
      <w:pPr>
        <w:snapToGrid w:val="0"/>
        <w:spacing w:before="0" w:line="596" w:lineRule="exact"/>
        <w:jc w:val="center"/>
        <w:rPr>
          <w:rFonts w:eastAsia="方正小标宋_GBK"/>
          <w:b w:val="0"/>
          <w:snapToGrid w:val="0"/>
          <w:sz w:val="42"/>
          <w:szCs w:val="42"/>
        </w:rPr>
      </w:pPr>
      <w:r>
        <w:rPr>
          <w:rFonts w:eastAsia="方正小标宋_GBK"/>
          <w:b w:val="0"/>
          <w:snapToGrid w:val="0"/>
          <w:sz w:val="42"/>
          <w:szCs w:val="42"/>
        </w:rPr>
        <w:t>湖南省农业水价综合改革工作绩效评价办法</w:t>
      </w:r>
    </w:p>
    <w:p>
      <w:pPr>
        <w:snapToGrid w:val="0"/>
        <w:spacing w:line="596" w:lineRule="exact"/>
        <w:rPr>
          <w:rFonts w:eastAsia="楷体_GB2312"/>
          <w:b/>
          <w:snapToGrid w:val="0"/>
          <w:sz w:val="40"/>
          <w:szCs w:val="44"/>
        </w:rPr>
      </w:pPr>
    </w:p>
    <w:p>
      <w:pPr>
        <w:snapToGrid w:val="0"/>
        <w:spacing w:after="0" w:line="596" w:lineRule="exact"/>
        <w:jc w:val="both"/>
        <w:rPr>
          <w:rFonts w:eastAsia="楷体_GB2312"/>
          <w:b/>
          <w:snapToGrid w:val="0"/>
          <w:sz w:val="32"/>
          <w:szCs w:val="36"/>
        </w:rPr>
      </w:pPr>
      <w:r>
        <w:rPr>
          <w:rFonts w:eastAsia="楷体_GB2312"/>
          <w:b/>
          <w:snapToGrid w:val="0"/>
          <w:sz w:val="32"/>
          <w:szCs w:val="36"/>
        </w:rPr>
        <w:t>（征求意见稿）</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为进一步贯彻落实《国务院办公厅关于推进农业水价综合改革的意见》（国办发</w:t>
      </w:r>
      <w:r>
        <w:rPr>
          <w:rFonts w:eastAsia="楷体_GB2312"/>
          <w:snapToGrid w:val="0"/>
          <w:sz w:val="32"/>
          <w:szCs w:val="30"/>
        </w:rPr>
        <w:t>〔</w:t>
      </w:r>
      <w:r>
        <w:rPr>
          <w:rFonts w:eastAsia="仿宋_GB2312"/>
          <w:snapToGrid w:val="0"/>
          <w:sz w:val="32"/>
          <w:szCs w:val="30"/>
        </w:rPr>
        <w:t>2016</w:t>
      </w:r>
      <w:r>
        <w:rPr>
          <w:rFonts w:eastAsia="楷体_GB2312"/>
          <w:snapToGrid w:val="0"/>
          <w:sz w:val="32"/>
          <w:szCs w:val="30"/>
        </w:rPr>
        <w:t>〕</w:t>
      </w:r>
      <w:r>
        <w:rPr>
          <w:rFonts w:eastAsia="仿宋_GB2312"/>
          <w:snapToGrid w:val="0"/>
          <w:sz w:val="32"/>
          <w:szCs w:val="30"/>
        </w:rPr>
        <w:t>2号）和《湖南省人民政府办公厅关于加快推进农业水价综合改革的实施意见》（湘政办发</w:t>
      </w:r>
      <w:r>
        <w:rPr>
          <w:rFonts w:eastAsia="楷体_GB2312"/>
          <w:snapToGrid w:val="0"/>
          <w:sz w:val="32"/>
          <w:szCs w:val="30"/>
        </w:rPr>
        <w:t>〔</w:t>
      </w:r>
      <w:r>
        <w:rPr>
          <w:rFonts w:eastAsia="仿宋_GB2312"/>
          <w:snapToGrid w:val="0"/>
          <w:sz w:val="32"/>
          <w:szCs w:val="30"/>
        </w:rPr>
        <w:t>2016</w:t>
      </w:r>
      <w:r>
        <w:rPr>
          <w:rFonts w:eastAsia="楷体_GB2312"/>
          <w:snapToGrid w:val="0"/>
          <w:sz w:val="32"/>
          <w:szCs w:val="30"/>
        </w:rPr>
        <w:t>〕</w:t>
      </w:r>
      <w:r>
        <w:rPr>
          <w:rFonts w:eastAsia="仿宋_GB2312"/>
          <w:snapToGrid w:val="0"/>
          <w:sz w:val="32"/>
          <w:szCs w:val="30"/>
        </w:rPr>
        <w:t>55号），根据《国家发展和改革委员会财政部水利部农业部国土资源部关于扎实推进农业水价综合改革的通知》（发改价格</w:t>
      </w:r>
      <w:r>
        <w:rPr>
          <w:rFonts w:eastAsia="楷体_GB2312"/>
          <w:snapToGrid w:val="0"/>
          <w:sz w:val="32"/>
          <w:szCs w:val="30"/>
        </w:rPr>
        <w:t>〔</w:t>
      </w:r>
      <w:r>
        <w:rPr>
          <w:rFonts w:eastAsia="仿宋_GB2312"/>
          <w:snapToGrid w:val="0"/>
          <w:sz w:val="32"/>
          <w:szCs w:val="30"/>
        </w:rPr>
        <w:t>2017</w:t>
      </w:r>
      <w:r>
        <w:rPr>
          <w:rFonts w:eastAsia="楷体_GB2312"/>
          <w:snapToGrid w:val="0"/>
          <w:sz w:val="32"/>
          <w:szCs w:val="30"/>
        </w:rPr>
        <w:t>〕</w:t>
      </w:r>
      <w:r>
        <w:rPr>
          <w:rFonts w:eastAsia="仿宋_GB2312"/>
          <w:snapToGrid w:val="0"/>
          <w:sz w:val="32"/>
          <w:szCs w:val="30"/>
        </w:rPr>
        <w:t>1080号）要求，充分落实市（州）人民政府改革主体责任，发挥评价工作导向激励作用，加快推进全省农业水价综合改革，结合湖南省实际，制定本办法。</w:t>
      </w:r>
    </w:p>
    <w:p>
      <w:pPr>
        <w:snapToGrid w:val="0"/>
        <w:spacing w:line="596" w:lineRule="exact"/>
        <w:ind w:firstLine="640" w:firstLineChars="200"/>
        <w:outlineLvl w:val="9"/>
        <w:rPr>
          <w:rFonts w:eastAsia="黑体"/>
          <w:b w:val="0"/>
          <w:snapToGrid w:val="0"/>
          <w:sz w:val="32"/>
          <w:szCs w:val="30"/>
        </w:rPr>
      </w:pPr>
      <w:r>
        <w:rPr>
          <w:rFonts w:eastAsia="黑体"/>
          <w:b w:val="0"/>
          <w:snapToGrid w:val="0"/>
          <w:sz w:val="32"/>
          <w:szCs w:val="30"/>
        </w:rPr>
        <w:t>一、评价对象</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各市（州）农业水价综合改革工作。</w:t>
      </w:r>
    </w:p>
    <w:p>
      <w:pPr>
        <w:snapToGrid w:val="0"/>
        <w:spacing w:line="596" w:lineRule="exact"/>
        <w:ind w:firstLine="640" w:firstLineChars="200"/>
        <w:outlineLvl w:val="9"/>
        <w:rPr>
          <w:rFonts w:eastAsia="黑体"/>
          <w:b w:val="0"/>
          <w:snapToGrid w:val="0"/>
          <w:sz w:val="32"/>
          <w:szCs w:val="30"/>
        </w:rPr>
      </w:pPr>
      <w:r>
        <w:rPr>
          <w:rFonts w:eastAsia="黑体"/>
          <w:b w:val="0"/>
          <w:snapToGrid w:val="0"/>
          <w:sz w:val="32"/>
          <w:szCs w:val="30"/>
        </w:rPr>
        <w:t>二、评价内容与指标</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按照全省农业水价综合改革总体目标和任务要求，评价内容分为工作开展情况和任务完成情况，有关指标的分值和评价标准将根据改革工作进展情况进行相应调整。</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工作评价着重对工作机制落实责任、加强信息报送和宣传等工作落实情况进行评价，共设置6项细化评价指标；</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任务评价围绕改革实施范围及夯实改革基础、水价形成机制和奖补机制等改革重点任务进行评价，共设置14项细化评价指标。</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具体评价指标详见附表。</w:t>
      </w:r>
    </w:p>
    <w:p>
      <w:pPr>
        <w:snapToGrid w:val="0"/>
        <w:spacing w:line="596" w:lineRule="exact"/>
        <w:ind w:firstLine="640" w:firstLineChars="200"/>
        <w:outlineLvl w:val="9"/>
        <w:rPr>
          <w:rFonts w:eastAsia="黑体"/>
          <w:b w:val="0"/>
          <w:snapToGrid w:val="0"/>
          <w:sz w:val="32"/>
          <w:szCs w:val="30"/>
        </w:rPr>
      </w:pPr>
      <w:r>
        <w:rPr>
          <w:rFonts w:eastAsia="黑体"/>
          <w:b w:val="0"/>
          <w:snapToGrid w:val="0"/>
          <w:sz w:val="32"/>
          <w:szCs w:val="30"/>
        </w:rPr>
        <w:t>三、评价方法与程序</w:t>
      </w:r>
    </w:p>
    <w:p>
      <w:pPr>
        <w:snapToGrid w:val="0"/>
        <w:spacing w:line="596" w:lineRule="exact"/>
        <w:ind w:firstLine="643" w:firstLineChars="200"/>
        <w:rPr>
          <w:rFonts w:eastAsia="仿宋_GB2312"/>
          <w:snapToGrid w:val="0"/>
          <w:sz w:val="32"/>
          <w:szCs w:val="30"/>
        </w:rPr>
      </w:pPr>
      <w:r>
        <w:rPr>
          <w:rFonts w:eastAsia="楷体_GB2312"/>
          <w:b/>
          <w:snapToGrid w:val="0"/>
          <w:sz w:val="32"/>
          <w:szCs w:val="30"/>
        </w:rPr>
        <w:t>（一）评价方法。</w:t>
      </w:r>
      <w:r>
        <w:rPr>
          <w:rFonts w:eastAsia="仿宋_GB2312"/>
          <w:snapToGrid w:val="0"/>
          <w:sz w:val="32"/>
          <w:szCs w:val="30"/>
        </w:rPr>
        <w:t>评价工作采取自评自查与重点抽查相结合的方式。</w:t>
      </w:r>
    </w:p>
    <w:p>
      <w:pPr>
        <w:snapToGrid w:val="0"/>
        <w:spacing w:line="596" w:lineRule="exact"/>
        <w:ind w:firstLine="643" w:firstLineChars="200"/>
        <w:rPr>
          <w:rFonts w:eastAsia="仿宋_GB2312"/>
          <w:snapToGrid w:val="0"/>
          <w:sz w:val="32"/>
          <w:szCs w:val="30"/>
        </w:rPr>
      </w:pPr>
      <w:r>
        <w:rPr>
          <w:rFonts w:eastAsia="楷体_GB2312"/>
          <w:b/>
          <w:snapToGrid w:val="0"/>
          <w:sz w:val="32"/>
          <w:szCs w:val="30"/>
        </w:rPr>
        <w:t>（二）评价程序。</w:t>
      </w:r>
      <w:r>
        <w:rPr>
          <w:rFonts w:eastAsia="仿宋_GB2312"/>
          <w:snapToGrid w:val="0"/>
          <w:sz w:val="32"/>
          <w:szCs w:val="30"/>
        </w:rPr>
        <w:t>评价采取以下步骤：</w:t>
      </w:r>
    </w:p>
    <w:p>
      <w:pPr>
        <w:snapToGrid w:val="0"/>
        <w:spacing w:line="596" w:lineRule="exact"/>
        <w:ind w:firstLine="643" w:firstLineChars="200"/>
        <w:rPr>
          <w:rFonts w:eastAsia="仿宋_GB2312"/>
          <w:snapToGrid w:val="0"/>
          <w:sz w:val="32"/>
          <w:szCs w:val="30"/>
        </w:rPr>
      </w:pPr>
      <w:r>
        <w:rPr>
          <w:rFonts w:eastAsia="仿宋_GB2312"/>
          <w:b/>
          <w:snapToGrid w:val="0"/>
          <w:sz w:val="32"/>
          <w:szCs w:val="30"/>
        </w:rPr>
        <w:t>1．市（州）自评。</w:t>
      </w:r>
      <w:r>
        <w:rPr>
          <w:rFonts w:eastAsia="仿宋_GB2312"/>
          <w:snapToGrid w:val="0"/>
          <w:sz w:val="32"/>
          <w:szCs w:val="30"/>
        </w:rPr>
        <w:t>各市（州）对照本办法设置的评价指标，总结评价期内农业水价综合改革工作推进和任务完成情况，进行自评打分，于当年12月15日前将自评结果和评价依据（相关文件或证明材料）上报省发改委、财政厅、水利厅、农委（以下简称“四部门”）。</w:t>
      </w:r>
    </w:p>
    <w:p>
      <w:pPr>
        <w:snapToGrid w:val="0"/>
        <w:spacing w:line="596" w:lineRule="exact"/>
        <w:ind w:firstLine="643" w:firstLineChars="200"/>
        <w:rPr>
          <w:rFonts w:eastAsia="仿宋_GB2312"/>
          <w:snapToGrid w:val="0"/>
          <w:sz w:val="32"/>
          <w:szCs w:val="30"/>
        </w:rPr>
      </w:pPr>
      <w:r>
        <w:rPr>
          <w:rFonts w:eastAsia="仿宋_GB2312"/>
          <w:b/>
          <w:snapToGrid w:val="0"/>
          <w:sz w:val="32"/>
          <w:szCs w:val="30"/>
        </w:rPr>
        <w:t>2．初步评议。</w:t>
      </w:r>
      <w:r>
        <w:rPr>
          <w:rFonts w:eastAsia="仿宋_GB2312"/>
          <w:snapToGrid w:val="0"/>
          <w:sz w:val="32"/>
          <w:szCs w:val="30"/>
        </w:rPr>
        <w:t>四部门结合日常督导检查情况，对自评结果进行初步评议。</w:t>
      </w:r>
    </w:p>
    <w:p>
      <w:pPr>
        <w:snapToGrid w:val="0"/>
        <w:spacing w:line="596" w:lineRule="exact"/>
        <w:ind w:firstLine="643" w:firstLineChars="200"/>
        <w:rPr>
          <w:rFonts w:eastAsia="仿宋_GB2312"/>
          <w:snapToGrid w:val="0"/>
          <w:sz w:val="32"/>
          <w:szCs w:val="30"/>
        </w:rPr>
      </w:pPr>
      <w:r>
        <w:rPr>
          <w:rFonts w:eastAsia="仿宋_GB2312"/>
          <w:b/>
          <w:snapToGrid w:val="0"/>
          <w:sz w:val="32"/>
          <w:szCs w:val="30"/>
        </w:rPr>
        <w:t>3．抽查评价。</w:t>
      </w:r>
      <w:r>
        <w:rPr>
          <w:rFonts w:eastAsia="仿宋_GB2312"/>
          <w:snapToGrid w:val="0"/>
          <w:sz w:val="32"/>
          <w:szCs w:val="30"/>
        </w:rPr>
        <w:t>四部门按照一定比例确定抽查市（州），并组成工作组进行实地评价。</w:t>
      </w:r>
    </w:p>
    <w:p>
      <w:pPr>
        <w:snapToGrid w:val="0"/>
        <w:spacing w:line="596" w:lineRule="exact"/>
        <w:ind w:firstLine="643" w:firstLineChars="200"/>
        <w:rPr>
          <w:rFonts w:eastAsia="仿宋_GB2312"/>
          <w:snapToGrid w:val="0"/>
          <w:sz w:val="32"/>
          <w:szCs w:val="30"/>
        </w:rPr>
      </w:pPr>
      <w:r>
        <w:rPr>
          <w:rFonts w:eastAsia="仿宋_GB2312"/>
          <w:b/>
          <w:snapToGrid w:val="0"/>
          <w:sz w:val="32"/>
          <w:szCs w:val="30"/>
        </w:rPr>
        <w:t>4．综合评定。</w:t>
      </w:r>
      <w:r>
        <w:rPr>
          <w:rFonts w:eastAsia="仿宋_GB2312"/>
          <w:snapToGrid w:val="0"/>
          <w:sz w:val="32"/>
          <w:szCs w:val="30"/>
        </w:rPr>
        <w:t>四部门对初评结果和抽查评价结果进行审议，对照评价指标打分并确定等级。</w:t>
      </w:r>
    </w:p>
    <w:p>
      <w:pPr>
        <w:snapToGrid w:val="0"/>
        <w:spacing w:line="596" w:lineRule="exact"/>
        <w:ind w:firstLine="643" w:firstLineChars="200"/>
        <w:rPr>
          <w:rFonts w:eastAsia="仿宋_GB2312"/>
          <w:snapToGrid w:val="0"/>
          <w:sz w:val="32"/>
          <w:szCs w:val="30"/>
        </w:rPr>
      </w:pPr>
      <w:r>
        <w:rPr>
          <w:rFonts w:eastAsia="仿宋_GB2312"/>
          <w:b/>
          <w:snapToGrid w:val="0"/>
          <w:sz w:val="32"/>
          <w:szCs w:val="30"/>
        </w:rPr>
        <w:t>5．发文公布。</w:t>
      </w:r>
      <w:r>
        <w:rPr>
          <w:rFonts w:eastAsia="仿宋_GB2312"/>
          <w:snapToGrid w:val="0"/>
          <w:sz w:val="32"/>
          <w:szCs w:val="30"/>
        </w:rPr>
        <w:t>评价结果于次年4月初前由四部门联合发文公布。</w:t>
      </w:r>
    </w:p>
    <w:p>
      <w:pPr>
        <w:snapToGrid w:val="0"/>
        <w:spacing w:line="596" w:lineRule="exact"/>
        <w:ind w:firstLine="643" w:firstLineChars="200"/>
        <w:rPr>
          <w:rFonts w:eastAsia="仿宋_GB2312"/>
          <w:snapToGrid w:val="0"/>
          <w:sz w:val="32"/>
          <w:szCs w:val="30"/>
        </w:rPr>
      </w:pPr>
      <w:r>
        <w:rPr>
          <w:rFonts w:eastAsia="楷体_GB2312"/>
          <w:b/>
          <w:snapToGrid w:val="0"/>
          <w:sz w:val="32"/>
          <w:szCs w:val="30"/>
        </w:rPr>
        <w:t>（三）评价等次确定。</w:t>
      </w:r>
      <w:r>
        <w:rPr>
          <w:rFonts w:eastAsia="仿宋_GB2312"/>
          <w:snapToGrid w:val="0"/>
          <w:sz w:val="32"/>
          <w:szCs w:val="30"/>
        </w:rPr>
        <w:t>本评价采用标准分制（标准分＝实际得分÷各州（市）最高分×100），满分为100分。评价结果分为4个等级，得分90分以上为优秀，80分以上90分以下为良好，60分以上80分以下为合格，60分以下为不合格（以上包括本数，以下不包括本数）。</w:t>
      </w:r>
    </w:p>
    <w:p>
      <w:pPr>
        <w:snapToGrid w:val="0"/>
        <w:spacing w:line="596" w:lineRule="exact"/>
        <w:ind w:firstLine="640" w:firstLineChars="200"/>
        <w:outlineLvl w:val="9"/>
        <w:rPr>
          <w:rFonts w:eastAsia="黑体"/>
          <w:b w:val="0"/>
          <w:snapToGrid w:val="0"/>
          <w:sz w:val="32"/>
          <w:szCs w:val="30"/>
        </w:rPr>
      </w:pPr>
      <w:r>
        <w:rPr>
          <w:rFonts w:eastAsia="黑体"/>
          <w:b w:val="0"/>
          <w:snapToGrid w:val="0"/>
          <w:sz w:val="32"/>
          <w:szCs w:val="30"/>
        </w:rPr>
        <w:t>四、评价结果应用</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（一）本评价结果将逐步纳入粮食安全行政长责任制考核、最严格水资源管理制度考核。</w:t>
      </w:r>
    </w:p>
    <w:p>
      <w:pPr>
        <w:snapToGrid w:val="0"/>
        <w:spacing w:line="596" w:lineRule="exact"/>
        <w:ind w:firstLine="640" w:firstLineChars="200"/>
        <w:rPr>
          <w:rFonts w:eastAsia="仿宋_GB2312"/>
          <w:snapToGrid w:val="0"/>
          <w:sz w:val="32"/>
          <w:szCs w:val="30"/>
        </w:rPr>
      </w:pPr>
      <w:r>
        <w:rPr>
          <w:rFonts w:eastAsia="仿宋_GB2312"/>
          <w:snapToGrid w:val="0"/>
          <w:sz w:val="32"/>
          <w:szCs w:val="30"/>
        </w:rPr>
        <w:t>（二）本评价结果作为省级安排资金绩效因素，与中央财政水利发展资金、大中型灌区续建配套节水改造、高标准农田建设、新增千亿斤粮食田间工程、农业综合开发等涉及农田水利建设的资金分配挂钩。</w:t>
      </w:r>
    </w:p>
    <w:p>
      <w:pPr>
        <w:snapToGrid w:val="0"/>
        <w:spacing w:line="596" w:lineRule="exact"/>
        <w:ind w:firstLine="640" w:firstLineChars="200"/>
        <w:rPr>
          <w:rFonts w:eastAsia="仿宋_GB2312"/>
          <w:snapToGrid w:val="0"/>
          <w:sz w:val="32"/>
          <w:szCs w:val="30"/>
        </w:rPr>
      </w:pPr>
    </w:p>
    <w:p>
      <w:pPr>
        <w:snapToGrid w:val="0"/>
        <w:spacing w:line="596" w:lineRule="exact"/>
        <w:ind w:firstLine="640" w:firstLineChars="200"/>
        <w:rPr>
          <w:rFonts w:eastAsia="仿宋_GB2312"/>
          <w:snapToGrid w:val="0"/>
          <w:sz w:val="32"/>
          <w:szCs w:val="30"/>
        </w:rPr>
      </w:pPr>
      <w:r>
        <w:rPr>
          <w:rFonts w:eastAsia="仿宋_GB2312"/>
          <w:snapToGrid w:val="0"/>
          <w:sz w:val="32"/>
          <w:szCs w:val="30"/>
        </w:rPr>
        <w:t>附表：农业水价综合改革工作绩效评价表</w:t>
      </w:r>
    </w:p>
    <w:p>
      <w:pPr>
        <w:snapToGrid w:val="0"/>
        <w:spacing w:line="596" w:lineRule="exact"/>
        <w:ind w:firstLine="640" w:firstLineChars="200"/>
        <w:rPr>
          <w:rFonts w:eastAsia="仿宋_GB2312"/>
          <w:snapToGrid w:val="0"/>
          <w:sz w:val="32"/>
          <w:szCs w:val="30"/>
        </w:rPr>
      </w:pPr>
    </w:p>
    <w:p>
      <w:pPr>
        <w:snapToGrid w:val="0"/>
        <w:spacing w:line="596" w:lineRule="exact"/>
        <w:ind w:firstLine="640" w:firstLineChars="200"/>
        <w:rPr>
          <w:rFonts w:eastAsia="仿宋_GB2312"/>
          <w:snapToGrid w:val="0"/>
          <w:sz w:val="32"/>
          <w:szCs w:val="30"/>
        </w:rPr>
        <w:sectPr>
          <w:pgSz w:w="11906" w:h="16838"/>
          <w:pgMar w:top="1871" w:right="1531" w:bottom="1531" w:left="1588" w:header="1134" w:footer="1304" w:gutter="0"/>
          <w:pgNumType w:start="0"/>
          <w:cols w:space="720" w:num="1"/>
          <w:docGrid w:type="lines" w:linePitch="312" w:charSpace="0"/>
        </w:sectPr>
      </w:pPr>
    </w:p>
    <w:p>
      <w:pPr>
        <w:snapToGrid w:val="0"/>
        <w:spacing w:line="360" w:lineRule="auto"/>
        <w:rPr>
          <w:rFonts w:hint="eastAsia" w:ascii="仿宋_GB2312" w:eastAsia="仿宋_GB2312"/>
          <w:snapToGrid w:val="0"/>
          <w:sz w:val="32"/>
          <w:szCs w:val="30"/>
        </w:rPr>
      </w:pPr>
      <w:r>
        <w:rPr>
          <w:rFonts w:hint="eastAsia" w:ascii="仿宋_GB2312" w:eastAsia="仿宋_GB2312"/>
          <w:snapToGrid w:val="0"/>
          <w:sz w:val="32"/>
          <w:szCs w:val="30"/>
        </w:rPr>
        <w:t>附表：</w:t>
      </w:r>
    </w:p>
    <w:p>
      <w:pPr>
        <w:snapToGrid w:val="0"/>
        <w:spacing w:line="300" w:lineRule="exact"/>
        <w:rPr>
          <w:rFonts w:eastAsia="黑体"/>
          <w:snapToGrid w:val="0"/>
          <w:sz w:val="32"/>
          <w:szCs w:val="30"/>
        </w:rPr>
      </w:pPr>
    </w:p>
    <w:p>
      <w:pPr>
        <w:snapToGrid w:val="0"/>
        <w:spacing w:line="600" w:lineRule="exact"/>
        <w:jc w:val="center"/>
        <w:rPr>
          <w:rFonts w:eastAsia="方正小标宋_GBK"/>
          <w:b w:val="0"/>
          <w:snapToGrid w:val="0"/>
          <w:sz w:val="42"/>
          <w:szCs w:val="42"/>
        </w:rPr>
      </w:pPr>
      <w:r>
        <w:rPr>
          <w:rFonts w:eastAsia="方正小标宋_GBK"/>
          <w:b w:val="0"/>
          <w:snapToGrid w:val="0"/>
          <w:sz w:val="42"/>
          <w:szCs w:val="42"/>
        </w:rPr>
        <w:t>农业水价综合改革工作绩效评价表</w:t>
      </w:r>
    </w:p>
    <w:p>
      <w:pPr>
        <w:snapToGrid w:val="0"/>
        <w:spacing w:line="300" w:lineRule="exact"/>
        <w:jc w:val="center"/>
        <w:rPr>
          <w:rFonts w:eastAsia="黑体"/>
          <w:snapToGrid w:val="0"/>
          <w:sz w:val="32"/>
          <w:szCs w:val="30"/>
        </w:rPr>
      </w:pPr>
    </w:p>
    <w:tbl>
      <w:tblPr>
        <w:tblStyle w:val="5"/>
        <w:tblW w:w="14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6"/>
        <w:gridCol w:w="4874"/>
        <w:gridCol w:w="718"/>
        <w:gridCol w:w="66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tblHeader/>
        </w:trPr>
        <w:tc>
          <w:tcPr>
            <w:tcW w:w="966" w:type="dxa"/>
            <w:tcBorders>
              <w:top w:val="single" w:color="auto" w:sz="4" w:space="0"/>
            </w:tcBorders>
            <w:vAlign w:val="center"/>
          </w:tcPr>
          <w:p>
            <w:pPr>
              <w:snapToGrid w:val="0"/>
              <w:jc w:val="center"/>
              <w:rPr>
                <w:rFonts w:ascii="黑体" w:hAnsi="黑体" w:eastAsia="黑体"/>
                <w:b w:val="0"/>
                <w:snapToGrid w:val="0"/>
                <w:szCs w:val="21"/>
              </w:rPr>
            </w:pPr>
            <w:r>
              <w:rPr>
                <w:rFonts w:ascii="黑体" w:hAnsi="黑体" w:eastAsia="黑体"/>
                <w:b w:val="0"/>
                <w:snapToGrid w:val="0"/>
                <w:szCs w:val="21"/>
              </w:rPr>
              <w:t>评价类别</w:t>
            </w:r>
          </w:p>
        </w:tc>
        <w:tc>
          <w:tcPr>
            <w:tcW w:w="4874" w:type="dxa"/>
            <w:tcBorders>
              <w:top w:val="single" w:color="auto" w:sz="4" w:space="0"/>
            </w:tcBorders>
            <w:vAlign w:val="center"/>
          </w:tcPr>
          <w:p>
            <w:pPr>
              <w:snapToGrid w:val="0"/>
              <w:jc w:val="center"/>
              <w:rPr>
                <w:rFonts w:ascii="黑体" w:hAnsi="黑体" w:eastAsia="黑体"/>
                <w:b w:val="0"/>
                <w:snapToGrid w:val="0"/>
                <w:szCs w:val="21"/>
              </w:rPr>
            </w:pPr>
            <w:r>
              <w:rPr>
                <w:rFonts w:ascii="黑体" w:hAnsi="黑体" w:eastAsia="黑体"/>
                <w:b w:val="0"/>
                <w:snapToGrid w:val="0"/>
                <w:szCs w:val="21"/>
              </w:rPr>
              <w:t>评价指标</w:t>
            </w:r>
          </w:p>
        </w:tc>
        <w:tc>
          <w:tcPr>
            <w:tcW w:w="718" w:type="dxa"/>
            <w:tcBorders>
              <w:top w:val="single" w:color="auto" w:sz="4" w:space="0"/>
            </w:tcBorders>
            <w:vAlign w:val="center"/>
          </w:tcPr>
          <w:p>
            <w:pPr>
              <w:snapToGrid w:val="0"/>
              <w:jc w:val="center"/>
              <w:rPr>
                <w:rFonts w:ascii="黑体" w:hAnsi="黑体" w:eastAsia="黑体"/>
                <w:b w:val="0"/>
                <w:snapToGrid w:val="0"/>
                <w:szCs w:val="21"/>
              </w:rPr>
            </w:pPr>
            <w:r>
              <w:rPr>
                <w:rFonts w:ascii="黑体" w:hAnsi="黑体" w:eastAsia="黑体"/>
                <w:b w:val="0"/>
                <w:snapToGrid w:val="0"/>
                <w:szCs w:val="21"/>
              </w:rPr>
              <w:t>分值</w:t>
            </w:r>
          </w:p>
        </w:tc>
        <w:tc>
          <w:tcPr>
            <w:tcW w:w="6653" w:type="dxa"/>
            <w:tcBorders>
              <w:top w:val="single" w:color="auto" w:sz="4" w:space="0"/>
            </w:tcBorders>
            <w:vAlign w:val="center"/>
          </w:tcPr>
          <w:p>
            <w:pPr>
              <w:snapToGrid w:val="0"/>
              <w:jc w:val="center"/>
              <w:rPr>
                <w:rFonts w:ascii="黑体" w:hAnsi="黑体" w:eastAsia="黑体"/>
                <w:b w:val="0"/>
                <w:snapToGrid w:val="0"/>
                <w:szCs w:val="21"/>
              </w:rPr>
            </w:pPr>
            <w:r>
              <w:rPr>
                <w:rFonts w:ascii="黑体" w:hAnsi="黑体" w:eastAsia="黑体"/>
                <w:b w:val="0"/>
                <w:snapToGrid w:val="0"/>
                <w:szCs w:val="21"/>
              </w:rPr>
              <w:t>年度评价标准</w:t>
            </w:r>
          </w:p>
        </w:tc>
        <w:tc>
          <w:tcPr>
            <w:tcW w:w="1134" w:type="dxa"/>
            <w:tcBorders>
              <w:top w:val="single" w:color="auto" w:sz="4" w:space="0"/>
            </w:tcBorders>
            <w:vAlign w:val="center"/>
          </w:tcPr>
          <w:p>
            <w:pPr>
              <w:snapToGrid w:val="0"/>
              <w:jc w:val="center"/>
              <w:rPr>
                <w:rFonts w:ascii="黑体" w:hAnsi="黑体" w:eastAsia="黑体"/>
                <w:b w:val="0"/>
                <w:snapToGrid w:val="0"/>
                <w:szCs w:val="21"/>
              </w:rPr>
            </w:pPr>
            <w:r>
              <w:rPr>
                <w:rFonts w:ascii="黑体" w:hAnsi="黑体" w:eastAsia="黑体"/>
                <w:b w:val="0"/>
                <w:snapToGrid w:val="0"/>
                <w:szCs w:val="21"/>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trPr>
        <w:tc>
          <w:tcPr>
            <w:tcW w:w="966" w:type="dxa"/>
            <w:vMerge w:val="restart"/>
            <w:vAlign w:val="center"/>
          </w:tcPr>
          <w:p>
            <w:pPr>
              <w:snapToGrid w:val="0"/>
              <w:jc w:val="center"/>
              <w:rPr>
                <w:rFonts w:ascii="宋体" w:hAnsi="宋体" w:eastAsia="宋体"/>
                <w:snapToGrid w:val="0"/>
                <w:szCs w:val="21"/>
              </w:rPr>
            </w:pPr>
            <w:r>
              <w:rPr>
                <w:rFonts w:ascii="宋体" w:hAnsi="宋体" w:eastAsia="宋体"/>
                <w:snapToGrid w:val="0"/>
                <w:szCs w:val="21"/>
              </w:rPr>
              <w:t>工作评价（25分）</w:t>
            </w: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（一）市（州）级层面工作责任落实</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20</w:t>
            </w:r>
          </w:p>
        </w:tc>
        <w:tc>
          <w:tcPr>
            <w:tcW w:w="6653" w:type="dxa"/>
            <w:vAlign w:val="center"/>
          </w:tcPr>
          <w:p>
            <w:pPr>
              <w:snapToGrid w:val="0"/>
              <w:rPr>
                <w:rFonts w:ascii="宋体" w:hAnsi="宋体" w:eastAsia="宋体"/>
                <w:snapToGrid w:val="0"/>
                <w:szCs w:val="21"/>
              </w:rPr>
            </w:pP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5"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1、市（州）级领导小组或联席会议制度建立及履职情况</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1．成立领导小组或建立联席会议制度得2分，没有不得分；</w:t>
            </w:r>
          </w:p>
          <w:p>
            <w:pPr>
              <w:snapToGrid w:val="0"/>
              <w:rPr>
                <w:rFonts w:ascii="宋体" w:hAnsi="宋体" w:eastAsia="宋体"/>
                <w:snapToGrid w:val="0"/>
                <w:szCs w:val="21"/>
              </w:rPr>
            </w:pPr>
            <w:r>
              <w:rPr>
                <w:rFonts w:ascii="宋体" w:hAnsi="宋体" w:eastAsia="宋体"/>
                <w:snapToGrid w:val="0"/>
                <w:szCs w:val="21"/>
              </w:rPr>
              <w:t>2．定期或不定期召开会议研究部署推进改革工作得3分。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9"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2、市（州）级绩效评价机制建立及工作开展情况</w:t>
            </w:r>
          </w:p>
        </w:tc>
        <w:tc>
          <w:tcPr>
            <w:tcW w:w="718" w:type="dxa"/>
            <w:vAlign w:val="center"/>
          </w:tcPr>
          <w:p>
            <w:pPr>
              <w:snapToGrid w:val="0"/>
              <w:jc w:val="center"/>
              <w:rPr>
                <w:rFonts w:ascii="宋体" w:hAnsi="宋体" w:eastAsia="宋体"/>
                <w:snapToGrid w:val="0"/>
                <w:szCs w:val="21"/>
              </w:rPr>
            </w:pPr>
            <w:r>
              <w:rPr>
                <w:rFonts w:hint="eastAsia" w:ascii="宋体" w:hAnsi="宋体" w:eastAsia="宋体"/>
                <w:snapToGrid w:val="0"/>
                <w:szCs w:val="21"/>
              </w:rPr>
              <w:t>4</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1．明确考核责任，建立改革台帐，每年12月15日前完成市（州）农业水价改革工作自评得2分；</w:t>
            </w:r>
          </w:p>
          <w:p>
            <w:pPr>
              <w:snapToGrid w:val="0"/>
              <w:rPr>
                <w:rFonts w:ascii="宋体" w:hAnsi="宋体" w:eastAsia="宋体"/>
                <w:snapToGrid w:val="0"/>
                <w:szCs w:val="21"/>
              </w:rPr>
            </w:pPr>
            <w:r>
              <w:rPr>
                <w:rFonts w:ascii="宋体" w:hAnsi="宋体" w:eastAsia="宋体"/>
                <w:snapToGrid w:val="0"/>
                <w:szCs w:val="21"/>
              </w:rPr>
              <w:t>2．开展监督检查，对县（市、区）改革工作检查考评到位得2分。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3"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3、市（州）级改革激励机制建立及工作开展情况</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1．建立市（州）级涉农资金分配与改革成效挂钩机制得2分；</w:t>
            </w:r>
          </w:p>
          <w:p>
            <w:pPr>
              <w:snapToGrid w:val="0"/>
              <w:rPr>
                <w:rFonts w:ascii="宋体" w:hAnsi="宋体" w:eastAsia="宋体"/>
                <w:snapToGrid w:val="0"/>
                <w:szCs w:val="21"/>
              </w:rPr>
            </w:pPr>
            <w:r>
              <w:rPr>
                <w:rFonts w:ascii="宋体" w:hAnsi="宋体" w:eastAsia="宋体"/>
                <w:snapToGrid w:val="0"/>
                <w:szCs w:val="21"/>
              </w:rPr>
              <w:t>2．按机制有效开展相关工作得3分。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69"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4、制定年度实施计划</w:t>
            </w:r>
          </w:p>
        </w:tc>
        <w:tc>
          <w:tcPr>
            <w:tcW w:w="718" w:type="dxa"/>
            <w:vAlign w:val="center"/>
          </w:tcPr>
          <w:p>
            <w:pPr>
              <w:snapToGrid w:val="0"/>
              <w:jc w:val="center"/>
              <w:rPr>
                <w:rFonts w:ascii="宋体" w:hAnsi="宋体" w:eastAsia="宋体"/>
                <w:snapToGrid w:val="0"/>
                <w:szCs w:val="21"/>
              </w:rPr>
            </w:pPr>
            <w:r>
              <w:rPr>
                <w:rFonts w:hint="eastAsia" w:ascii="宋体" w:hAnsi="宋体" w:eastAsia="宋体"/>
                <w:snapToGrid w:val="0"/>
                <w:szCs w:val="21"/>
              </w:rPr>
              <w:t>6</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1．年度实施计划上个年度12月底前出台得2分，当年3月底前出台得1分；</w:t>
            </w:r>
          </w:p>
          <w:p>
            <w:pPr>
              <w:snapToGrid w:val="0"/>
              <w:rPr>
                <w:rFonts w:ascii="宋体" w:hAnsi="宋体" w:eastAsia="宋体"/>
                <w:snapToGrid w:val="0"/>
                <w:szCs w:val="21"/>
              </w:rPr>
            </w:pPr>
            <w:r>
              <w:rPr>
                <w:rFonts w:ascii="宋体" w:hAnsi="宋体" w:eastAsia="宋体"/>
                <w:snapToGrid w:val="0"/>
                <w:szCs w:val="21"/>
              </w:rPr>
              <w:t>2．根据部门分工细化年度改革任务得</w:t>
            </w:r>
            <w:r>
              <w:rPr>
                <w:rFonts w:hint="eastAsia" w:ascii="宋体" w:hAnsi="宋体" w:eastAsia="宋体"/>
                <w:snapToGrid w:val="0"/>
                <w:szCs w:val="21"/>
              </w:rPr>
              <w:t>2</w:t>
            </w:r>
            <w:r>
              <w:rPr>
                <w:rFonts w:ascii="宋体" w:hAnsi="宋体" w:eastAsia="宋体"/>
                <w:snapToGrid w:val="0"/>
                <w:szCs w:val="21"/>
              </w:rPr>
              <w:t>分；</w:t>
            </w:r>
          </w:p>
          <w:p>
            <w:pPr>
              <w:snapToGrid w:val="0"/>
              <w:rPr>
                <w:rFonts w:ascii="宋体" w:hAnsi="宋体" w:eastAsia="宋体"/>
                <w:snapToGrid w:val="0"/>
                <w:szCs w:val="21"/>
              </w:rPr>
            </w:pPr>
            <w:r>
              <w:rPr>
                <w:rFonts w:ascii="宋体" w:hAnsi="宋体" w:eastAsia="宋体"/>
                <w:snapToGrid w:val="0"/>
                <w:szCs w:val="21"/>
              </w:rPr>
              <w:t>3．将改革实施面积细化分解到具体县（市、区）或灌区得2分。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8"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（二）信息报送和宣传</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7"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5、做好信息报送工作</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3</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1．按相关文件及时报送半年和全年改革工作进展情况及下一年度实施计划得2分；</w:t>
            </w:r>
          </w:p>
          <w:p>
            <w:pPr>
              <w:snapToGrid w:val="0"/>
              <w:rPr>
                <w:rFonts w:ascii="宋体" w:hAnsi="宋体" w:eastAsia="宋体"/>
                <w:snapToGrid w:val="0"/>
                <w:szCs w:val="21"/>
              </w:rPr>
            </w:pPr>
            <w:r>
              <w:rPr>
                <w:rFonts w:ascii="宋体" w:hAnsi="宋体" w:eastAsia="宋体"/>
                <w:snapToGrid w:val="0"/>
                <w:szCs w:val="21"/>
              </w:rPr>
              <w:t>2．做好简报、典型经验交流等其他信息报送得1分。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2"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6、做好宣传引导</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2</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舆论宣传工作得力，各方反映良好，利用市级媒体及以上媒体开展改革宣传得1分，组织市级相关培训得1分。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trPr>
        <w:tc>
          <w:tcPr>
            <w:tcW w:w="966" w:type="dxa"/>
            <w:vMerge w:val="restart"/>
            <w:vAlign w:val="center"/>
          </w:tcPr>
          <w:p>
            <w:pPr>
              <w:snapToGrid w:val="0"/>
              <w:jc w:val="center"/>
              <w:rPr>
                <w:rFonts w:ascii="宋体" w:hAnsi="宋体" w:eastAsia="宋体"/>
                <w:snapToGrid w:val="0"/>
                <w:szCs w:val="21"/>
              </w:rPr>
            </w:pPr>
            <w:r>
              <w:rPr>
                <w:rFonts w:ascii="宋体" w:hAnsi="宋体" w:eastAsia="宋体"/>
                <w:snapToGrid w:val="0"/>
                <w:szCs w:val="21"/>
              </w:rPr>
              <w:t>任务评价（75分）</w:t>
            </w: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（三）改革实施范围</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15</w:t>
            </w:r>
          </w:p>
        </w:tc>
        <w:tc>
          <w:tcPr>
            <w:tcW w:w="6653" w:type="dxa"/>
            <w:vAlign w:val="center"/>
          </w:tcPr>
          <w:p>
            <w:pPr>
              <w:snapToGrid w:val="0"/>
              <w:rPr>
                <w:rFonts w:ascii="宋体" w:hAnsi="宋体" w:eastAsia="宋体"/>
                <w:snapToGrid w:val="0"/>
                <w:szCs w:val="21"/>
              </w:rPr>
            </w:pP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3"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7、全市（州）实际改革实施面积占年度计划实施面积的比例（%）</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8</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年度实施改革实施面积占年度计划实施面积的比例达到100%得8分，低于50%得0分，50～100%按比例得分。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8"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8、全市（州）累计完成改革任务的灌溉面积占应完成面积的比例（%）</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7</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全市（州）累计完成改革任务的灌溉面积占应完成总面积的比例达到100%得7分，其他按比例得分。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trPr>
        <w:tc>
          <w:tcPr>
            <w:tcW w:w="966" w:type="dxa"/>
            <w:vMerge w:val="restart"/>
            <w:vAlign w:val="center"/>
          </w:tcPr>
          <w:p>
            <w:pPr>
              <w:snapToGrid w:val="0"/>
              <w:jc w:val="center"/>
              <w:rPr>
                <w:rFonts w:ascii="宋体" w:hAnsi="宋体" w:eastAsia="宋体"/>
                <w:snapToGrid w:val="0"/>
                <w:szCs w:val="21"/>
              </w:rPr>
            </w:pPr>
            <w:r>
              <w:rPr>
                <w:rFonts w:ascii="宋体" w:hAnsi="宋体" w:eastAsia="宋体"/>
                <w:snapToGrid w:val="0"/>
                <w:szCs w:val="21"/>
              </w:rPr>
              <w:t>任务评价（75分）</w:t>
            </w: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（四）夯实改革基础</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25</w:t>
            </w:r>
          </w:p>
        </w:tc>
        <w:tc>
          <w:tcPr>
            <w:tcW w:w="6653" w:type="dxa"/>
            <w:vAlign w:val="center"/>
          </w:tcPr>
          <w:p>
            <w:pPr>
              <w:snapToGrid w:val="0"/>
              <w:rPr>
                <w:rFonts w:ascii="宋体" w:hAnsi="宋体" w:eastAsia="宋体"/>
                <w:snapToGrid w:val="0"/>
                <w:szCs w:val="21"/>
              </w:rPr>
            </w:pP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78"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9.配备完善供水计量设施</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改革实施范围内的农业用水计量设施要经济适用，供水计量设施的设置满足终端用水组织计量供水和计量收费得5分，部分满足的，按比例得分。改革实施范围内包含灌区、高效节水灌溉、现代产业园等按各自面积加权平均计算得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64"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10.建立健全农业水权制度</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1．制定并及时修订完善灌溉用水定额得2分；</w:t>
            </w:r>
          </w:p>
          <w:p>
            <w:pPr>
              <w:snapToGrid w:val="0"/>
              <w:rPr>
                <w:rFonts w:ascii="宋体" w:hAnsi="宋体" w:eastAsia="宋体"/>
                <w:snapToGrid w:val="0"/>
                <w:szCs w:val="21"/>
              </w:rPr>
            </w:pPr>
            <w:r>
              <w:rPr>
                <w:rFonts w:ascii="宋体" w:hAnsi="宋体" w:eastAsia="宋体"/>
                <w:snapToGrid w:val="0"/>
                <w:szCs w:val="21"/>
              </w:rPr>
              <w:t>2．对改革实施范围实行农业用水总量控制得2分；</w:t>
            </w:r>
          </w:p>
          <w:p>
            <w:pPr>
              <w:snapToGrid w:val="0"/>
              <w:rPr>
                <w:rFonts w:ascii="宋体" w:hAnsi="宋体" w:eastAsia="宋体"/>
                <w:snapToGrid w:val="0"/>
                <w:szCs w:val="21"/>
              </w:rPr>
            </w:pPr>
            <w:r>
              <w:rPr>
                <w:rFonts w:ascii="宋体" w:hAnsi="宋体" w:eastAsia="宋体"/>
                <w:snapToGrid w:val="0"/>
                <w:szCs w:val="21"/>
              </w:rPr>
              <w:t>3．将农业水权进一步细化分解到农村集体经济组织、用水合作组织、农户等得1分。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7"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11.明确工程管护责任</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1．农田水利工程及设施产权清晰得2分；</w:t>
            </w:r>
          </w:p>
          <w:p>
            <w:pPr>
              <w:snapToGrid w:val="0"/>
              <w:rPr>
                <w:rFonts w:ascii="宋体" w:hAnsi="宋体" w:eastAsia="宋体"/>
                <w:snapToGrid w:val="0"/>
                <w:szCs w:val="21"/>
              </w:rPr>
            </w:pPr>
            <w:r>
              <w:rPr>
                <w:rFonts w:ascii="宋体" w:hAnsi="宋体" w:eastAsia="宋体"/>
                <w:snapToGrid w:val="0"/>
                <w:szCs w:val="21"/>
              </w:rPr>
              <w:t>2．管护主体及责任落实得3分。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3"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12.健全末级渠系管理组织</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改革实施范围内末级渠系管理组织覆盖率达到100%得5分，低于50%得0分，50～100%按比例得分。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2"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13.农业水费实收率</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2</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改革实施范围内水费实收率不低于</w:t>
            </w:r>
            <w:r>
              <w:rPr>
                <w:rFonts w:hint="eastAsia" w:ascii="宋体" w:hAnsi="宋体" w:eastAsia="宋体"/>
                <w:snapToGrid w:val="0"/>
                <w:szCs w:val="21"/>
              </w:rPr>
              <w:t>95</w:t>
            </w:r>
            <w:r>
              <w:rPr>
                <w:rFonts w:ascii="宋体" w:hAnsi="宋体" w:eastAsia="宋体"/>
                <w:snapToGrid w:val="0"/>
                <w:szCs w:val="21"/>
              </w:rPr>
              <w:t>%得2分，</w:t>
            </w:r>
            <w:r>
              <w:rPr>
                <w:rFonts w:hint="eastAsia" w:ascii="宋体" w:hAnsi="宋体" w:eastAsia="宋体"/>
                <w:snapToGrid w:val="0"/>
                <w:szCs w:val="21"/>
              </w:rPr>
              <w:t>85</w:t>
            </w:r>
            <w:r>
              <w:rPr>
                <w:rFonts w:ascii="宋体" w:hAnsi="宋体" w:eastAsia="宋体"/>
                <w:snapToGrid w:val="0"/>
                <w:szCs w:val="21"/>
              </w:rPr>
              <w:t>（含）～</w:t>
            </w:r>
            <w:r>
              <w:rPr>
                <w:rFonts w:hint="eastAsia" w:ascii="宋体" w:hAnsi="宋体" w:eastAsia="宋体"/>
                <w:snapToGrid w:val="0"/>
                <w:szCs w:val="21"/>
              </w:rPr>
              <w:t>95</w:t>
            </w:r>
            <w:r>
              <w:rPr>
                <w:rFonts w:ascii="宋体" w:hAnsi="宋体" w:eastAsia="宋体"/>
                <w:snapToGrid w:val="0"/>
                <w:szCs w:val="21"/>
              </w:rPr>
              <w:t>%得1分，</w:t>
            </w:r>
            <w:r>
              <w:rPr>
                <w:rFonts w:hint="eastAsia" w:ascii="宋体" w:hAnsi="宋体" w:eastAsia="宋体"/>
                <w:snapToGrid w:val="0"/>
                <w:szCs w:val="21"/>
              </w:rPr>
              <w:t>75</w:t>
            </w:r>
            <w:r>
              <w:rPr>
                <w:rFonts w:ascii="宋体" w:hAnsi="宋体" w:eastAsia="宋体"/>
                <w:snapToGrid w:val="0"/>
                <w:szCs w:val="21"/>
              </w:rPr>
              <w:t>（含）～</w:t>
            </w:r>
            <w:r>
              <w:rPr>
                <w:rFonts w:hint="eastAsia" w:ascii="宋体" w:hAnsi="宋体" w:eastAsia="宋体"/>
                <w:snapToGrid w:val="0"/>
                <w:szCs w:val="21"/>
              </w:rPr>
              <w:t>85</w:t>
            </w:r>
            <w:r>
              <w:rPr>
                <w:rFonts w:ascii="宋体" w:hAnsi="宋体" w:eastAsia="宋体"/>
                <w:snapToGrid w:val="0"/>
                <w:szCs w:val="21"/>
              </w:rPr>
              <w:t>%得</w:t>
            </w:r>
            <w:r>
              <w:rPr>
                <w:rFonts w:hint="eastAsia" w:ascii="宋体" w:hAnsi="宋体" w:eastAsia="宋体"/>
                <w:snapToGrid w:val="0"/>
                <w:szCs w:val="21"/>
              </w:rPr>
              <w:t>0.5</w:t>
            </w:r>
            <w:r>
              <w:rPr>
                <w:rFonts w:ascii="宋体" w:hAnsi="宋体" w:eastAsia="宋体"/>
                <w:snapToGrid w:val="0"/>
                <w:szCs w:val="21"/>
              </w:rPr>
              <w:t>分，</w:t>
            </w:r>
            <w:r>
              <w:rPr>
                <w:rFonts w:hint="eastAsia" w:ascii="宋体" w:hAnsi="宋体" w:eastAsia="宋体"/>
                <w:snapToGrid w:val="0"/>
                <w:szCs w:val="21"/>
              </w:rPr>
              <w:t>75%以下得0分</w:t>
            </w:r>
            <w:r>
              <w:rPr>
                <w:rFonts w:ascii="宋体" w:hAnsi="宋体" w:eastAsia="宋体"/>
                <w:snapToGrid w:val="0"/>
                <w:szCs w:val="21"/>
              </w:rPr>
              <w:t>。</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89"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14.推广节水技术</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3</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节水技术推广面积占年度计划的比例达到100%得3分，低于50%得0分，50～100%按比例得分。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trPr>
        <w:tc>
          <w:tcPr>
            <w:tcW w:w="966" w:type="dxa"/>
            <w:vMerge w:val="restart"/>
            <w:vAlign w:val="center"/>
          </w:tcPr>
          <w:p>
            <w:pPr>
              <w:snapToGrid w:val="0"/>
              <w:jc w:val="center"/>
              <w:rPr>
                <w:rFonts w:ascii="宋体" w:hAnsi="宋体" w:eastAsia="宋体"/>
                <w:snapToGrid w:val="0"/>
                <w:szCs w:val="21"/>
              </w:rPr>
            </w:pPr>
            <w:r>
              <w:rPr>
                <w:rFonts w:ascii="宋体" w:hAnsi="宋体" w:eastAsia="宋体"/>
                <w:snapToGrid w:val="0"/>
                <w:szCs w:val="21"/>
              </w:rPr>
              <w:t>任务评价（75分）</w:t>
            </w: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（五）建立健全农业水价形成机制</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20</w:t>
            </w:r>
          </w:p>
        </w:tc>
        <w:tc>
          <w:tcPr>
            <w:tcW w:w="6653" w:type="dxa"/>
            <w:vAlign w:val="center"/>
          </w:tcPr>
          <w:p>
            <w:pPr>
              <w:snapToGrid w:val="0"/>
              <w:rPr>
                <w:rFonts w:ascii="宋体" w:hAnsi="宋体" w:eastAsia="宋体"/>
                <w:snapToGrid w:val="0"/>
                <w:szCs w:val="21"/>
              </w:rPr>
            </w:pP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6"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15.建立健全农业水价相关管理办法</w:t>
            </w:r>
          </w:p>
        </w:tc>
        <w:tc>
          <w:tcPr>
            <w:tcW w:w="718" w:type="dxa"/>
            <w:vAlign w:val="center"/>
          </w:tcPr>
          <w:p>
            <w:pPr>
              <w:snapToGrid w:val="0"/>
              <w:jc w:val="center"/>
              <w:rPr>
                <w:rFonts w:ascii="宋体" w:hAnsi="宋体" w:eastAsia="宋体"/>
                <w:snapToGrid w:val="0"/>
                <w:szCs w:val="21"/>
              </w:rPr>
            </w:pPr>
            <w:r>
              <w:rPr>
                <w:rFonts w:hint="eastAsia" w:ascii="宋体" w:hAnsi="宋体" w:eastAsia="宋体"/>
                <w:snapToGrid w:val="0"/>
                <w:szCs w:val="21"/>
              </w:rPr>
              <w:t>8</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市（州）级层面或改革县（市、区）农业水价成本监审和价格核定有相关管理办法或文件得</w:t>
            </w:r>
            <w:r>
              <w:rPr>
                <w:rFonts w:hint="eastAsia" w:ascii="宋体" w:hAnsi="宋体" w:eastAsia="宋体"/>
                <w:snapToGrid w:val="0"/>
                <w:szCs w:val="21"/>
              </w:rPr>
              <w:t>8</w:t>
            </w:r>
            <w:r>
              <w:rPr>
                <w:rFonts w:ascii="宋体" w:hAnsi="宋体" w:eastAsia="宋体"/>
                <w:snapToGrid w:val="0"/>
                <w:szCs w:val="21"/>
              </w:rPr>
              <w:t>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36"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16.合理测算并制定农业水价</w:t>
            </w:r>
          </w:p>
        </w:tc>
        <w:tc>
          <w:tcPr>
            <w:tcW w:w="718" w:type="dxa"/>
            <w:vAlign w:val="center"/>
          </w:tcPr>
          <w:p>
            <w:pPr>
              <w:snapToGrid w:val="0"/>
              <w:jc w:val="center"/>
              <w:rPr>
                <w:rFonts w:ascii="宋体" w:hAnsi="宋体" w:eastAsia="宋体"/>
                <w:snapToGrid w:val="0"/>
                <w:szCs w:val="21"/>
              </w:rPr>
            </w:pPr>
            <w:r>
              <w:rPr>
                <w:rFonts w:hint="eastAsia" w:ascii="宋体" w:hAnsi="宋体" w:eastAsia="宋体"/>
                <w:snapToGrid w:val="0"/>
                <w:szCs w:val="21"/>
              </w:rPr>
              <w:t>10</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1．按照相关规定进行成本监审并合理测算改革实施范围内农业水价得3分；</w:t>
            </w:r>
          </w:p>
          <w:p>
            <w:pPr>
              <w:snapToGrid w:val="0"/>
              <w:rPr>
                <w:rFonts w:ascii="宋体" w:hAnsi="宋体" w:eastAsia="宋体"/>
                <w:snapToGrid w:val="0"/>
                <w:szCs w:val="21"/>
              </w:rPr>
            </w:pPr>
            <w:r>
              <w:rPr>
                <w:rFonts w:ascii="宋体" w:hAnsi="宋体" w:eastAsia="宋体"/>
                <w:snapToGrid w:val="0"/>
                <w:szCs w:val="21"/>
              </w:rPr>
              <w:t>2．合理制定改革实施范围内农业水价调整计划得2分；</w:t>
            </w:r>
          </w:p>
          <w:p>
            <w:pPr>
              <w:snapToGrid w:val="0"/>
              <w:rPr>
                <w:rFonts w:ascii="宋体" w:hAnsi="宋体" w:eastAsia="宋体"/>
                <w:snapToGrid w:val="0"/>
                <w:szCs w:val="21"/>
              </w:rPr>
            </w:pPr>
            <w:r>
              <w:rPr>
                <w:rFonts w:ascii="宋体" w:hAnsi="宋体" w:eastAsia="宋体"/>
                <w:snapToGrid w:val="0"/>
                <w:szCs w:val="21"/>
              </w:rPr>
              <w:t>3．改革实施范围内骨干水利工程水价已明确调整到运行维护成本水平得</w:t>
            </w:r>
            <w:r>
              <w:rPr>
                <w:rFonts w:hint="eastAsia" w:ascii="宋体" w:hAnsi="宋体" w:eastAsia="宋体"/>
                <w:snapToGrid w:val="0"/>
                <w:szCs w:val="21"/>
              </w:rPr>
              <w:t>2</w:t>
            </w:r>
            <w:r>
              <w:rPr>
                <w:rFonts w:ascii="宋体" w:hAnsi="宋体" w:eastAsia="宋体"/>
                <w:snapToGrid w:val="0"/>
                <w:szCs w:val="21"/>
              </w:rPr>
              <w:t>分；</w:t>
            </w:r>
          </w:p>
          <w:p>
            <w:pPr>
              <w:snapToGrid w:val="0"/>
              <w:rPr>
                <w:rFonts w:ascii="宋体" w:hAnsi="宋体" w:eastAsia="宋体"/>
                <w:snapToGrid w:val="0"/>
                <w:szCs w:val="21"/>
              </w:rPr>
            </w:pPr>
            <w:r>
              <w:rPr>
                <w:rFonts w:ascii="宋体" w:hAnsi="宋体" w:eastAsia="宋体"/>
                <w:snapToGrid w:val="0"/>
                <w:szCs w:val="21"/>
              </w:rPr>
              <w:t>4．改革实施范围内末级渠系已明确农业水价达到运行维护成本水平的面积（协商定价除外）比例达到100%得</w:t>
            </w:r>
            <w:r>
              <w:rPr>
                <w:rFonts w:hint="eastAsia" w:ascii="宋体" w:hAnsi="宋体" w:eastAsia="宋体"/>
                <w:snapToGrid w:val="0"/>
                <w:szCs w:val="21"/>
              </w:rPr>
              <w:t>2</w:t>
            </w:r>
            <w:r>
              <w:rPr>
                <w:rFonts w:ascii="宋体" w:hAnsi="宋体" w:eastAsia="宋体"/>
                <w:snapToGrid w:val="0"/>
                <w:szCs w:val="21"/>
              </w:rPr>
              <w:t>分，低于50%得0分，50～100%按比例得分；</w:t>
            </w:r>
          </w:p>
          <w:p>
            <w:pPr>
              <w:snapToGrid w:val="0"/>
              <w:rPr>
                <w:rFonts w:ascii="宋体" w:hAnsi="宋体" w:eastAsia="宋体"/>
                <w:snapToGrid w:val="0"/>
                <w:szCs w:val="21"/>
              </w:rPr>
            </w:pPr>
            <w:r>
              <w:rPr>
                <w:rFonts w:ascii="宋体" w:hAnsi="宋体" w:eastAsia="宋体"/>
                <w:snapToGrid w:val="0"/>
                <w:szCs w:val="21"/>
              </w:rPr>
              <w:t>5．农民水价负担合理、用户接受程度高得1分。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3"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17.实施超定额累进加价制度</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2</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出台并执行超定额累进加价制度得2分，其中出台制度得1分，改革实施范围内落实制度得1分。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（六）建立精准补贴和节水奖励机制</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15</w:t>
            </w:r>
          </w:p>
        </w:tc>
        <w:tc>
          <w:tcPr>
            <w:tcW w:w="6653" w:type="dxa"/>
            <w:vAlign w:val="center"/>
          </w:tcPr>
          <w:p>
            <w:pPr>
              <w:snapToGrid w:val="0"/>
              <w:rPr>
                <w:rFonts w:ascii="宋体" w:hAnsi="宋体" w:eastAsia="宋体"/>
                <w:snapToGrid w:val="0"/>
                <w:szCs w:val="21"/>
              </w:rPr>
            </w:pP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2"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18.出台精准补贴和节水奖励办法</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8</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市（州）级层面或改革县（市、区）出台办法得8分，其中出台精准补贴办法得5分，节水奖励办法得3分。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19.落实精准补贴资金</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5</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实际落实精准补贴资金占改革实施范围内需要落实资金的比例达到100%得5分，低于50%得0分，50～100%按比例得分。</w:t>
            </w:r>
          </w:p>
        </w:tc>
        <w:tc>
          <w:tcPr>
            <w:tcW w:w="1134" w:type="dxa"/>
            <w:vAlign w:val="center"/>
          </w:tcPr>
          <w:p>
            <w:pPr>
              <w:snapToGrid w:val="0"/>
              <w:jc w:val="center"/>
              <w:rPr>
                <w:rFonts w:ascii="宋体" w:hAnsi="宋体" w:eastAsia="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trPr>
        <w:tc>
          <w:tcPr>
            <w:tcW w:w="966" w:type="dxa"/>
            <w:vMerge w:val="continue"/>
            <w:vAlign w:val="center"/>
          </w:tcPr>
          <w:p>
            <w:pPr>
              <w:snapToGrid w:val="0"/>
              <w:jc w:val="center"/>
              <w:rPr>
                <w:rFonts w:ascii="宋体" w:hAnsi="宋体" w:eastAsia="宋体"/>
                <w:snapToGrid w:val="0"/>
                <w:szCs w:val="21"/>
              </w:rPr>
            </w:pPr>
          </w:p>
        </w:tc>
        <w:tc>
          <w:tcPr>
            <w:tcW w:w="4874" w:type="dxa"/>
            <w:vAlign w:val="center"/>
          </w:tcPr>
          <w:p>
            <w:pPr>
              <w:snapToGrid w:val="0"/>
              <w:rPr>
                <w:rFonts w:ascii="宋体" w:hAnsi="宋体" w:eastAsia="宋体"/>
                <w:snapToGrid w:val="0"/>
                <w:szCs w:val="21"/>
              </w:rPr>
            </w:pPr>
            <w:r>
              <w:rPr>
                <w:rFonts w:ascii="宋体" w:hAnsi="宋体" w:eastAsia="宋体"/>
                <w:snapToGrid w:val="0"/>
                <w:szCs w:val="21"/>
              </w:rPr>
              <w:t>20.落实节水奖励资金</w:t>
            </w:r>
          </w:p>
        </w:tc>
        <w:tc>
          <w:tcPr>
            <w:tcW w:w="718" w:type="dxa"/>
            <w:vAlign w:val="center"/>
          </w:tcPr>
          <w:p>
            <w:pPr>
              <w:snapToGrid w:val="0"/>
              <w:jc w:val="center"/>
              <w:rPr>
                <w:rFonts w:ascii="宋体" w:hAnsi="宋体" w:eastAsia="宋体"/>
                <w:snapToGrid w:val="0"/>
                <w:szCs w:val="21"/>
              </w:rPr>
            </w:pPr>
            <w:r>
              <w:rPr>
                <w:rFonts w:ascii="宋体" w:hAnsi="宋体" w:eastAsia="宋体"/>
                <w:snapToGrid w:val="0"/>
                <w:szCs w:val="21"/>
              </w:rPr>
              <w:t>2</w:t>
            </w:r>
          </w:p>
        </w:tc>
        <w:tc>
          <w:tcPr>
            <w:tcW w:w="6653" w:type="dxa"/>
            <w:vAlign w:val="center"/>
          </w:tcPr>
          <w:p>
            <w:pPr>
              <w:snapToGrid w:val="0"/>
              <w:rPr>
                <w:rFonts w:ascii="宋体" w:hAnsi="宋体" w:eastAsia="宋体"/>
                <w:snapToGrid w:val="0"/>
                <w:szCs w:val="21"/>
              </w:rPr>
            </w:pPr>
            <w:r>
              <w:rPr>
                <w:rFonts w:ascii="宋体" w:hAnsi="宋体" w:eastAsia="宋体"/>
                <w:snapToGrid w:val="0"/>
                <w:szCs w:val="21"/>
              </w:rPr>
              <w:t>落实节水奖励资金占改革实施范围内需要落实资金的比例达到100%得2分，低于50%得0分，50～100%按比例得分。</w:t>
            </w:r>
          </w:p>
        </w:tc>
        <w:tc>
          <w:tcPr>
            <w:tcW w:w="1134" w:type="dxa"/>
            <w:vAlign w:val="center"/>
          </w:tcPr>
          <w:p>
            <w:pPr>
              <w:snapToGrid w:val="0"/>
              <w:jc w:val="center"/>
              <w:rPr>
                <w:rFonts w:ascii="宋体" w:hAnsi="宋体" w:eastAsia="宋体"/>
                <w:snapToGrid w:val="0"/>
                <w:szCs w:val="21"/>
              </w:rPr>
            </w:pPr>
          </w:p>
        </w:tc>
      </w:tr>
    </w:tbl>
    <w:p>
      <w:pPr>
        <w:snapToGrid w:val="0"/>
        <w:spacing w:line="360" w:lineRule="auto"/>
      </w:pPr>
      <w:r>
        <w:rPr>
          <w:rFonts w:eastAsia="仿宋_GB2312"/>
          <w:snapToGrid w:val="0"/>
          <w:sz w:val="24"/>
        </w:rPr>
        <w:t>备注：改革实施范围是指年度实施计划中启动相关改革任务的工作区域。</w:t>
      </w:r>
    </w:p>
    <w:p>
      <w:pPr>
        <w:tabs>
          <w:tab w:val="left" w:pos="7797"/>
        </w:tabs>
        <w:spacing w:line="600" w:lineRule="exact"/>
        <w:ind w:firstLine="3968" w:firstLineChars="1240"/>
        <w:jc w:val="center"/>
        <w:rPr>
          <w:rFonts w:eastAsia="仿宋_GB2312"/>
          <w:sz w:val="32"/>
          <w:szCs w:val="32"/>
        </w:rPr>
        <w:sectPr>
          <w:footerReference r:id="rId3" w:type="default"/>
          <w:footerReference r:id="rId4" w:type="even"/>
          <w:pgSz w:w="16838" w:h="11906" w:orient="landscape"/>
          <w:pgMar w:top="1701" w:right="1418" w:bottom="1701" w:left="1418" w:header="851" w:footer="1418"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420" w:firstLineChars="150"/>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91BA9"/>
    <w:rsid w:val="1A691B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2018-09-20T08:14:00Z</dcterms:created>
  <dc:creator>NTKO</dc:creator>
  <cp:lastModifiedBy>NTKO</cp:lastModifiedBy>
  <dcterms:modified xsi:type="dcterms:W3CDTF">2018-09-20T08:14:37Z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