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rFonts w:hint="eastAsia"/>
          <w:sz w:val="56"/>
          <w:szCs w:val="56"/>
          <w:lang w:eastAsia="zh-CN"/>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rFonts w:hint="default" w:ascii="Times New Roman" w:hAnsi="Times New Roman" w:cs="Times New Roman"/>
          <w:spacing w:val="-21"/>
          <w:sz w:val="56"/>
          <w:szCs w:val="56"/>
          <w:lang w:eastAsia="zh-CN"/>
        </w:rPr>
      </w:pPr>
      <w:r>
        <w:rPr>
          <w:rFonts w:hint="eastAsia" w:ascii="Times New Roman" w:hAnsi="Times New Roman" w:cs="Times New Roman"/>
          <w:spacing w:val="-21"/>
          <w:sz w:val="56"/>
          <w:szCs w:val="56"/>
          <w:lang w:eastAsia="zh-CN"/>
        </w:rPr>
        <w:t>202</w:t>
      </w:r>
      <w:r>
        <w:rPr>
          <w:rFonts w:hint="eastAsia" w:ascii="Times New Roman" w:hAnsi="Times New Roman" w:cs="Times New Roman"/>
          <w:spacing w:val="-21"/>
          <w:sz w:val="56"/>
          <w:szCs w:val="56"/>
          <w:lang w:val="en-US" w:eastAsia="zh-CN"/>
        </w:rPr>
        <w:t>2</w:t>
      </w:r>
      <w:r>
        <w:rPr>
          <w:rFonts w:hint="eastAsia" w:ascii="Times New Roman" w:hAnsi="Times New Roman" w:cs="Times New Roman"/>
          <w:spacing w:val="-21"/>
          <w:sz w:val="56"/>
          <w:szCs w:val="56"/>
          <w:lang w:eastAsia="zh-CN"/>
        </w:rPr>
        <w:t>年度</w:t>
      </w:r>
    </w:p>
    <w:p>
      <w:pPr>
        <w:pStyle w:val="11"/>
        <w:jc w:val="center"/>
        <w:rPr>
          <w:rFonts w:hint="eastAsia" w:ascii="Times New Roman" w:hAnsi="Times New Roman" w:cs="Times New Roman"/>
          <w:spacing w:val="-21"/>
          <w:sz w:val="56"/>
          <w:szCs w:val="56"/>
          <w:lang w:eastAsia="zh-CN"/>
        </w:rPr>
      </w:pPr>
      <w:r>
        <w:rPr>
          <w:rFonts w:hint="eastAsia" w:ascii="Times New Roman" w:hAnsi="Times New Roman" w:cs="Times New Roman"/>
          <w:spacing w:val="-21"/>
          <w:sz w:val="56"/>
          <w:szCs w:val="56"/>
          <w:lang w:eastAsia="zh-CN"/>
        </w:rPr>
        <w:t>湖南省长株潭一体化发展事务中心</w:t>
      </w:r>
    </w:p>
    <w:p>
      <w:pPr>
        <w:pStyle w:val="11"/>
        <w:jc w:val="center"/>
        <w:rPr>
          <w:rFonts w:hint="default" w:ascii="Times New Roman" w:hAnsi="Times New Roman" w:cs="Times New Roman"/>
          <w:spacing w:val="-21"/>
          <w:sz w:val="56"/>
          <w:szCs w:val="56"/>
          <w:lang w:eastAsia="zh-CN"/>
        </w:rPr>
      </w:pPr>
      <w:r>
        <w:rPr>
          <w:rFonts w:hint="eastAsia" w:ascii="Times New Roman" w:hAnsi="Times New Roman" w:cs="Times New Roman"/>
          <w:spacing w:val="-21"/>
          <w:sz w:val="56"/>
          <w:szCs w:val="56"/>
          <w:lang w:eastAsia="zh-CN"/>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spacing w:line="500" w:lineRule="exact"/>
        <w:jc w:val="center"/>
        <w:rPr>
          <w:rFonts w:hint="eastAsia"/>
          <w:b/>
          <w:sz w:val="36"/>
          <w:szCs w:val="28"/>
        </w:rPr>
      </w:pPr>
    </w:p>
    <w:p>
      <w:pPr>
        <w:pStyle w:val="11"/>
        <w:spacing w:line="500" w:lineRule="exact"/>
        <w:jc w:val="center"/>
        <w:rPr>
          <w:rFonts w:hint="eastAsia"/>
          <w:b/>
          <w:sz w:val="36"/>
          <w:szCs w:val="28"/>
        </w:rPr>
      </w:pPr>
    </w:p>
    <w:p>
      <w:pPr>
        <w:pStyle w:val="11"/>
        <w:spacing w:line="500" w:lineRule="exact"/>
        <w:jc w:val="center"/>
        <w:rPr>
          <w:rFonts w:hint="eastAsia"/>
          <w:b/>
          <w:sz w:val="36"/>
          <w:szCs w:val="28"/>
        </w:rPr>
      </w:pPr>
      <w:r>
        <w:rPr>
          <w:rFonts w:hint="eastAsia"/>
          <w:b/>
          <w:sz w:val="36"/>
          <w:szCs w:val="28"/>
        </w:rPr>
        <w:t>目录</w:t>
      </w:r>
    </w:p>
    <w:p>
      <w:pPr>
        <w:pStyle w:val="11"/>
        <w:spacing w:line="500" w:lineRule="exact"/>
        <w:jc w:val="center"/>
        <w:rPr>
          <w:rFonts w:hint="eastAsia"/>
          <w:b/>
          <w:sz w:val="36"/>
          <w:szCs w:val="28"/>
          <w:lang w:eastAsia="zh-CN"/>
        </w:rPr>
      </w:pPr>
    </w:p>
    <w:p>
      <w:pPr>
        <w:pStyle w:val="11"/>
        <w:spacing w:line="500" w:lineRule="exact"/>
        <w:rPr>
          <w:rFonts w:ascii="仿宋_GB2312" w:hAnsi="仿宋_GB2312" w:cs="仿宋_GB2312"/>
          <w:b/>
          <w:sz w:val="32"/>
          <w:szCs w:val="32"/>
        </w:rPr>
      </w:pPr>
      <w:r>
        <w:rPr>
          <w:rFonts w:hint="eastAsia"/>
          <w:b/>
          <w:sz w:val="32"/>
          <w:szCs w:val="32"/>
        </w:rPr>
        <w:t>第一部分</w:t>
      </w:r>
      <w:r>
        <w:rPr>
          <w:rFonts w:hint="eastAsia"/>
          <w:b/>
          <w:sz w:val="32"/>
          <w:szCs w:val="32"/>
          <w:lang w:val="en-US" w:eastAsia="zh-CN"/>
        </w:rPr>
        <w:t xml:space="preserve"> 部门</w:t>
      </w:r>
      <w:r>
        <w:rPr>
          <w:rFonts w:hint="eastAsia"/>
          <w:b/>
          <w:sz w:val="32"/>
          <w:szCs w:val="32"/>
        </w:rPr>
        <w:t>概况</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一、部门职责</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二、</w:t>
      </w:r>
      <w:r>
        <w:rPr>
          <w:rFonts w:hint="eastAsia" w:cs="仿宋_GB2312" w:asciiTheme="minorEastAsia" w:hAnsiTheme="minorEastAsia" w:eastAsiaTheme="minorEastAsia"/>
          <w:sz w:val="32"/>
          <w:szCs w:val="32"/>
        </w:rPr>
        <w:t>机构设置及决算单位构成</w:t>
      </w:r>
    </w:p>
    <w:p>
      <w:pPr>
        <w:pStyle w:val="11"/>
        <w:spacing w:line="500" w:lineRule="exact"/>
        <w:rPr>
          <w:rFonts w:ascii="仿宋_GB2312" w:hAnsi="仿宋_GB2312" w:cs="仿宋_GB2312"/>
          <w:b/>
          <w:sz w:val="32"/>
          <w:szCs w:val="32"/>
        </w:rPr>
      </w:pPr>
      <w:r>
        <w:rPr>
          <w:rFonts w:hint="eastAsia" w:hAnsi="仿宋_GB2312"/>
          <w:b/>
          <w:sz w:val="32"/>
          <w:szCs w:val="32"/>
        </w:rPr>
        <w:t>第二部分</w:t>
      </w:r>
      <w:r>
        <w:rPr>
          <w:rFonts w:hint="eastAsia" w:hAnsi="仿宋_GB2312"/>
          <w:b/>
          <w:sz w:val="32"/>
          <w:szCs w:val="32"/>
          <w:lang w:val="en-US" w:eastAsia="zh-CN"/>
        </w:rPr>
        <w:t xml:space="preserve"> </w:t>
      </w:r>
      <w:r>
        <w:rPr>
          <w:rFonts w:hint="eastAsia" w:hAnsi="仿宋_GB2312"/>
          <w:b/>
          <w:sz w:val="32"/>
          <w:szCs w:val="32"/>
        </w:rPr>
        <w:t>部门决算表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一、收入支出决算总表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二、收入决算表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三、支出决算表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四、财政拨款收入支出决算总表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五、一般公共预算财政拨款支出决算表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六、一般公共预算财政拨款基本支出决算</w:t>
      </w:r>
      <w:r>
        <w:rPr>
          <w:rFonts w:hint="eastAsia" w:cs="仿宋_GB2312" w:asciiTheme="minorEastAsia" w:hAnsiTheme="minorEastAsia" w:eastAsiaTheme="minorEastAsia"/>
          <w:sz w:val="32"/>
          <w:szCs w:val="32"/>
        </w:rPr>
        <w:t>明细</w:t>
      </w:r>
      <w:r>
        <w:rPr>
          <w:rFonts w:cs="仿宋_GB2312" w:asciiTheme="minorEastAsia" w:hAnsiTheme="minorEastAsia" w:eastAsiaTheme="minorEastAsia"/>
          <w:sz w:val="32"/>
          <w:szCs w:val="32"/>
        </w:rPr>
        <w:t>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七、政府性基金预算财政拨款收入支出决算表</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八、</w:t>
      </w:r>
      <w:r>
        <w:rPr>
          <w:rFonts w:hint="eastAsia" w:cs="仿宋_GB2312" w:asciiTheme="minorEastAsia" w:hAnsiTheme="minorEastAsia" w:eastAsiaTheme="minorEastAsia"/>
          <w:sz w:val="32"/>
          <w:szCs w:val="32"/>
        </w:rPr>
        <w:t>国有资本经营预算财政拨款支出决算表</w:t>
      </w:r>
    </w:p>
    <w:p>
      <w:pPr>
        <w:pStyle w:val="11"/>
        <w:spacing w:line="500" w:lineRule="exact"/>
        <w:ind w:firstLine="800" w:firstLineChars="25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九、</w:t>
      </w:r>
      <w:r>
        <w:rPr>
          <w:rFonts w:cs="仿宋_GB2312" w:asciiTheme="minorEastAsia" w:hAnsiTheme="minorEastAsia" w:eastAsiaTheme="minorEastAsia"/>
          <w:sz w:val="32"/>
          <w:szCs w:val="32"/>
        </w:rPr>
        <w:t>财政拨款“三公”经费支出决算表</w:t>
      </w:r>
    </w:p>
    <w:p>
      <w:pPr>
        <w:pStyle w:val="11"/>
        <w:spacing w:line="500" w:lineRule="exact"/>
        <w:rPr>
          <w:rFonts w:ascii="仿宋_GB2312" w:hAnsi="仿宋_GB2312" w:cs="仿宋_GB2312"/>
          <w:b/>
          <w:sz w:val="32"/>
          <w:szCs w:val="32"/>
        </w:rPr>
      </w:pPr>
      <w:r>
        <w:rPr>
          <w:rFonts w:hint="eastAsia" w:hAnsi="仿宋_GB2312"/>
          <w:b/>
          <w:sz w:val="32"/>
          <w:szCs w:val="32"/>
        </w:rPr>
        <w:t>第三部分</w:t>
      </w:r>
      <w:r>
        <w:rPr>
          <w:rFonts w:hint="eastAsia" w:hAnsi="仿宋_GB2312"/>
          <w:b/>
          <w:sz w:val="32"/>
          <w:szCs w:val="32"/>
          <w:lang w:val="en-US" w:eastAsia="zh-CN"/>
        </w:rPr>
        <w:t xml:space="preserve"> </w:t>
      </w:r>
      <w:r>
        <w:rPr>
          <w:rFonts w:hAnsi="仿宋_GB2312"/>
          <w:b/>
          <w:sz w:val="32"/>
          <w:szCs w:val="32"/>
        </w:rPr>
        <w:t>20</w:t>
      </w:r>
      <w:r>
        <w:rPr>
          <w:rFonts w:hint="eastAsia" w:hAnsi="仿宋_GB2312"/>
          <w:b/>
          <w:sz w:val="32"/>
          <w:szCs w:val="32"/>
        </w:rPr>
        <w:t>2</w:t>
      </w:r>
      <w:r>
        <w:rPr>
          <w:rFonts w:hint="eastAsia" w:hAnsi="仿宋_GB2312"/>
          <w:b/>
          <w:sz w:val="32"/>
          <w:szCs w:val="32"/>
          <w:lang w:val="en-US" w:eastAsia="zh-CN"/>
        </w:rPr>
        <w:t>2</w:t>
      </w:r>
      <w:r>
        <w:rPr>
          <w:rFonts w:hint="eastAsia" w:hAnsi="仿宋_GB2312"/>
          <w:b/>
          <w:sz w:val="32"/>
          <w:szCs w:val="32"/>
        </w:rPr>
        <w:t>年度部门决算情况说明</w:t>
      </w:r>
    </w:p>
    <w:p>
      <w:pPr>
        <w:pStyle w:val="11"/>
        <w:spacing w:line="500" w:lineRule="exact"/>
        <w:ind w:firstLine="800" w:firstLineChars="25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一、收入支出决算总体情况说明</w:t>
      </w:r>
    </w:p>
    <w:p>
      <w:pPr>
        <w:spacing w:line="500" w:lineRule="exact"/>
        <w:ind w:firstLine="800" w:firstLineChars="250"/>
        <w:jc w:val="left"/>
        <w:rPr>
          <w:rFonts w:ascii="仿宋_GB2312" w:hAnsi="仿宋_GB2312" w:cs="仿宋_GB2312"/>
          <w:sz w:val="32"/>
          <w:szCs w:val="32"/>
        </w:rPr>
      </w:pPr>
      <w:r>
        <w:rPr>
          <w:rFonts w:ascii="仿宋_GB2312" w:hAnsi="仿宋_GB2312" w:cs="仿宋_GB2312"/>
          <w:sz w:val="32"/>
          <w:szCs w:val="32"/>
        </w:rPr>
        <w:t>二、收入决算情况说明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ascii="仿宋_GB2312" w:hAnsi="仿宋_GB2312" w:cs="仿宋_GB2312"/>
          <w:color w:val="000000"/>
          <w:kern w:val="0"/>
          <w:sz w:val="32"/>
          <w:szCs w:val="32"/>
        </w:rPr>
        <w:t>三、支出决算情况说明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ascii="仿宋_GB2312" w:hAnsi="仿宋_GB2312" w:cs="仿宋_GB2312"/>
          <w:color w:val="000000"/>
          <w:kern w:val="0"/>
          <w:sz w:val="32"/>
          <w:szCs w:val="32"/>
        </w:rPr>
        <w:t>四、财政拨款收入支出决算总体情况说明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ascii="仿宋_GB2312" w:hAnsi="仿宋_GB2312" w:cs="仿宋_GB2312"/>
          <w:color w:val="000000"/>
          <w:kern w:val="0"/>
          <w:sz w:val="32"/>
          <w:szCs w:val="32"/>
        </w:rPr>
        <w:t>五、一般公共预算财政拨款支出决算情况说明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ascii="仿宋_GB2312" w:hAnsi="仿宋_GB2312" w:cs="仿宋_GB2312"/>
          <w:color w:val="000000"/>
          <w:kern w:val="0"/>
          <w:sz w:val="32"/>
          <w:szCs w:val="32"/>
        </w:rPr>
        <w:t>六、一般公共预算财政拨款基本支出决算情况说明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ascii="仿宋_GB2312" w:hAnsi="仿宋_GB2312" w:cs="仿宋_GB2312"/>
          <w:color w:val="000000"/>
          <w:kern w:val="0"/>
          <w:sz w:val="32"/>
          <w:szCs w:val="32"/>
        </w:rPr>
        <w:t>七、一般公共预算财政拨款</w:t>
      </w:r>
      <w:r>
        <w:rPr>
          <w:rFonts w:hint="eastAsia" w:ascii="仿宋_GB2312" w:hAnsi="仿宋_GB2312" w:cs="仿宋_GB2312"/>
          <w:color w:val="000000"/>
          <w:kern w:val="0"/>
          <w:sz w:val="32"/>
          <w:szCs w:val="32"/>
        </w:rPr>
        <w:t>“</w:t>
      </w:r>
      <w:r>
        <w:rPr>
          <w:rFonts w:ascii="仿宋_GB2312" w:hAnsi="仿宋_GB2312" w:cs="仿宋_GB2312"/>
          <w:color w:val="000000"/>
          <w:kern w:val="0"/>
          <w:sz w:val="32"/>
          <w:szCs w:val="32"/>
        </w:rPr>
        <w:t>三公</w:t>
      </w:r>
      <w:r>
        <w:rPr>
          <w:rFonts w:hint="eastAsia" w:ascii="仿宋_GB2312" w:hAnsi="仿宋_GB2312" w:cs="仿宋_GB2312"/>
          <w:color w:val="000000"/>
          <w:kern w:val="0"/>
          <w:sz w:val="32"/>
          <w:szCs w:val="32"/>
        </w:rPr>
        <w:t>”</w:t>
      </w:r>
      <w:r>
        <w:rPr>
          <w:rFonts w:ascii="仿宋_GB2312" w:hAnsi="仿宋_GB2312" w:cs="仿宋_GB2312"/>
          <w:color w:val="000000"/>
          <w:kern w:val="0"/>
          <w:sz w:val="32"/>
          <w:szCs w:val="32"/>
        </w:rPr>
        <w:t>经费支出决算情况说明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hint="eastAsia" w:ascii="仿宋_GB2312" w:hAnsi="仿宋_GB2312" w:cs="仿宋_GB2312"/>
          <w:color w:val="000000"/>
          <w:kern w:val="0"/>
          <w:sz w:val="32"/>
          <w:szCs w:val="32"/>
        </w:rPr>
        <w:t>八</w:t>
      </w:r>
      <w:r>
        <w:rPr>
          <w:rFonts w:ascii="仿宋_GB2312" w:hAnsi="仿宋_GB2312" w:cs="仿宋_GB2312"/>
          <w:color w:val="000000"/>
          <w:kern w:val="0"/>
          <w:sz w:val="32"/>
          <w:szCs w:val="32"/>
        </w:rPr>
        <w:t>、</w:t>
      </w:r>
      <w:r>
        <w:rPr>
          <w:rFonts w:hint="eastAsia" w:ascii="仿宋_GB2312" w:hAnsi="仿宋_GB2312" w:cs="仿宋_GB2312"/>
          <w:color w:val="000000"/>
          <w:kern w:val="0"/>
          <w:sz w:val="32"/>
          <w:szCs w:val="32"/>
        </w:rPr>
        <w:t>政府性基金预算收入支出决算情况</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hint="eastAsia" w:ascii="仿宋_GB2312" w:hAnsi="仿宋_GB2312" w:cs="仿宋_GB2312"/>
          <w:color w:val="000000"/>
          <w:kern w:val="0"/>
          <w:sz w:val="32"/>
          <w:szCs w:val="32"/>
        </w:rPr>
        <w:t>九</w:t>
      </w:r>
      <w:r>
        <w:rPr>
          <w:rFonts w:ascii="仿宋_GB2312" w:hAnsi="仿宋_GB2312" w:cs="仿宋_GB2312"/>
          <w:color w:val="000000"/>
          <w:kern w:val="0"/>
          <w:sz w:val="32"/>
          <w:szCs w:val="32"/>
        </w:rPr>
        <w:t>、</w:t>
      </w:r>
      <w:r>
        <w:rPr>
          <w:rFonts w:hint="eastAsia" w:ascii="仿宋_GB2312" w:hAnsi="仿宋_GB2312" w:cs="仿宋_GB2312"/>
          <w:color w:val="000000"/>
          <w:kern w:val="0"/>
          <w:sz w:val="32"/>
          <w:szCs w:val="32"/>
          <w:lang w:eastAsia="zh-CN"/>
        </w:rPr>
        <w:t>关于</w:t>
      </w:r>
      <w:r>
        <w:rPr>
          <w:rFonts w:hint="eastAsia" w:ascii="仿宋_GB2312" w:hAnsi="仿宋_GB2312" w:cs="仿宋_GB2312"/>
          <w:color w:val="000000"/>
          <w:kern w:val="0"/>
          <w:sz w:val="32"/>
          <w:szCs w:val="32"/>
        </w:rPr>
        <w:t>机关运行经费支出说明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hint="eastAsia" w:ascii="仿宋_GB2312" w:hAnsi="仿宋_GB2312" w:cs="仿宋_GB2312"/>
          <w:color w:val="000000"/>
          <w:kern w:val="0"/>
          <w:sz w:val="32"/>
          <w:szCs w:val="32"/>
        </w:rPr>
        <w:t>十、一般性支出情况说明</w:t>
      </w:r>
    </w:p>
    <w:p>
      <w:pPr>
        <w:autoSpaceDE w:val="0"/>
        <w:autoSpaceDN w:val="0"/>
        <w:adjustRightInd w:val="0"/>
        <w:spacing w:line="500" w:lineRule="exact"/>
        <w:ind w:firstLine="800" w:firstLineChars="250"/>
        <w:jc w:val="left"/>
        <w:rPr>
          <w:rFonts w:ascii="仿宋_GB2312" w:hAnsi="仿宋_GB2312" w:cs="仿宋_GB2312"/>
          <w:color w:val="000000"/>
          <w:kern w:val="0"/>
          <w:sz w:val="32"/>
          <w:szCs w:val="32"/>
        </w:rPr>
      </w:pPr>
      <w:r>
        <w:rPr>
          <w:rFonts w:hint="eastAsia" w:ascii="仿宋_GB2312" w:hAnsi="仿宋_GB2312" w:cs="仿宋_GB2312"/>
          <w:color w:val="000000"/>
          <w:kern w:val="0"/>
          <w:sz w:val="32"/>
          <w:szCs w:val="32"/>
        </w:rPr>
        <w:t>十一、</w:t>
      </w:r>
      <w:r>
        <w:rPr>
          <w:rFonts w:hint="eastAsia" w:ascii="仿宋_GB2312" w:hAnsi="仿宋_GB2312" w:cs="仿宋_GB2312"/>
          <w:color w:val="000000"/>
          <w:kern w:val="0"/>
          <w:sz w:val="32"/>
          <w:szCs w:val="32"/>
          <w:lang w:eastAsia="zh-CN"/>
        </w:rPr>
        <w:t>关于</w:t>
      </w:r>
      <w:r>
        <w:rPr>
          <w:rFonts w:hint="eastAsia" w:ascii="仿宋_GB2312" w:hAnsi="仿宋_GB2312" w:cs="仿宋_GB2312"/>
          <w:color w:val="000000"/>
          <w:kern w:val="0"/>
          <w:sz w:val="32"/>
          <w:szCs w:val="32"/>
        </w:rPr>
        <w:t>政府采购支出说明</w:t>
      </w:r>
    </w:p>
    <w:p>
      <w:pPr>
        <w:pStyle w:val="11"/>
        <w:spacing w:line="500" w:lineRule="exact"/>
        <w:ind w:firstLine="800" w:firstLineChars="250"/>
        <w:rPr>
          <w:rFonts w:ascii="仿宋_GB2312" w:hAnsi="仿宋_GB2312" w:cs="仿宋_GB2312" w:eastAsiaTheme="minorEastAsia"/>
          <w:sz w:val="32"/>
          <w:szCs w:val="32"/>
        </w:rPr>
      </w:pPr>
      <w:r>
        <w:rPr>
          <w:rFonts w:hint="eastAsia" w:ascii="仿宋_GB2312" w:hAnsi="仿宋_GB2312" w:cs="仿宋_GB2312" w:eastAsiaTheme="minorEastAsia"/>
          <w:sz w:val="32"/>
          <w:szCs w:val="32"/>
        </w:rPr>
        <w:t>十二、</w:t>
      </w:r>
      <w:r>
        <w:rPr>
          <w:rFonts w:hint="eastAsia" w:ascii="仿宋_GB2312" w:hAnsi="仿宋_GB2312" w:cs="仿宋_GB2312" w:eastAsiaTheme="minorEastAsia"/>
          <w:sz w:val="32"/>
          <w:szCs w:val="32"/>
          <w:lang w:eastAsia="zh-CN"/>
        </w:rPr>
        <w:t>关于</w:t>
      </w:r>
      <w:r>
        <w:rPr>
          <w:rFonts w:hint="eastAsia" w:ascii="仿宋_GB2312" w:hAnsi="仿宋_GB2312" w:cs="仿宋_GB2312" w:eastAsiaTheme="minorEastAsia"/>
          <w:sz w:val="32"/>
          <w:szCs w:val="32"/>
        </w:rPr>
        <w:t>国有资产占用情况说明</w:t>
      </w:r>
    </w:p>
    <w:p>
      <w:pPr>
        <w:pStyle w:val="11"/>
        <w:spacing w:line="500" w:lineRule="exact"/>
        <w:ind w:firstLine="800" w:firstLineChars="250"/>
        <w:rPr>
          <w:rFonts w:ascii="仿宋_GB2312" w:hAnsi="仿宋_GB2312" w:cs="仿宋_GB2312" w:eastAsiaTheme="minorEastAsia"/>
          <w:sz w:val="32"/>
          <w:szCs w:val="32"/>
        </w:rPr>
      </w:pPr>
      <w:r>
        <w:rPr>
          <w:rFonts w:hint="eastAsia" w:ascii="仿宋_GB2312" w:hAnsi="仿宋_GB2312" w:cs="仿宋_GB2312" w:eastAsiaTheme="minorEastAsia"/>
          <w:sz w:val="32"/>
          <w:szCs w:val="32"/>
        </w:rPr>
        <w:t>十三、</w:t>
      </w:r>
      <w:r>
        <w:rPr>
          <w:rFonts w:hint="eastAsia" w:ascii="仿宋_GB2312" w:hAnsi="仿宋_GB2312" w:cs="仿宋_GB2312" w:eastAsiaTheme="minorEastAsia"/>
          <w:sz w:val="32"/>
          <w:szCs w:val="32"/>
          <w:lang w:eastAsia="zh-CN"/>
        </w:rPr>
        <w:t>关于</w:t>
      </w:r>
      <w:r>
        <w:rPr>
          <w:rFonts w:hint="eastAsia" w:ascii="仿宋_GB2312" w:hAnsi="仿宋_GB2312" w:cs="仿宋_GB2312" w:eastAsiaTheme="minorEastAsia"/>
          <w:sz w:val="32"/>
          <w:szCs w:val="32"/>
        </w:rPr>
        <w:t>预算绩效情况</w:t>
      </w:r>
      <w:r>
        <w:rPr>
          <w:rFonts w:hint="eastAsia" w:ascii="仿宋_GB2312" w:hAnsi="仿宋_GB2312" w:cs="仿宋_GB2312" w:eastAsiaTheme="minorEastAsia"/>
          <w:sz w:val="32"/>
          <w:szCs w:val="32"/>
          <w:lang w:eastAsia="zh-CN"/>
        </w:rPr>
        <w:t>的</w:t>
      </w:r>
      <w:r>
        <w:rPr>
          <w:rFonts w:hint="eastAsia" w:ascii="仿宋_GB2312" w:hAnsi="仿宋_GB2312" w:cs="仿宋_GB2312" w:eastAsiaTheme="minorEastAsia"/>
          <w:sz w:val="32"/>
          <w:szCs w:val="32"/>
        </w:rPr>
        <w:t>说明</w:t>
      </w:r>
    </w:p>
    <w:p>
      <w:pPr>
        <w:autoSpaceDE w:val="0"/>
        <w:autoSpaceDN w:val="0"/>
        <w:adjustRightInd w:val="0"/>
        <w:spacing w:line="500" w:lineRule="exact"/>
        <w:jc w:val="left"/>
        <w:rPr>
          <w:rFonts w:ascii="黑体" w:hAnsi="黑体" w:eastAsia="黑体" w:cs="仿宋_GB2312"/>
          <w:b/>
          <w:color w:val="000000"/>
          <w:kern w:val="0"/>
          <w:sz w:val="32"/>
          <w:szCs w:val="32"/>
        </w:rPr>
      </w:pPr>
      <w:r>
        <w:rPr>
          <w:rFonts w:ascii="黑体" w:hAnsi="黑体" w:eastAsia="黑体" w:cs="黑体"/>
          <w:b/>
          <w:color w:val="000000"/>
          <w:kern w:val="0"/>
          <w:sz w:val="32"/>
          <w:szCs w:val="32"/>
        </w:rPr>
        <w:t>第四部分</w:t>
      </w:r>
      <w:r>
        <w:rPr>
          <w:rFonts w:hint="eastAsia" w:ascii="黑体" w:hAnsi="黑体" w:eastAsia="黑体" w:cs="黑体"/>
          <w:b/>
          <w:color w:val="000000"/>
          <w:kern w:val="0"/>
          <w:sz w:val="32"/>
          <w:szCs w:val="32"/>
          <w:lang w:val="en-US" w:eastAsia="zh-CN"/>
        </w:rPr>
        <w:t xml:space="preserve"> </w:t>
      </w:r>
      <w:r>
        <w:rPr>
          <w:rFonts w:ascii="黑体" w:hAnsi="黑体" w:eastAsia="黑体" w:cs="黑体"/>
          <w:b/>
          <w:color w:val="000000"/>
          <w:kern w:val="0"/>
          <w:sz w:val="32"/>
          <w:szCs w:val="32"/>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0" w:leftChars="0" w:firstLine="0" w:firstLineChars="0"/>
        <w:jc w:val="lef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12"/>
        <w:ind w:left="0" w:leftChars="0" w:firstLine="0" w:firstLineChars="0"/>
        <w:jc w:val="left"/>
        <w:rPr>
          <w:rFonts w:ascii="黑体" w:hAnsi="黑体" w:eastAsia="黑体"/>
          <w:sz w:val="32"/>
          <w:szCs w:val="32"/>
        </w:rPr>
      </w:pPr>
    </w:p>
    <w:p>
      <w:pPr>
        <w:pStyle w:val="14"/>
        <w:keepNext w:val="0"/>
        <w:keepLines w:val="0"/>
        <w:widowControl w:val="0"/>
        <w:numPr>
          <w:ilvl w:val="0"/>
          <w:numId w:val="1"/>
        </w:numPr>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lang w:val="en-US" w:eastAsia="zh-CN"/>
        </w:rPr>
      </w:pPr>
      <w:r>
        <w:rPr>
          <w:rFonts w:hint="default" w:ascii="Times New Roman" w:hAnsi="Times New Roman" w:eastAsia="方正小标宋简体" w:cs="Times New Roman"/>
          <w:kern w:val="0"/>
          <w:sz w:val="42"/>
          <w:szCs w:val="42"/>
          <w:shd w:val="clear" w:fill="FFFFFF"/>
          <w:lang w:val="en-US" w:eastAsia="zh-CN"/>
        </w:rPr>
        <w:t xml:space="preserve">   </w:t>
      </w:r>
      <w:r>
        <w:rPr>
          <w:rFonts w:hint="eastAsia" w:ascii="Times New Roman" w:hAnsi="Times New Roman" w:eastAsia="方正小标宋简体" w:cs="Times New Roman"/>
          <w:kern w:val="0"/>
          <w:sz w:val="42"/>
          <w:szCs w:val="42"/>
          <w:shd w:val="clear" w:fill="FFFFFF"/>
          <w:lang w:val="en-US" w:eastAsia="zh-CN"/>
        </w:rPr>
        <w:t>部门</w:t>
      </w:r>
      <w:r>
        <w:rPr>
          <w:rFonts w:hint="default" w:ascii="Times New Roman" w:hAnsi="Times New Roman" w:eastAsia="方正小标宋简体" w:cs="Times New Roman"/>
          <w:kern w:val="0"/>
          <w:sz w:val="42"/>
          <w:szCs w:val="42"/>
          <w:shd w:val="clear" w:fill="FFFFFF"/>
          <w:lang w:val="en-US" w:eastAsia="zh-CN"/>
        </w:rPr>
        <w:t>概况</w:t>
      </w:r>
    </w:p>
    <w:p>
      <w:pPr>
        <w:pStyle w:val="12"/>
        <w:ind w:left="0" w:leftChars="0" w:firstLine="0" w:firstLineChars="0"/>
        <w:jc w:val="left"/>
        <w:rPr>
          <w:rFonts w:ascii="黑体" w:hAnsi="黑体" w:eastAsia="黑体"/>
          <w:sz w:val="32"/>
          <w:szCs w:val="32"/>
        </w:rPr>
      </w:pP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default" w:ascii="Times New Roman" w:hAnsi="Times New Roman" w:eastAsia="黑体" w:cs="Times New Roman"/>
          <w:b w:val="0"/>
          <w:sz w:val="32"/>
          <w:szCs w:val="32"/>
          <w:shd w:val="clear" w:fill="FFFFFF"/>
        </w:rPr>
      </w:pPr>
      <w:r>
        <w:rPr>
          <w:rStyle w:val="15"/>
          <w:rFonts w:hint="default" w:ascii="Times New Roman" w:hAnsi="Times New Roman" w:eastAsia="黑体" w:cs="Times New Roman"/>
          <w:b w:val="0"/>
          <w:sz w:val="32"/>
          <w:szCs w:val="32"/>
          <w:shd w:val="clear" w:fill="FFFFFF"/>
          <w:lang w:eastAsia="zh-CN"/>
        </w:rPr>
        <w:t>一、</w:t>
      </w:r>
      <w:r>
        <w:rPr>
          <w:rStyle w:val="15"/>
          <w:rFonts w:hint="default" w:ascii="Times New Roman" w:hAnsi="Times New Roman" w:eastAsia="黑体" w:cs="Times New Roman"/>
          <w:b w:val="0"/>
          <w:sz w:val="32"/>
          <w:szCs w:val="32"/>
          <w:shd w:val="clear" w:fill="FFFFFF"/>
        </w:rPr>
        <w:t>部门职责</w:t>
      </w:r>
    </w:p>
    <w:p>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rPr>
        <w:t>（一）</w:t>
      </w:r>
      <w:r>
        <w:rPr>
          <w:rStyle w:val="15"/>
          <w:rFonts w:hint="default" w:ascii="Times New Roman" w:hAnsi="Times New Roman" w:eastAsia="楷体_GB2312" w:cs="Times New Roman"/>
          <w:b/>
          <w:sz w:val="32"/>
          <w:szCs w:val="32"/>
          <w:shd w:val="clear" w:fill="FFFFFF"/>
          <w:lang w:eastAsia="zh-CN"/>
        </w:rPr>
        <w:t>基本情况。</w:t>
      </w:r>
    </w:p>
    <w:p>
      <w:pPr>
        <w:ind w:firstLine="640" w:firstLineChars="200"/>
        <w:jc w:val="both"/>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湖南省长株潭一体化发展事务中心为省政府专门协调和服务于充分发挥长株潭在实施“三高四新”战略、建设现代化新湖南中的核心引擎和辐射带动作用工作的机构，作为湖南省发展和改革委员会管理的正厅级公益一类事业单位。</w:t>
      </w:r>
    </w:p>
    <w:p>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rPr>
        <w:t>（二）</w:t>
      </w:r>
      <w:r>
        <w:rPr>
          <w:rStyle w:val="15"/>
          <w:rFonts w:hint="default" w:ascii="Times New Roman" w:hAnsi="Times New Roman" w:eastAsia="楷体_GB2312" w:cs="Times New Roman"/>
          <w:b/>
          <w:sz w:val="32"/>
          <w:szCs w:val="32"/>
          <w:shd w:val="clear" w:fill="FFFFFF"/>
          <w:lang w:eastAsia="zh-CN"/>
        </w:rPr>
        <w:t>主要职能。</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承担省长株潭一体化发展领导小组办公室的日常事务性工作。</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lang w:eastAsia="zh-CN"/>
        </w:rPr>
        <w:t>承担长株潭城市群生态绿心地区保护相关事务性、服务性工作。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承担推进长株潭一体化发展、长株潭都市圈与城市群发展、协调联动省内外区域合作相关事务性、服务性工作。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承担长株潭一体化发展规划及相关重大专项规划编制、实施和监督管理相关事务性、服务性工作。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承担推进长株潭一体化发展重点任务、重大项目相关事务性、服务性工作。</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开展长株潭一体化发展重大改革、重大政策、重大问题的专题研究。</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承担长株潭一体化发展的宣传推介、对外合作交流和教育培训等工作。</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承担省长株潭一体化发展领导小组、省发展和改革委员会交办的其他工作。</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default" w:ascii="Times New Roman" w:hAnsi="Times New Roman" w:eastAsia="黑体" w:cs="Times New Roman"/>
          <w:b w:val="0"/>
          <w:sz w:val="32"/>
          <w:szCs w:val="32"/>
          <w:shd w:val="clear" w:fill="FFFFFF"/>
        </w:rPr>
      </w:pPr>
      <w:r>
        <w:rPr>
          <w:rStyle w:val="15"/>
          <w:rFonts w:hint="eastAsia" w:ascii="Times New Roman" w:hAnsi="Times New Roman" w:eastAsia="黑体" w:cs="Times New Roman"/>
          <w:b w:val="0"/>
          <w:sz w:val="32"/>
          <w:szCs w:val="32"/>
          <w:shd w:val="clear" w:fill="FFFFFF"/>
        </w:rPr>
        <w:t>二、机构设置及决算单位构成</w:t>
      </w:r>
    </w:p>
    <w:p>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lang w:eastAsia="zh-CN"/>
        </w:rPr>
        <w:t>（一）内设机构设置。</w:t>
      </w:r>
    </w:p>
    <w:p>
      <w:pPr>
        <w:adjustRightInd w:val="0"/>
        <w:snapToGrid w:val="0"/>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湖南省长株潭</w:t>
      </w:r>
      <w:r>
        <w:rPr>
          <w:rFonts w:hint="default" w:ascii="Times New Roman" w:hAnsi="Times New Roman" w:eastAsia="仿宋_GB2312" w:cs="Times New Roman"/>
          <w:sz w:val="32"/>
          <w:szCs w:val="32"/>
          <w:highlight w:val="none"/>
          <w:lang w:eastAsia="zh-CN"/>
        </w:rPr>
        <w:t>一体化发展事务</w:t>
      </w:r>
      <w:r>
        <w:rPr>
          <w:rFonts w:hint="default" w:ascii="Times New Roman" w:hAnsi="Times New Roman" w:eastAsia="仿宋_GB2312" w:cs="Times New Roman"/>
          <w:sz w:val="32"/>
          <w:szCs w:val="32"/>
          <w:highlight w:val="none"/>
        </w:rPr>
        <w:t>中心</w:t>
      </w:r>
      <w:r>
        <w:rPr>
          <w:rFonts w:hint="default" w:ascii="Times New Roman" w:hAnsi="Times New Roman" w:eastAsia="仿宋_GB2312" w:cs="Times New Roman"/>
          <w:sz w:val="32"/>
          <w:szCs w:val="32"/>
          <w:highlight w:val="none"/>
          <w:lang w:eastAsia="zh-CN"/>
        </w:rPr>
        <w:t>内设综合部、</w:t>
      </w:r>
      <w:r>
        <w:rPr>
          <w:rFonts w:hint="default" w:ascii="Times New Roman" w:hAnsi="Times New Roman" w:eastAsia="仿宋_GB2312" w:cs="Times New Roman"/>
          <w:sz w:val="32"/>
          <w:szCs w:val="32"/>
        </w:rPr>
        <w:t>协调服务部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发展事业部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创新研究部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生态绿心部</w:t>
      </w:r>
      <w:r>
        <w:rPr>
          <w:rFonts w:hint="default" w:ascii="Times New Roman" w:hAnsi="Times New Roman" w:eastAsia="仿宋_GB2312" w:cs="Times New Roman"/>
          <w:sz w:val="32"/>
          <w:szCs w:val="32"/>
          <w:lang w:eastAsia="zh-CN"/>
        </w:rPr>
        <w:t>、机关党委（机关纪委）</w:t>
      </w:r>
      <w:r>
        <w:rPr>
          <w:rFonts w:hint="default" w:ascii="Times New Roman" w:hAnsi="Times New Roman" w:eastAsia="仿宋_GB2312" w:cs="Times New Roman"/>
          <w:sz w:val="32"/>
          <w:szCs w:val="32"/>
          <w:lang w:val="en-US" w:eastAsia="zh-CN"/>
        </w:rPr>
        <w:t>6个职能部门和1个下属事业单位。</w:t>
      </w:r>
      <w:r>
        <w:rPr>
          <w:rFonts w:hint="default" w:ascii="Times New Roman" w:hAnsi="Times New Roman" w:eastAsia="仿宋_GB2312" w:cs="Times New Roman"/>
          <w:sz w:val="32"/>
          <w:szCs w:val="32"/>
          <w:highlight w:val="none"/>
          <w:lang w:eastAsia="zh-CN"/>
        </w:rPr>
        <w:t>下属全额拨款事业单位湖南省两型社会规划展示中心财务尚未独立核算。</w:t>
      </w:r>
    </w:p>
    <w:p>
      <w:pPr>
        <w:pStyle w:val="14"/>
        <w:keepNext w:val="0"/>
        <w:keepLines w:val="0"/>
        <w:widowControl w:val="0"/>
        <w:suppressLineNumbers w:val="0"/>
        <w:overflowPunct w:val="0"/>
        <w:spacing w:before="0" w:beforeAutospacing="0" w:after="0" w:afterAutospacing="0" w:line="596" w:lineRule="exact"/>
        <w:ind w:left="0" w:right="0" w:firstLine="643"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default" w:ascii="Times New Roman" w:hAnsi="Times New Roman" w:eastAsia="楷体_GB2312" w:cs="Times New Roman"/>
          <w:b/>
          <w:sz w:val="32"/>
          <w:szCs w:val="32"/>
          <w:shd w:val="clear" w:fill="FFFFFF"/>
          <w:lang w:eastAsia="zh-CN"/>
        </w:rPr>
        <w:t>（二）决算单位构成。</w:t>
      </w:r>
    </w:p>
    <w:p>
      <w:pPr>
        <w:adjustRightInd w:val="0"/>
        <w:snapToGrid w:val="0"/>
        <w:spacing w:line="596"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湖南省长株潭一体化发展事务中心20</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年部门决算汇总公开单位构成包括：湖南省长株潭一体化发展事务中心</w:t>
      </w:r>
      <w:r>
        <w:rPr>
          <w:rFonts w:hint="eastAsia" w:ascii="Times New Roman" w:hAnsi="Times New Roman" w:eastAsia="仿宋_GB2312" w:cs="Times New Roman"/>
          <w:sz w:val="32"/>
          <w:szCs w:val="32"/>
          <w:highlight w:val="none"/>
          <w:lang w:eastAsia="zh-CN"/>
        </w:rPr>
        <w:t>本级</w:t>
      </w:r>
      <w:r>
        <w:rPr>
          <w:rFonts w:hint="default" w:ascii="Times New Roman" w:hAnsi="Times New Roman" w:eastAsia="仿宋_GB2312" w:cs="Times New Roman"/>
          <w:sz w:val="32"/>
          <w:szCs w:val="32"/>
          <w:highlight w:val="none"/>
          <w:lang w:eastAsia="zh-CN"/>
        </w:rPr>
        <w:t>和湖南省长株潭两型</w:t>
      </w:r>
      <w:r>
        <w:rPr>
          <w:rFonts w:hint="eastAsia" w:ascii="Times New Roman" w:hAnsi="Times New Roman" w:eastAsia="仿宋_GB2312" w:cs="Times New Roman"/>
          <w:sz w:val="32"/>
          <w:szCs w:val="32"/>
          <w:highlight w:val="none"/>
          <w:lang w:eastAsia="zh-CN"/>
        </w:rPr>
        <w:t>社会</w:t>
      </w:r>
      <w:r>
        <w:rPr>
          <w:rFonts w:hint="default" w:ascii="Times New Roman" w:hAnsi="Times New Roman" w:eastAsia="仿宋_GB2312" w:cs="Times New Roman"/>
          <w:sz w:val="32"/>
          <w:szCs w:val="32"/>
          <w:highlight w:val="none"/>
          <w:lang w:eastAsia="zh-CN"/>
        </w:rPr>
        <w:t>规划展示中心</w:t>
      </w:r>
      <w:r>
        <w:rPr>
          <w:rFonts w:hint="eastAsia" w:ascii="Times New Roman" w:hAnsi="Times New Roman" w:eastAsia="仿宋_GB2312" w:cs="Times New Roman"/>
          <w:sz w:val="32"/>
          <w:szCs w:val="32"/>
          <w:highlight w:val="none"/>
          <w:lang w:eastAsia="zh-CN"/>
        </w:rPr>
        <w:t>。</w:t>
      </w:r>
    </w:p>
    <w:p>
      <w:pPr>
        <w:jc w:val="left"/>
        <w:rPr>
          <w:sz w:val="32"/>
          <w:szCs w:val="32"/>
        </w:rPr>
      </w:pPr>
    </w:p>
    <w:p>
      <w:pPr>
        <w:jc w:val="left"/>
        <w:rPr>
          <w:rFonts w:asciiTheme="minorEastAsia" w:hAnsiTheme="minorEastAsia"/>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8"/>
        <w:tblW w:w="14081" w:type="dxa"/>
        <w:tblInd w:w="93" w:type="dxa"/>
        <w:tblLayout w:type="fixed"/>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Layout w:type="fixed"/>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vAlign w:val="center"/>
          </w:tcPr>
          <w:p>
            <w:pPr>
              <w:pStyle w:val="14"/>
              <w:keepNext w:val="0"/>
              <w:keepLines w:val="0"/>
              <w:widowControl w:val="0"/>
              <w:suppressLineNumbers w:val="0"/>
              <w:overflowPunct w:val="0"/>
              <w:spacing w:before="0" w:beforeAutospacing="0" w:after="0" w:afterAutospacing="0" w:line="596" w:lineRule="exact"/>
              <w:ind w:left="0" w:right="0"/>
              <w:jc w:val="center"/>
              <w:rPr>
                <w:rFonts w:hint="default" w:ascii="Times New Roman" w:hAnsi="Times New Roman" w:eastAsia="黑体" w:cs="Times New Roman"/>
                <w:sz w:val="36"/>
                <w:szCs w:val="32"/>
              </w:rPr>
            </w:pPr>
            <w:r>
              <w:rPr>
                <w:rFonts w:hint="default" w:ascii="Times New Roman" w:hAnsi="Times New Roman" w:eastAsia="方正小标宋简体" w:cs="Times New Roman"/>
                <w:kern w:val="0"/>
                <w:sz w:val="42"/>
                <w:szCs w:val="42"/>
                <w:shd w:val="clear" w:fill="FFFFFF"/>
              </w:rPr>
              <w:t>第</w:t>
            </w:r>
            <w:r>
              <w:rPr>
                <w:rFonts w:hint="default" w:ascii="Times New Roman" w:hAnsi="Times New Roman" w:eastAsia="方正小标宋简体" w:cs="Times New Roman"/>
                <w:kern w:val="0"/>
                <w:sz w:val="42"/>
                <w:szCs w:val="42"/>
                <w:shd w:val="clear" w:fill="FFFFFF"/>
                <w:lang w:eastAsia="zh-CN"/>
              </w:rPr>
              <w:t>二</w:t>
            </w:r>
            <w:r>
              <w:rPr>
                <w:rFonts w:hint="default" w:ascii="Times New Roman" w:hAnsi="Times New Roman" w:eastAsia="方正小标宋简体" w:cs="Times New Roman"/>
                <w:kern w:val="0"/>
                <w:sz w:val="42"/>
                <w:szCs w:val="42"/>
                <w:shd w:val="clear" w:fill="FFFFFF"/>
              </w:rPr>
              <w:t>部分    部门决算表</w:t>
            </w:r>
          </w:p>
          <w:p>
            <w:pPr>
              <w:widowControl/>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黑体" w:cs="Times New Roman"/>
                <w:sz w:val="36"/>
                <w:szCs w:val="32"/>
              </w:rPr>
              <w:t>收入支出决算总表</w:t>
            </w:r>
          </w:p>
        </w:tc>
      </w:tr>
      <w:tr>
        <w:tblPrEx>
          <w:tblLayout w:type="fixed"/>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697" w:type="dxa"/>
            <w:gridSpan w:val="2"/>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232"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5773" w:type="dxa"/>
            <w:gridSpan w:val="3"/>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657"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16"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公开01表</w:t>
            </w:r>
          </w:p>
        </w:tc>
      </w:tr>
      <w:tr>
        <w:tblPrEx>
          <w:tblLayout w:type="fixed"/>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vAlign w:val="center"/>
          </w:tcPr>
          <w:p>
            <w:pPr>
              <w:widowControl/>
              <w:jc w:val="left"/>
              <w:rPr>
                <w:rFonts w:hint="default" w:ascii="Times New Roman" w:hAnsi="Times New Roman" w:eastAsia="仿宋_GB2312" w:cs="Times New Roman"/>
                <w:i w:val="0"/>
                <w:iCs w:val="0"/>
                <w:color w:val="000000"/>
                <w:kern w:val="0"/>
                <w:sz w:val="21"/>
                <w:szCs w:val="21"/>
                <w:lang w:eastAsia="zh-CN"/>
              </w:rPr>
            </w:pPr>
            <w:r>
              <w:rPr>
                <w:rFonts w:hint="default" w:ascii="Times New Roman" w:hAnsi="Times New Roman" w:eastAsia="仿宋_GB2312" w:cs="Times New Roman"/>
                <w:i w:val="0"/>
                <w:iCs w:val="0"/>
                <w:color w:val="000000"/>
                <w:kern w:val="0"/>
                <w:sz w:val="21"/>
                <w:szCs w:val="21"/>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p>
        </w:tc>
        <w:tc>
          <w:tcPr>
            <w:tcW w:w="697" w:type="dxa"/>
            <w:gridSpan w:val="2"/>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232"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5773" w:type="dxa"/>
            <w:gridSpan w:val="3"/>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657"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16"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单位：万元</w:t>
            </w:r>
          </w:p>
        </w:tc>
      </w:tr>
      <w:tr>
        <w:tblPrEx>
          <w:tblLayout w:type="fixed"/>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收入</w:t>
            </w:r>
          </w:p>
        </w:tc>
        <w:tc>
          <w:tcPr>
            <w:tcW w:w="8276"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支出</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决算数</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决算数</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633"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一、一般公共预算财政拨款收入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4575.54</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一、一般公共服务支出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31</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4010.96</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二、政府性基金预算财政拨款收入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二、外交支出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32</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三、国有资本经营预算财政拨款收入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三、国防支出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33</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四、上级补助收入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四、公共安全支出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34</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五、事业收入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五、教育支出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35</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六、经营收入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六、科学技术支出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36</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七、附属单位上缴收入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七、文化旅游体育与传媒支出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37</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八、其他收入</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8</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八、社会保障和就业支出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38</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55.33</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9</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九、卫生健康支出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39</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10</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十、节能环保支出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40</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十一、城乡社区支出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41</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12</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十二、农林水支出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42</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十三、交通运输支出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43</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14</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十四、资源勘探</w:t>
            </w:r>
            <w:r>
              <w:rPr>
                <w:rFonts w:hint="default" w:ascii="Times New Roman" w:hAnsi="Times New Roman" w:eastAsia="仿宋_GB2312" w:cs="Times New Roman"/>
                <w:i w:val="0"/>
                <w:iCs w:val="0"/>
                <w:kern w:val="0"/>
                <w:sz w:val="21"/>
                <w:szCs w:val="21"/>
                <w:lang w:eastAsia="zh-CN"/>
              </w:rPr>
              <w:t>工业</w:t>
            </w:r>
            <w:r>
              <w:rPr>
                <w:rFonts w:hint="default" w:ascii="Times New Roman" w:hAnsi="Times New Roman" w:eastAsia="仿宋_GB2312" w:cs="Times New Roman"/>
                <w:i w:val="0"/>
                <w:iCs w:val="0"/>
                <w:kern w:val="0"/>
                <w:sz w:val="21"/>
                <w:szCs w:val="21"/>
              </w:rPr>
              <w:t>信息等支出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44</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15</w:t>
            </w:r>
          </w:p>
        </w:tc>
        <w:tc>
          <w:tcPr>
            <w:tcW w:w="12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十五、商业服务业等支出</w:t>
            </w:r>
          </w:p>
        </w:tc>
        <w:tc>
          <w:tcPr>
            <w:tcW w:w="8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45</w:t>
            </w:r>
          </w:p>
        </w:tc>
        <w:tc>
          <w:tcPr>
            <w:tcW w:w="363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16</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十六、金融支出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46</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十七、援助其他地区支出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47</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18</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十八、自然资源海洋气象等支出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48</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19</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十九、住房保障支出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49</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eastAsia" w:ascii="Times New Roman" w:hAnsi="Times New Roman" w:eastAsia="仿宋_GB2312" w:cs="Times New Roman"/>
                <w:i w:val="0"/>
                <w:iCs w:val="0"/>
                <w:kern w:val="0"/>
                <w:sz w:val="21"/>
                <w:szCs w:val="21"/>
                <w:lang w:val="en-US" w:eastAsia="zh-CN"/>
              </w:rPr>
              <w:t>70.78</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20</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二十、粮油物资储备支出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50</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21</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二十一、</w:t>
            </w:r>
            <w:r>
              <w:rPr>
                <w:rFonts w:hint="default" w:ascii="Times New Roman" w:hAnsi="Times New Roman" w:eastAsia="仿宋_GB2312" w:cs="Times New Roman"/>
                <w:i w:val="0"/>
                <w:iCs w:val="0"/>
                <w:kern w:val="0"/>
                <w:sz w:val="21"/>
                <w:szCs w:val="21"/>
                <w:lang w:eastAsia="zh-CN"/>
              </w:rPr>
              <w:t>国有资本经营预算支出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51</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22</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rPr>
              <w:t>二十二、灾害防治及应急管理支出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52</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23</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三、</w:t>
            </w:r>
            <w:r>
              <w:rPr>
                <w:rFonts w:hint="default" w:ascii="Times New Roman" w:hAnsi="Times New Roman" w:eastAsia="仿宋_GB2312" w:cs="Times New Roman"/>
                <w:i w:val="0"/>
                <w:iCs w:val="0"/>
                <w:kern w:val="0"/>
                <w:sz w:val="21"/>
                <w:szCs w:val="21"/>
              </w:rPr>
              <w:t>其他支出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53</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24</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四、债务还本支出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54</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25</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五、债务付息支出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55</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26</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eastAsia="zh-CN"/>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六、抗疫特别国债安排的支出</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56</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本年收入合计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27</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4575.54</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本年支出合计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57</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4137.07</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使用非财政拨款结余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28</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　</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结余分配</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58</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　</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年初结转和结余</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29</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136.57</w:t>
            </w:r>
          </w:p>
        </w:tc>
        <w:tc>
          <w:tcPr>
            <w:tcW w:w="3798" w:type="dxa"/>
            <w:gridSpan w:val="3"/>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年末结转和结余</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59</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575.04</w:t>
            </w:r>
          </w:p>
        </w:tc>
      </w:tr>
      <w:tr>
        <w:tblPrEx>
          <w:tblLayout w:type="fixed"/>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449"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30</w:t>
            </w:r>
          </w:p>
        </w:tc>
        <w:tc>
          <w:tcPr>
            <w:tcW w:w="1230"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4712.11</w:t>
            </w:r>
          </w:p>
        </w:tc>
        <w:tc>
          <w:tcPr>
            <w:tcW w:w="3798" w:type="dxa"/>
            <w:gridSpan w:val="3"/>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84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60</w:t>
            </w:r>
          </w:p>
        </w:tc>
        <w:tc>
          <w:tcPr>
            <w:tcW w:w="3633" w:type="dxa"/>
            <w:gridSpan w:val="3"/>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4712.11</w:t>
            </w:r>
          </w:p>
        </w:tc>
      </w:tr>
      <w:tr>
        <w:tblPrEx>
          <w:tblLayout w:type="fixed"/>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注：1.本表反映部门本年度的总收支和年末结转结余情况。</w:t>
            </w:r>
            <w:r>
              <w:rPr>
                <w:rFonts w:hint="default" w:ascii="Times New Roman" w:hAnsi="Times New Roman" w:eastAsia="仿宋_GB2312" w:cs="Times New Roman"/>
                <w:i w:val="0"/>
                <w:iCs w:val="0"/>
                <w:kern w:val="0"/>
                <w:sz w:val="21"/>
                <w:szCs w:val="21"/>
              </w:rPr>
              <w:br w:type="textWrapping"/>
            </w:r>
            <w:r>
              <w:rPr>
                <w:rFonts w:hint="default" w:ascii="Times New Roman" w:hAnsi="Times New Roman" w:eastAsia="仿宋_GB2312" w:cs="Times New Roman"/>
                <w:i w:val="0"/>
                <w:iCs w:val="0"/>
                <w:kern w:val="0"/>
                <w:sz w:val="21"/>
                <w:szCs w:val="21"/>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pgNumType w:fmt="decimal"/>
          <w:cols w:space="425" w:num="1"/>
          <w:docGrid w:type="linesAndChars" w:linePitch="312" w:charSpace="0"/>
        </w:sectPr>
      </w:pPr>
    </w:p>
    <w:tbl>
      <w:tblPr>
        <w:tblStyle w:val="8"/>
        <w:tblW w:w="15428" w:type="dxa"/>
        <w:tblInd w:w="0" w:type="dxa"/>
        <w:tblLayout w:type="fixed"/>
        <w:tblCellMar>
          <w:top w:w="0" w:type="dxa"/>
          <w:left w:w="0" w:type="dxa"/>
          <w:bottom w:w="0" w:type="dxa"/>
          <w:right w:w="0" w:type="dxa"/>
        </w:tblCellMar>
      </w:tblPr>
      <w:tblGrid>
        <w:gridCol w:w="42"/>
        <w:gridCol w:w="761"/>
        <w:gridCol w:w="3766"/>
        <w:gridCol w:w="1704"/>
        <w:gridCol w:w="1748"/>
        <w:gridCol w:w="1485"/>
        <w:gridCol w:w="1151"/>
        <w:gridCol w:w="1034"/>
        <w:gridCol w:w="1937"/>
        <w:gridCol w:w="1800"/>
      </w:tblGrid>
      <w:tr>
        <w:tblPrEx>
          <w:tblLayout w:type="fixed"/>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i w:val="0"/>
                <w:iCs w:val="0"/>
                <w:color w:val="000000"/>
                <w:sz w:val="21"/>
                <w:szCs w:val="21"/>
              </w:rPr>
            </w:pPr>
            <w:r>
              <w:rPr>
                <w:rFonts w:hint="default" w:ascii="Times New Roman" w:hAnsi="Times New Roman" w:eastAsia="方正小标宋_GBK" w:cs="Times New Roman"/>
                <w:color w:val="000000"/>
                <w:kern w:val="0"/>
                <w:sz w:val="36"/>
                <w:szCs w:val="36"/>
              </w:rPr>
              <w:t>收入决算表</w:t>
            </w:r>
          </w:p>
        </w:tc>
      </w:tr>
      <w:tr>
        <w:tblPrEx>
          <w:tblLayout w:type="fixed"/>
          <w:tblCellMar>
            <w:top w:w="0" w:type="dxa"/>
            <w:left w:w="0" w:type="dxa"/>
            <w:bottom w:w="0" w:type="dxa"/>
            <w:right w:w="0" w:type="dxa"/>
          </w:tblCellMar>
        </w:tblPrEx>
        <w:trPr>
          <w:trHeight w:val="285" w:hRule="atLeast"/>
        </w:trPr>
        <w:tc>
          <w:tcPr>
            <w:tcW w:w="42"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76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3766"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70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748"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485"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color w:val="000000"/>
                <w:sz w:val="21"/>
                <w:szCs w:val="21"/>
              </w:rPr>
            </w:pPr>
            <w:r>
              <w:rPr>
                <w:rFonts w:hint="default" w:ascii="Times New Roman" w:hAnsi="Times New Roman" w:eastAsia="仿宋_GB2312" w:cs="Times New Roman"/>
                <w:i w:val="0"/>
                <w:iCs w:val="0"/>
                <w:color w:val="000000"/>
                <w:sz w:val="21"/>
                <w:szCs w:val="21"/>
              </w:rPr>
              <w:t>公开02表</w:t>
            </w:r>
          </w:p>
        </w:tc>
      </w:tr>
      <w:tr>
        <w:tblPrEx>
          <w:tblLayout w:type="fixed"/>
          <w:tblCellMar>
            <w:top w:w="0" w:type="dxa"/>
            <w:left w:w="0" w:type="dxa"/>
            <w:bottom w:w="0" w:type="dxa"/>
            <w:right w:w="0" w:type="dxa"/>
          </w:tblCellMar>
        </w:tblPrEx>
        <w:trPr>
          <w:trHeight w:val="285" w:hRule="atLeast"/>
        </w:trPr>
        <w:tc>
          <w:tcPr>
            <w:tcW w:w="803" w:type="dxa"/>
            <w:gridSpan w:val="2"/>
            <w:tcBorders>
              <w:top w:val="nil"/>
              <w:left w:val="nil"/>
              <w:bottom w:val="nil"/>
              <w:right w:val="nil"/>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i w:val="0"/>
                <w:iCs w:val="0"/>
                <w:color w:val="000000"/>
                <w:sz w:val="21"/>
                <w:szCs w:val="21"/>
                <w:lang w:eastAsia="zh-CN"/>
              </w:rPr>
            </w:pPr>
            <w:r>
              <w:rPr>
                <w:rFonts w:hint="default" w:ascii="Times New Roman" w:hAnsi="Times New Roman" w:eastAsia="仿宋_GB2312" w:cs="Times New Roman"/>
                <w:i w:val="0"/>
                <w:iCs w:val="0"/>
                <w:color w:val="000000"/>
                <w:sz w:val="21"/>
                <w:szCs w:val="21"/>
              </w:rPr>
              <w:t>部门：</w:t>
            </w:r>
          </w:p>
        </w:tc>
        <w:tc>
          <w:tcPr>
            <w:tcW w:w="3766" w:type="dxa"/>
            <w:tcBorders>
              <w:top w:val="nil"/>
              <w:left w:val="nil"/>
              <w:bottom w:val="nil"/>
              <w:right w:val="nil"/>
            </w:tcBorders>
            <w:shd w:val="clear" w:color="000000" w:fill="FFFFFF"/>
            <w:tcMar>
              <w:top w:w="15" w:type="dxa"/>
              <w:left w:w="15" w:type="dxa"/>
              <w:bottom w:w="0" w:type="dxa"/>
              <w:right w:w="15" w:type="dxa"/>
            </w:tcMar>
            <w:vAlign w:val="center"/>
          </w:tcPr>
          <w:p>
            <w:pPr>
              <w:jc w:val="left"/>
              <w:rPr>
                <w:rFonts w:hint="default" w:ascii="Times New Roman" w:hAnsi="Times New Roman" w:eastAsia="仿宋_GB2312" w:cs="Times New Roman"/>
                <w:i w:val="0"/>
                <w:iCs w:val="0"/>
                <w:sz w:val="21"/>
                <w:szCs w:val="21"/>
                <w:lang w:eastAsia="zh-CN"/>
              </w:rPr>
            </w:pPr>
            <w:r>
              <w:rPr>
                <w:rFonts w:hint="eastAsia" w:ascii="Times New Roman" w:hAnsi="Times New Roman" w:eastAsia="仿宋_GB2312" w:cs="Times New Roman"/>
                <w:i w:val="0"/>
                <w:iCs w:val="0"/>
                <w:color w:val="000000"/>
                <w:kern w:val="0"/>
                <w:sz w:val="21"/>
                <w:szCs w:val="21"/>
                <w:lang w:eastAsia="zh-CN"/>
              </w:rPr>
              <w:t>湖南省长株潭一体化发展事务中心</w:t>
            </w:r>
          </w:p>
        </w:tc>
        <w:tc>
          <w:tcPr>
            <w:tcW w:w="170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748"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485" w:type="dxa"/>
            <w:tcBorders>
              <w:top w:val="nil"/>
              <w:left w:val="nil"/>
              <w:bottom w:val="nil"/>
              <w:right w:val="nil"/>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color w:val="000000"/>
                <w:sz w:val="21"/>
                <w:szCs w:val="21"/>
              </w:rPr>
            </w:pPr>
            <w:r>
              <w:rPr>
                <w:rFonts w:hint="default" w:ascii="Times New Roman" w:hAnsi="Times New Roman" w:eastAsia="仿宋_GB2312" w:cs="Times New Roman"/>
                <w:i w:val="0"/>
                <w:iCs w:val="0"/>
                <w:color w:val="000000"/>
                <w:sz w:val="21"/>
                <w:szCs w:val="21"/>
              </w:rPr>
              <w:t>　</w:t>
            </w:r>
          </w:p>
        </w:tc>
        <w:tc>
          <w:tcPr>
            <w:tcW w:w="1151"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nil"/>
              <w:right w:val="nil"/>
            </w:tcBorders>
            <w:shd w:val="clear" w:color="000000" w:fill="FFFFFF"/>
            <w:tcMar>
              <w:top w:w="15" w:type="dxa"/>
              <w:left w:w="15" w:type="dxa"/>
              <w:bottom w:w="0" w:type="dxa"/>
              <w:right w:w="15" w:type="dxa"/>
            </w:tcMar>
            <w:vAlign w:val="center"/>
          </w:tcPr>
          <w:p>
            <w:pPr>
              <w:jc w:val="right"/>
              <w:rPr>
                <w:rFonts w:hint="default" w:ascii="Times New Roman" w:hAnsi="Times New Roman" w:eastAsia="仿宋_GB2312" w:cs="Times New Roman"/>
                <w:i w:val="0"/>
                <w:iCs w:val="0"/>
                <w:color w:val="000000"/>
                <w:sz w:val="21"/>
                <w:szCs w:val="21"/>
              </w:rPr>
            </w:pPr>
            <w:r>
              <w:rPr>
                <w:rFonts w:hint="default" w:ascii="Times New Roman" w:hAnsi="Times New Roman" w:eastAsia="仿宋_GB2312" w:cs="Times New Roman"/>
                <w:i w:val="0"/>
                <w:iCs w:val="0"/>
                <w:color w:val="000000"/>
                <w:sz w:val="21"/>
                <w:szCs w:val="21"/>
              </w:rPr>
              <w:t>单位：万元</w:t>
            </w:r>
          </w:p>
        </w:tc>
      </w:tr>
      <w:tr>
        <w:tblPrEx>
          <w:tblLayout w:type="fixed"/>
          <w:tblCellMar>
            <w:top w:w="0" w:type="dxa"/>
            <w:left w:w="0" w:type="dxa"/>
            <w:bottom w:w="0" w:type="dxa"/>
            <w:right w:w="0" w:type="dxa"/>
          </w:tblCellMar>
        </w:tblPrEx>
        <w:trPr>
          <w:trHeight w:val="450" w:hRule="atLeast"/>
        </w:trPr>
        <w:tc>
          <w:tcPr>
            <w:tcW w:w="45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项    目</w:t>
            </w:r>
          </w:p>
        </w:tc>
        <w:tc>
          <w:tcPr>
            <w:tcW w:w="170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本年收入合计</w:t>
            </w:r>
          </w:p>
        </w:tc>
        <w:tc>
          <w:tcPr>
            <w:tcW w:w="174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财政拨款收入</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上级补助收入</w:t>
            </w:r>
          </w:p>
        </w:tc>
        <w:tc>
          <w:tcPr>
            <w:tcW w:w="115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事业收入</w:t>
            </w:r>
          </w:p>
        </w:tc>
        <w:tc>
          <w:tcPr>
            <w:tcW w:w="10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经营收入</w:t>
            </w:r>
          </w:p>
        </w:tc>
        <w:tc>
          <w:tcPr>
            <w:tcW w:w="19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附属单位上缴收入</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其他收入</w:t>
            </w:r>
          </w:p>
        </w:tc>
      </w:tr>
      <w:tr>
        <w:tblPrEx>
          <w:tblLayout w:type="fixed"/>
          <w:tblCellMar>
            <w:top w:w="0" w:type="dxa"/>
            <w:left w:w="0" w:type="dxa"/>
            <w:bottom w:w="0" w:type="dxa"/>
            <w:right w:w="0" w:type="dxa"/>
          </w:tblCellMar>
        </w:tblPrEx>
        <w:trPr>
          <w:trHeight w:val="450" w:hRule="atLeast"/>
        </w:trPr>
        <w:tc>
          <w:tcPr>
            <w:tcW w:w="80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功能分类科目编码</w:t>
            </w:r>
          </w:p>
        </w:tc>
        <w:tc>
          <w:tcPr>
            <w:tcW w:w="376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科目名称</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93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803"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3766" w:type="dxa"/>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748"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151"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034"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937"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45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栏次</w:t>
            </w:r>
          </w:p>
        </w:tc>
        <w:tc>
          <w:tcPr>
            <w:tcW w:w="170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1</w:t>
            </w:r>
          </w:p>
        </w:tc>
        <w:tc>
          <w:tcPr>
            <w:tcW w:w="174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2</w:t>
            </w:r>
          </w:p>
        </w:tc>
        <w:tc>
          <w:tcPr>
            <w:tcW w:w="148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3</w:t>
            </w:r>
          </w:p>
        </w:tc>
        <w:tc>
          <w:tcPr>
            <w:tcW w:w="1151"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4</w:t>
            </w:r>
          </w:p>
        </w:tc>
        <w:tc>
          <w:tcPr>
            <w:tcW w:w="1034"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5</w:t>
            </w:r>
          </w:p>
        </w:tc>
        <w:tc>
          <w:tcPr>
            <w:tcW w:w="193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6</w:t>
            </w:r>
          </w:p>
        </w:tc>
        <w:tc>
          <w:tcPr>
            <w:tcW w:w="18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7</w:t>
            </w:r>
          </w:p>
        </w:tc>
      </w:tr>
      <w:tr>
        <w:tblPrEx>
          <w:tblLayout w:type="fixed"/>
          <w:tblCellMar>
            <w:top w:w="0" w:type="dxa"/>
            <w:left w:w="0" w:type="dxa"/>
            <w:bottom w:w="0" w:type="dxa"/>
            <w:right w:w="0" w:type="dxa"/>
          </w:tblCellMar>
        </w:tblPrEx>
        <w:trPr>
          <w:trHeight w:val="450" w:hRule="atLeast"/>
        </w:trPr>
        <w:tc>
          <w:tcPr>
            <w:tcW w:w="456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合计</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lang w:val="en-US"/>
              </w:rPr>
            </w:pPr>
            <w:r>
              <w:rPr>
                <w:rFonts w:hint="eastAsia" w:ascii="Times New Roman" w:hAnsi="Times New Roman" w:eastAsia="仿宋_GB2312" w:cs="Times New Roman"/>
                <w:i w:val="0"/>
                <w:iCs w:val="0"/>
                <w:sz w:val="21"/>
                <w:szCs w:val="21"/>
                <w:lang w:val="en-US" w:eastAsia="zh-CN"/>
              </w:rPr>
              <w:t>4575.54</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sz w:val="21"/>
                <w:szCs w:val="21"/>
                <w:lang w:val="en-US" w:eastAsia="zh-CN"/>
              </w:rPr>
              <w:t>4575.54</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一般公共服务支出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4439.54</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4439.54</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发展与改革事务</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4439.54</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4439.54</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2010401</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行政运行</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1282.03</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1282.03</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2010499</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其他发展与改革事务支出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3157.51</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3157.51</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　</w:t>
            </w: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社会保障和就业支出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56.00</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56.00</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20805</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行政事业单位</w:t>
            </w:r>
            <w:r>
              <w:rPr>
                <w:rFonts w:hint="default" w:ascii="Times New Roman" w:hAnsi="Times New Roman" w:eastAsia="仿宋_GB2312" w:cs="Times New Roman"/>
                <w:kern w:val="0"/>
                <w:szCs w:val="21"/>
                <w:lang w:eastAsia="zh-CN"/>
              </w:rPr>
              <w:t>养老支出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56.00</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56.00</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2080505</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机关事业单位基本养老保险缴费支出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56.00</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wordWrap w:val="0"/>
              <w:jc w:val="right"/>
              <w:rPr>
                <w:rFonts w:hint="default" w:ascii="Times New Roman" w:hAnsi="Times New Roman" w:eastAsia="仿宋_GB2312" w:cs="Times New Roman"/>
                <w:i w:val="0"/>
                <w:iCs w:val="0"/>
                <w:kern w:val="2"/>
                <w:sz w:val="21"/>
                <w:szCs w:val="21"/>
                <w:lang w:val="en-US" w:eastAsia="zh-CN" w:bidi="ar-SA"/>
              </w:rPr>
            </w:pPr>
            <w:r>
              <w:rPr>
                <w:rFonts w:hint="eastAsia" w:ascii="Times New Roman" w:hAnsi="Times New Roman" w:eastAsia="仿宋_GB2312" w:cs="Times New Roman"/>
                <w:i w:val="0"/>
                <w:iCs w:val="0"/>
                <w:kern w:val="2"/>
                <w:sz w:val="21"/>
                <w:szCs w:val="21"/>
                <w:lang w:val="en-US" w:eastAsia="zh-CN" w:bidi="ar-SA"/>
              </w:rPr>
              <w:t>56.00</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住房保障支出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22102</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住房改革支出</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450" w:hRule="atLeast"/>
        </w:trPr>
        <w:tc>
          <w:tcPr>
            <w:tcW w:w="803"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2210201</w:t>
            </w:r>
          </w:p>
        </w:tc>
        <w:tc>
          <w:tcPr>
            <w:tcW w:w="376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widowControl/>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rPr>
              <w:t xml:space="preserve">  住房公积金</w:t>
            </w:r>
          </w:p>
        </w:tc>
        <w:tc>
          <w:tcPr>
            <w:tcW w:w="170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74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kern w:val="2"/>
                <w:sz w:val="21"/>
                <w:szCs w:val="21"/>
                <w:lang w:val="en-US" w:eastAsia="zh-CN" w:bidi="ar-SA"/>
              </w:rPr>
            </w:pPr>
            <w:r>
              <w:rPr>
                <w:rFonts w:hint="default" w:ascii="Times New Roman" w:hAnsi="Times New Roman" w:eastAsia="仿宋_GB2312" w:cs="Times New Roman"/>
                <w:i w:val="0"/>
                <w:iCs w:val="0"/>
                <w:kern w:val="2"/>
                <w:sz w:val="21"/>
                <w:szCs w:val="21"/>
                <w:lang w:val="en-US" w:eastAsia="zh-CN" w:bidi="ar-SA"/>
              </w:rPr>
              <w:t>80</w:t>
            </w:r>
            <w:r>
              <w:rPr>
                <w:rFonts w:hint="eastAsia" w:ascii="Times New Roman" w:hAnsi="Times New Roman" w:eastAsia="仿宋_GB2312" w:cs="Times New Roman"/>
                <w:i w:val="0"/>
                <w:iCs w:val="0"/>
                <w:kern w:val="2"/>
                <w:sz w:val="21"/>
                <w:szCs w:val="21"/>
                <w:lang w:val="en-US" w:eastAsia="zh-CN" w:bidi="ar-SA"/>
              </w:rPr>
              <w:t>.00</w:t>
            </w:r>
          </w:p>
        </w:tc>
        <w:tc>
          <w:tcPr>
            <w:tcW w:w="148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1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0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9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c>
          <w:tcPr>
            <w:tcW w:w="1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i w:val="0"/>
                <w:iCs w:val="0"/>
                <w:sz w:val="21"/>
                <w:szCs w:val="21"/>
              </w:rPr>
            </w:pPr>
          </w:p>
        </w:tc>
      </w:tr>
      <w:tr>
        <w:tblPrEx>
          <w:tblLayout w:type="fixed"/>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eastAsia="仿宋_GB2312" w:cs="Times New Roman"/>
                <w:i w:val="0"/>
                <w:iCs w:val="0"/>
                <w:sz w:val="21"/>
                <w:szCs w:val="21"/>
              </w:rPr>
            </w:pPr>
            <w:r>
              <w:rPr>
                <w:rFonts w:hint="default" w:ascii="Times New Roman" w:hAnsi="Times New Roman" w:eastAsia="仿宋_GB2312" w:cs="Times New Roman"/>
                <w:i w:val="0"/>
                <w:iCs w:val="0"/>
                <w:sz w:val="21"/>
                <w:szCs w:val="21"/>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8"/>
        <w:tblW w:w="15273" w:type="dxa"/>
        <w:tblInd w:w="93" w:type="dxa"/>
        <w:tblLayout w:type="fixed"/>
        <w:tblCellMar>
          <w:top w:w="0" w:type="dxa"/>
          <w:left w:w="108" w:type="dxa"/>
          <w:bottom w:w="0" w:type="dxa"/>
          <w:right w:w="108" w:type="dxa"/>
        </w:tblCellMar>
      </w:tblPr>
      <w:tblGrid>
        <w:gridCol w:w="1042"/>
        <w:gridCol w:w="240"/>
        <w:gridCol w:w="2516"/>
        <w:gridCol w:w="1631"/>
        <w:gridCol w:w="1441"/>
        <w:gridCol w:w="1457"/>
        <w:gridCol w:w="1485"/>
        <w:gridCol w:w="1238"/>
        <w:gridCol w:w="4223"/>
      </w:tblGrid>
      <w:tr>
        <w:tblPrEx>
          <w:tblLayout w:type="fixed"/>
          <w:tblCellMar>
            <w:top w:w="0" w:type="dxa"/>
            <w:left w:w="108" w:type="dxa"/>
            <w:bottom w:w="0" w:type="dxa"/>
            <w:right w:w="108" w:type="dxa"/>
          </w:tblCellMar>
        </w:tblPrEx>
        <w:trPr>
          <w:trHeight w:val="435" w:hRule="atLeast"/>
        </w:trPr>
        <w:tc>
          <w:tcPr>
            <w:tcW w:w="15273" w:type="dxa"/>
            <w:gridSpan w:val="9"/>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方正小标宋_GBK" w:cs="Times New Roman"/>
                <w:color w:val="000000"/>
                <w:kern w:val="0"/>
                <w:sz w:val="36"/>
                <w:szCs w:val="36"/>
              </w:rPr>
              <w:t>支出决算表</w:t>
            </w:r>
          </w:p>
        </w:tc>
      </w:tr>
      <w:tr>
        <w:tblPrEx>
          <w:tblLayout w:type="fixed"/>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240"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2516"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631"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41"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57"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85"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公开03表</w:t>
            </w:r>
          </w:p>
        </w:tc>
      </w:tr>
      <w:tr>
        <w:tblPrEx>
          <w:tblLayout w:type="fixed"/>
          <w:tblCellMar>
            <w:top w:w="0" w:type="dxa"/>
            <w:left w:w="108" w:type="dxa"/>
            <w:bottom w:w="0" w:type="dxa"/>
            <w:right w:w="108" w:type="dxa"/>
          </w:tblCellMar>
        </w:tblPrEx>
        <w:trPr>
          <w:trHeight w:val="285" w:hRule="atLeast"/>
        </w:trPr>
        <w:tc>
          <w:tcPr>
            <w:tcW w:w="5429" w:type="dxa"/>
            <w:gridSpan w:val="4"/>
            <w:tcBorders>
              <w:top w:val="nil"/>
              <w:left w:val="nil"/>
              <w:bottom w:val="nil"/>
              <w:right w:val="nil"/>
            </w:tcBorders>
            <w:shd w:val="clear" w:color="000000" w:fill="FFFFFF"/>
            <w:vAlign w:val="center"/>
          </w:tcPr>
          <w:p>
            <w:pPr>
              <w:widowControl/>
              <w:jc w:val="left"/>
              <w:rPr>
                <w:rFonts w:hint="default" w:ascii="Times New Roman" w:hAnsi="Times New Roman" w:eastAsia="仿宋_GB2312" w:cs="Times New Roman"/>
                <w:kern w:val="0"/>
                <w:sz w:val="21"/>
                <w:szCs w:val="21"/>
                <w:lang w:eastAsia="zh-CN"/>
              </w:rPr>
            </w:pPr>
            <w:r>
              <w:rPr>
                <w:rFonts w:hint="default" w:ascii="Times New Roman" w:hAnsi="Times New Roman" w:eastAsia="仿宋_GB2312" w:cs="Times New Roman"/>
                <w:color w:val="000000"/>
                <w:kern w:val="0"/>
                <w:sz w:val="21"/>
                <w:szCs w:val="21"/>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p>
        </w:tc>
        <w:tc>
          <w:tcPr>
            <w:tcW w:w="1441"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457" w:type="dxa"/>
            <w:tcBorders>
              <w:top w:val="nil"/>
              <w:left w:val="nil"/>
              <w:bottom w:val="nil"/>
              <w:right w:val="nil"/>
            </w:tcBorders>
            <w:shd w:val="clear" w:color="000000" w:fill="FFFFFF"/>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485"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单位：万元</w:t>
            </w:r>
          </w:p>
        </w:tc>
      </w:tr>
      <w:tr>
        <w:tblPrEx>
          <w:tblLayout w:type="fixed"/>
          <w:tblCellMar>
            <w:top w:w="0" w:type="dxa"/>
            <w:left w:w="108" w:type="dxa"/>
            <w:bottom w:w="0" w:type="dxa"/>
            <w:right w:w="108" w:type="dxa"/>
          </w:tblCellMar>
        </w:tblPrEx>
        <w:trPr>
          <w:trHeight w:val="340" w:hRule="atLeast"/>
        </w:trPr>
        <w:tc>
          <w:tcPr>
            <w:tcW w:w="379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项    目</w:t>
            </w:r>
          </w:p>
        </w:tc>
        <w:tc>
          <w:tcPr>
            <w:tcW w:w="16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本年支出合计</w:t>
            </w:r>
          </w:p>
        </w:tc>
        <w:tc>
          <w:tcPr>
            <w:tcW w:w="144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基本支出</w:t>
            </w:r>
          </w:p>
        </w:tc>
        <w:tc>
          <w:tcPr>
            <w:tcW w:w="14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项目支出</w:t>
            </w:r>
          </w:p>
        </w:tc>
        <w:tc>
          <w:tcPr>
            <w:tcW w:w="14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上缴上级支出</w:t>
            </w:r>
          </w:p>
        </w:tc>
        <w:tc>
          <w:tcPr>
            <w:tcW w:w="12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经营支出</w:t>
            </w:r>
          </w:p>
        </w:tc>
        <w:tc>
          <w:tcPr>
            <w:tcW w:w="42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对附属单位补助支出</w:t>
            </w:r>
          </w:p>
        </w:tc>
      </w:tr>
      <w:tr>
        <w:tblPrEx>
          <w:tblLayout w:type="fixed"/>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功能分类科目编码</w:t>
            </w:r>
          </w:p>
        </w:tc>
        <w:tc>
          <w:tcPr>
            <w:tcW w:w="25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科目名称</w:t>
            </w: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4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312"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251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6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c>
          <w:tcPr>
            <w:tcW w:w="4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250" w:hRule="atLeast"/>
        </w:trPr>
        <w:tc>
          <w:tcPr>
            <w:tcW w:w="379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栏次</w:t>
            </w:r>
          </w:p>
        </w:tc>
        <w:tc>
          <w:tcPr>
            <w:tcW w:w="163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1441"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1457"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1485"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1238"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4223"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r>
      <w:tr>
        <w:tblPrEx>
          <w:tblLayout w:type="fixed"/>
          <w:tblCellMar>
            <w:top w:w="0" w:type="dxa"/>
            <w:left w:w="108" w:type="dxa"/>
            <w:bottom w:w="0" w:type="dxa"/>
            <w:right w:w="108" w:type="dxa"/>
          </w:tblCellMar>
        </w:tblPrEx>
        <w:trPr>
          <w:trHeight w:val="283" w:hRule="atLeast"/>
        </w:trPr>
        <w:tc>
          <w:tcPr>
            <w:tcW w:w="379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合计</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4137.07</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1291.18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2845.89</w:t>
            </w: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一般公共服务支出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4010.97</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1165.08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2845.89</w:t>
            </w: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发展与改革事务</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3992.13</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1165.08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2827.05</w:t>
            </w: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2010401</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行政运行</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1165.08</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1165.08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2010499</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其他发展与改革事务支出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2827.05</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2827.05</w:t>
            </w: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财政事务</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18.84</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18.84</w:t>
            </w: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2010699</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其他财政事务支出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18.84</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18.84</w:t>
            </w: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　</w:t>
            </w: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社会保障和就业支出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55.33</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55.33</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行政事业</w:t>
            </w:r>
            <w:r>
              <w:rPr>
                <w:rFonts w:hint="default" w:ascii="Times New Roman" w:hAnsi="Times New Roman" w:eastAsia="仿宋_GB2312" w:cs="Times New Roman"/>
                <w:i w:val="0"/>
                <w:iCs w:val="0"/>
                <w:kern w:val="0"/>
                <w:sz w:val="21"/>
                <w:szCs w:val="21"/>
                <w:lang w:eastAsia="zh-CN"/>
              </w:rPr>
              <w:t>单位养老支出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55.33</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55.33</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2080505</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机关事业单位基本养老保险缴费支出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55.33</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55.33</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住房保障支出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70.78</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70.78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住房改革支出</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70.78</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70.78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45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2210201</w:t>
            </w:r>
          </w:p>
        </w:tc>
        <w:tc>
          <w:tcPr>
            <w:tcW w:w="2516" w:type="dxa"/>
            <w:tcBorders>
              <w:top w:val="nil"/>
              <w:left w:val="nil"/>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住房公积金</w:t>
            </w:r>
          </w:p>
        </w:tc>
        <w:tc>
          <w:tcPr>
            <w:tcW w:w="163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70.78</w:t>
            </w:r>
          </w:p>
        </w:tc>
        <w:tc>
          <w:tcPr>
            <w:tcW w:w="144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70.78</w:t>
            </w:r>
          </w:p>
        </w:tc>
        <w:tc>
          <w:tcPr>
            <w:tcW w:w="145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rPr>
            </w:pPr>
          </w:p>
        </w:tc>
        <w:tc>
          <w:tcPr>
            <w:tcW w:w="1485"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123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c>
          <w:tcPr>
            <w:tcW w:w="422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rPr>
            </w:pPr>
          </w:p>
        </w:tc>
      </w:tr>
      <w:tr>
        <w:tblPrEx>
          <w:tblLayout w:type="fixed"/>
          <w:tblCellMar>
            <w:top w:w="0" w:type="dxa"/>
            <w:left w:w="108" w:type="dxa"/>
            <w:bottom w:w="0" w:type="dxa"/>
            <w:right w:w="108" w:type="dxa"/>
          </w:tblCellMar>
        </w:tblPrEx>
        <w:trPr>
          <w:trHeight w:val="630" w:hRule="atLeast"/>
        </w:trPr>
        <w:tc>
          <w:tcPr>
            <w:tcW w:w="15273" w:type="dxa"/>
            <w:gridSpan w:val="9"/>
            <w:tcBorders>
              <w:top w:val="nil"/>
              <w:left w:val="nil"/>
              <w:bottom w:val="nil"/>
              <w:right w:val="nil"/>
            </w:tcBorders>
            <w:shd w:val="clear" w:color="auto" w:fill="auto"/>
            <w:vAlign w:val="center"/>
          </w:tcPr>
          <w:p>
            <w:pPr>
              <w:widowControl/>
              <w:jc w:val="left"/>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注：本表反映部门本年度各项支出情况。</w:t>
            </w:r>
          </w:p>
        </w:tc>
      </w:tr>
    </w:tbl>
    <w:p>
      <w:pP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br w:type="page"/>
      </w:r>
    </w:p>
    <w:p>
      <w:pPr>
        <w:widowControl/>
        <w:ind w:left="93"/>
        <w:jc w:val="center"/>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Layout w:type="fixed"/>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bookmarkStart w:id="0" w:name="RANGE!A1:I22"/>
            <w:bookmarkEnd w:id="0"/>
            <w:bookmarkStart w:id="1" w:name="RANGE!A1:F16"/>
          </w:p>
        </w:tc>
        <w:tc>
          <w:tcPr>
            <w:tcW w:w="436" w:type="dxa"/>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574" w:type="dxa"/>
            <w:gridSpan w:val="2"/>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547" w:type="dxa"/>
            <w:gridSpan w:val="2"/>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435" w:type="dxa"/>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573" w:type="dxa"/>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573" w:type="dxa"/>
            <w:tcBorders>
              <w:top w:val="nil"/>
              <w:left w:val="nil"/>
              <w:bottom w:val="nil"/>
              <w:right w:val="nil"/>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vAlign w:val="center"/>
          </w:tcPr>
          <w:p>
            <w:pPr>
              <w:widowControl/>
              <w:jc w:val="center"/>
              <w:rPr>
                <w:rFonts w:hint="default" w:ascii="Times New Roman" w:hAnsi="Times New Roman" w:eastAsia="仿宋_GB2312" w:cs="Times New Roman"/>
                <w:i w:val="0"/>
                <w:iCs w:val="0"/>
                <w:color w:val="000000"/>
                <w:kern w:val="0"/>
                <w:sz w:val="21"/>
                <w:szCs w:val="21"/>
              </w:rPr>
            </w:pPr>
            <w:r>
              <w:rPr>
                <w:rFonts w:hint="default" w:ascii="Times New Roman" w:hAnsi="Times New Roman" w:eastAsia="方正小标宋_GBK" w:cs="Times New Roman"/>
                <w:color w:val="000000"/>
                <w:kern w:val="0"/>
                <w:sz w:val="36"/>
                <w:szCs w:val="21"/>
              </w:rPr>
              <w:t>财政拨款收入支出决算总表</w:t>
            </w:r>
          </w:p>
        </w:tc>
      </w:tr>
      <w:tr>
        <w:tblPrEx>
          <w:tblLayout w:type="fixed"/>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78"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043" w:type="dxa"/>
            <w:gridSpan w:val="3"/>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5"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公开04表</w:t>
            </w:r>
          </w:p>
        </w:tc>
      </w:tr>
      <w:tr>
        <w:tblPrEx>
          <w:tblLayout w:type="fixed"/>
          <w:tblCellMar>
            <w:top w:w="0" w:type="dxa"/>
            <w:left w:w="108" w:type="dxa"/>
            <w:bottom w:w="0" w:type="dxa"/>
            <w:right w:w="108" w:type="dxa"/>
          </w:tblCellMar>
        </w:tblPrEx>
        <w:trPr>
          <w:trHeight w:val="300" w:hRule="atLeast"/>
        </w:trPr>
        <w:tc>
          <w:tcPr>
            <w:tcW w:w="5109" w:type="dxa"/>
            <w:gridSpan w:val="3"/>
            <w:tcBorders>
              <w:top w:val="nil"/>
              <w:left w:val="nil"/>
              <w:bottom w:val="nil"/>
              <w:right w:val="nil"/>
            </w:tcBorders>
            <w:shd w:val="clear" w:color="000000" w:fill="FFFFFF"/>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color w:val="000000"/>
                <w:kern w:val="0"/>
                <w:sz w:val="21"/>
                <w:szCs w:val="21"/>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p>
        </w:tc>
        <w:tc>
          <w:tcPr>
            <w:tcW w:w="4043" w:type="dxa"/>
            <w:gridSpan w:val="3"/>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5"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394"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nil"/>
              <w:right w:val="nil"/>
            </w:tcBorders>
            <w:shd w:val="clear" w:color="000000" w:fill="FFFFFF"/>
            <w:vAlign w:val="center"/>
          </w:tcPr>
          <w:p>
            <w:pPr>
              <w:widowControl/>
              <w:jc w:val="right"/>
              <w:rPr>
                <w:rFonts w:hint="default" w:ascii="Times New Roman" w:hAnsi="Times New Roman" w:eastAsia="仿宋_GB2312" w:cs="Times New Roman"/>
                <w:i w:val="0"/>
                <w:iCs w:val="0"/>
                <w:color w:val="000000"/>
                <w:kern w:val="0"/>
                <w:sz w:val="21"/>
                <w:szCs w:val="21"/>
              </w:rPr>
            </w:pPr>
            <w:r>
              <w:rPr>
                <w:rFonts w:hint="default" w:ascii="Times New Roman" w:hAnsi="Times New Roman" w:eastAsia="仿宋_GB2312" w:cs="Times New Roman"/>
                <w:i w:val="0"/>
                <w:iCs w:val="0"/>
                <w:color w:val="000000"/>
                <w:kern w:val="0"/>
                <w:sz w:val="21"/>
                <w:szCs w:val="21"/>
              </w:rPr>
              <w:t>单位：万元</w:t>
            </w:r>
          </w:p>
        </w:tc>
      </w:tr>
      <w:tr>
        <w:tblPrEx>
          <w:tblLayout w:type="fixed"/>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支出</w:t>
            </w:r>
          </w:p>
        </w:tc>
      </w:tr>
      <w:tr>
        <w:tblPrEx>
          <w:tblLayout w:type="fixed"/>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金额</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项    目</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行次</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国有资本经营预算财政拨款</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7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栏    次</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2</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4</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5</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4575.54</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33</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4010.96</w:t>
            </w: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4010.96</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二、外交支出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34</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三、国防支出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35</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四、公共安全支出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36</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五、教育支出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37</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6</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六、科学技术支出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38</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7</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七、文化旅游体育与传媒支出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39</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8</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八、社会保障和就业支出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40</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55.33</w:t>
            </w: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55.33</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9</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九、卫生健康支出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41</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10</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十、节能环保支出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42</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11</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十一、城乡社区支出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43</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十二、农林水支出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44</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十三、交通运输支出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45</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十四、资源勘探</w:t>
            </w:r>
            <w:r>
              <w:rPr>
                <w:rFonts w:hint="default" w:ascii="Times New Roman" w:hAnsi="Times New Roman" w:eastAsia="仿宋_GB2312" w:cs="Times New Roman"/>
                <w:i w:val="0"/>
                <w:iCs w:val="0"/>
                <w:kern w:val="0"/>
                <w:sz w:val="21"/>
                <w:szCs w:val="21"/>
                <w:lang w:eastAsia="zh-CN"/>
              </w:rPr>
              <w:t>工业</w:t>
            </w:r>
            <w:r>
              <w:rPr>
                <w:rFonts w:hint="default" w:ascii="Times New Roman" w:hAnsi="Times New Roman" w:eastAsia="仿宋_GB2312" w:cs="Times New Roman"/>
                <w:i w:val="0"/>
                <w:iCs w:val="0"/>
                <w:kern w:val="0"/>
                <w:sz w:val="21"/>
                <w:szCs w:val="21"/>
              </w:rPr>
              <w:t>信息等支出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46</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15</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十五、商业服务业等支出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47</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16</w:t>
            </w:r>
          </w:p>
        </w:tc>
        <w:tc>
          <w:tcPr>
            <w:tcW w:w="1078"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十六、金融支出</w:t>
            </w:r>
          </w:p>
        </w:tc>
        <w:tc>
          <w:tcPr>
            <w:tcW w:w="10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48</w:t>
            </w: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17</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十七、援助其他地区支出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49</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18</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十八、自然资源海洋气象等支出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50</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19</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十九、住房保障支出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51</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70.78</w:t>
            </w: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70.78</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20</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二十、粮油物资储备支出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52</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21</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二十一、</w:t>
            </w:r>
            <w:r>
              <w:rPr>
                <w:rFonts w:hint="default" w:ascii="Times New Roman" w:hAnsi="Times New Roman" w:eastAsia="仿宋_GB2312" w:cs="Times New Roman"/>
                <w:i w:val="0"/>
                <w:iCs w:val="0"/>
                <w:kern w:val="0"/>
                <w:sz w:val="21"/>
                <w:szCs w:val="21"/>
                <w:lang w:eastAsia="zh-CN"/>
              </w:rPr>
              <w:t>国有资本经营预算支出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53</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54</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23</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三、</w:t>
            </w:r>
            <w:r>
              <w:rPr>
                <w:rFonts w:hint="default" w:ascii="Times New Roman" w:hAnsi="Times New Roman" w:eastAsia="仿宋_GB2312" w:cs="Times New Roman"/>
                <w:i w:val="0"/>
                <w:iCs w:val="0"/>
                <w:kern w:val="0"/>
                <w:sz w:val="21"/>
                <w:szCs w:val="21"/>
              </w:rPr>
              <w:t>其他支出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55</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24</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四、债务还本支出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56</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25</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五、债务付息支出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57</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26</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二十</w:t>
            </w:r>
            <w:r>
              <w:rPr>
                <w:rFonts w:hint="default" w:ascii="Times New Roman" w:hAnsi="Times New Roman" w:eastAsia="仿宋_GB2312" w:cs="Times New Roman"/>
                <w:i w:val="0"/>
                <w:iCs w:val="0"/>
                <w:kern w:val="0"/>
                <w:sz w:val="21"/>
                <w:szCs w:val="21"/>
                <w:lang w:eastAsia="zh-CN"/>
              </w:rPr>
              <w:t>六、抗疫特别国债安排的支出</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58</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本年收入合计</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27</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4575.54</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59</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4137.07</w:t>
            </w: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bidi="ar-SA"/>
              </w:rPr>
              <w:t>4137.07</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28</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136.57</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60</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575.04</w:t>
            </w: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575.04</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29</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136.57</w:t>
            </w: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61</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30</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62</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31</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341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067"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63</w:t>
            </w:r>
          </w:p>
        </w:tc>
        <w:tc>
          <w:tcPr>
            <w:tcW w:w="1573"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p>
        </w:tc>
        <w:tc>
          <w:tcPr>
            <w:tcW w:w="13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　</w:t>
            </w:r>
          </w:p>
        </w:tc>
      </w:tr>
      <w:tr>
        <w:tblPrEx>
          <w:tblLayout w:type="fixed"/>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43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32</w:t>
            </w:r>
          </w:p>
        </w:tc>
        <w:tc>
          <w:tcPr>
            <w:tcW w:w="107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4712.11</w:t>
            </w:r>
          </w:p>
        </w:tc>
        <w:tc>
          <w:tcPr>
            <w:tcW w:w="3411"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总计</w:t>
            </w:r>
          </w:p>
        </w:tc>
        <w:tc>
          <w:tcPr>
            <w:tcW w:w="1067"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64</w:t>
            </w:r>
          </w:p>
        </w:tc>
        <w:tc>
          <w:tcPr>
            <w:tcW w:w="1573" w:type="dxa"/>
            <w:tcBorders>
              <w:top w:val="nil"/>
              <w:left w:val="nil"/>
              <w:bottom w:val="single" w:color="auto" w:sz="4" w:space="0"/>
              <w:right w:val="single" w:color="auto" w:sz="4" w:space="0"/>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lang w:val="en-US" w:eastAsia="zh-CN"/>
              </w:rPr>
            </w:pPr>
            <w:r>
              <w:rPr>
                <w:rFonts w:hint="default" w:ascii="Times New Roman" w:hAnsi="Times New Roman" w:eastAsia="仿宋_GB2312" w:cs="Times New Roman"/>
                <w:i w:val="0"/>
                <w:iCs w:val="0"/>
                <w:kern w:val="0"/>
                <w:sz w:val="21"/>
                <w:szCs w:val="21"/>
                <w:lang w:val="en-US" w:eastAsia="zh-CN"/>
              </w:rPr>
              <w:t>4712.11</w:t>
            </w:r>
          </w:p>
        </w:tc>
        <w:tc>
          <w:tcPr>
            <w:tcW w:w="1394" w:type="dxa"/>
            <w:tcBorders>
              <w:top w:val="nil"/>
              <w:left w:val="nil"/>
              <w:bottom w:val="single" w:color="auto" w:sz="4" w:space="0"/>
              <w:right w:val="single" w:color="auto" w:sz="4" w:space="0"/>
            </w:tcBorders>
            <w:shd w:val="clear" w:color="000000" w:fill="FFFFFF"/>
            <w:vAlign w:val="center"/>
          </w:tcPr>
          <w:p>
            <w:pPr>
              <w:widowControl/>
              <w:jc w:val="righ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lang w:val="en-US" w:eastAsia="zh-CN"/>
              </w:rPr>
              <w:t>4712.11</w:t>
            </w:r>
          </w:p>
        </w:tc>
        <w:tc>
          <w:tcPr>
            <w:tcW w:w="1394"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　</w:t>
            </w:r>
          </w:p>
        </w:tc>
        <w:tc>
          <w:tcPr>
            <w:tcW w:w="157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b/>
                <w:bCs/>
                <w:i w:val="0"/>
                <w:iCs w:val="0"/>
                <w:kern w:val="0"/>
                <w:sz w:val="21"/>
                <w:szCs w:val="21"/>
              </w:rPr>
            </w:pPr>
            <w:r>
              <w:rPr>
                <w:rFonts w:hint="default" w:ascii="Times New Roman" w:hAnsi="Times New Roman" w:eastAsia="仿宋_GB2312" w:cs="Times New Roman"/>
                <w:b/>
                <w:bCs/>
                <w:i w:val="0"/>
                <w:iCs w:val="0"/>
                <w:kern w:val="0"/>
                <w:sz w:val="21"/>
                <w:szCs w:val="21"/>
              </w:rPr>
              <w:t>　</w:t>
            </w:r>
          </w:p>
        </w:tc>
      </w:tr>
      <w:tr>
        <w:tblPrEx>
          <w:tblLayout w:type="fixed"/>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hint="default" w:ascii="Times New Roman" w:hAnsi="Times New Roman" w:eastAsia="仿宋_GB2312" w:cs="Times New Roman"/>
                <w:i w:val="0"/>
                <w:iCs w:val="0"/>
                <w:kern w:val="0"/>
                <w:sz w:val="21"/>
                <w:szCs w:val="21"/>
              </w:rPr>
            </w:pPr>
            <w:r>
              <w:rPr>
                <w:rFonts w:hint="default" w:ascii="Times New Roman" w:hAnsi="Times New Roman" w:eastAsia="仿宋_GB2312" w:cs="Times New Roman"/>
                <w:i w:val="0"/>
                <w:iCs w:val="0"/>
                <w:kern w:val="0"/>
                <w:sz w:val="21"/>
                <w:szCs w:val="21"/>
              </w:rPr>
              <w:t>注：本表反映部门本年度一般公共预算财政拨款、政府性基金预算财政拨款和国有资本经营预算财政拨款的总收支和年末结转结余情况。</w:t>
            </w:r>
          </w:p>
        </w:tc>
      </w:tr>
    </w:tbl>
    <w:p>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r>
        <w:rPr>
          <w:rFonts w:hint="default"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default" w:ascii="Times New Roman" w:hAnsi="Times New Roman" w:eastAsia="仿宋_GB2312" w:cs="Times New Roman"/>
          <w:color w:val="000000"/>
          <w:kern w:val="0"/>
          <w:szCs w:val="21"/>
        </w:rPr>
        <w:t xml:space="preserve">          公开05表</w:t>
      </w:r>
    </w:p>
    <w:p>
      <w:pPr>
        <w:widowControl/>
        <w:jc w:val="left"/>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Cs w:val="21"/>
        </w:rPr>
        <w:t xml:space="preserve">                                                                                                                                  单位：万元</w:t>
      </w:r>
    </w:p>
    <w:tbl>
      <w:tblPr>
        <w:tblStyle w:val="8"/>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项 </w:t>
            </w:r>
            <w:r>
              <w:rPr>
                <w:rFonts w:hint="default" w:ascii="Times New Roman" w:hAnsi="Times New Roman" w:eastAsia="仿宋_GB2312" w:cs="Times New Roman"/>
                <w:b/>
                <w:color w:val="000000"/>
                <w:kern w:val="0"/>
                <w:szCs w:val="21"/>
              </w:rPr>
              <w:t xml:space="preserve">   </w:t>
            </w:r>
            <w:r>
              <w:rPr>
                <w:rFonts w:hint="default"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default"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4137.07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1291.18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2845.89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4010.97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1165.08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2845.89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发展与改革事务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3992.13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1165.08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2827.05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1165.08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1165.08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2010499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其他发展与改革事务支出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2827.05</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2827.05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财政事务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18.84</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18.84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2010699</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其他财政事务支出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18.84</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18.84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55.33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55.33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行政事业</w:t>
            </w:r>
            <w:r>
              <w:rPr>
                <w:rFonts w:hint="default" w:ascii="Times New Roman" w:hAnsi="Times New Roman" w:eastAsia="仿宋_GB2312" w:cs="Times New Roman"/>
                <w:i w:val="0"/>
                <w:iCs w:val="0"/>
                <w:kern w:val="0"/>
                <w:sz w:val="21"/>
                <w:szCs w:val="21"/>
                <w:lang w:eastAsia="zh-CN"/>
              </w:rPr>
              <w:t>单位养老支出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55.33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55.33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2080505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55.33</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55.33</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70.78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70.78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70.78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70.78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i w:val="0"/>
                <w:iCs w:val="0"/>
                <w:kern w:val="0"/>
                <w:sz w:val="21"/>
                <w:szCs w:val="21"/>
                <w:lang w:val="en-US" w:eastAsia="zh-CN" w:bidi="ar-SA"/>
              </w:rPr>
            </w:pPr>
            <w:r>
              <w:rPr>
                <w:rFonts w:hint="default" w:ascii="Times New Roman" w:hAnsi="Times New Roman" w:eastAsia="仿宋_GB2312" w:cs="Times New Roman"/>
                <w:i w:val="0"/>
                <w:iCs w:val="0"/>
                <w:kern w:val="0"/>
                <w:sz w:val="21"/>
                <w:szCs w:val="21"/>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70.78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70.78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p>
        </w:tc>
      </w:tr>
      <w:tr>
        <w:tblPrEx>
          <w:tblLayout w:type="fixed"/>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26" w:type="dxa"/>
        <w:tblInd w:w="0" w:type="dxa"/>
        <w:tblLayout w:type="fixed"/>
        <w:tblCellMar>
          <w:top w:w="0" w:type="dxa"/>
          <w:left w:w="108" w:type="dxa"/>
          <w:bottom w:w="0" w:type="dxa"/>
          <w:right w:w="108" w:type="dxa"/>
        </w:tblCellMar>
      </w:tblPr>
      <w:tblGrid>
        <w:gridCol w:w="885"/>
        <w:gridCol w:w="3420"/>
        <w:gridCol w:w="1065"/>
        <w:gridCol w:w="870"/>
        <w:gridCol w:w="2370"/>
        <w:gridCol w:w="945"/>
        <w:gridCol w:w="925"/>
        <w:gridCol w:w="4295"/>
        <w:gridCol w:w="851"/>
      </w:tblGrid>
      <w:tr>
        <w:tblPrEx>
          <w:tblLayout w:type="fixed"/>
          <w:tblCellMar>
            <w:top w:w="0" w:type="dxa"/>
            <w:left w:w="108" w:type="dxa"/>
            <w:bottom w:w="0" w:type="dxa"/>
            <w:right w:w="108" w:type="dxa"/>
          </w:tblCellMar>
        </w:tblPrEx>
        <w:trPr>
          <w:trHeight w:val="113" w:hRule="atLeast"/>
        </w:trPr>
        <w:tc>
          <w:tcPr>
            <w:tcW w:w="15626" w:type="dxa"/>
            <w:gridSpan w:val="9"/>
            <w:tcBorders>
              <w:top w:val="nil"/>
              <w:left w:val="nil"/>
              <w:bottom w:val="nil"/>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230" w:lineRule="exact"/>
              <w:jc w:val="center"/>
              <w:textAlignment w:val="auto"/>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keepNext w:val="0"/>
              <w:keepLines w:val="0"/>
              <w:pageBreakBefore w:val="0"/>
              <w:widowControl/>
              <w:kinsoku/>
              <w:wordWrap w:val="0"/>
              <w:overflowPunct/>
              <w:topLinePunct w:val="0"/>
              <w:autoSpaceDE/>
              <w:autoSpaceDN/>
              <w:bidi w:val="0"/>
              <w:adjustRightInd/>
              <w:snapToGrid/>
              <w:spacing w:line="230" w:lineRule="exact"/>
              <w:jc w:val="right"/>
              <w:textAlignment w:val="auto"/>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keepNext w:val="0"/>
              <w:keepLines w:val="0"/>
              <w:pageBreakBefore w:val="0"/>
              <w:widowControl/>
              <w:kinsoku/>
              <w:overflowPunct/>
              <w:topLinePunct w:val="0"/>
              <w:autoSpaceDE/>
              <w:autoSpaceDN/>
              <w:bidi w:val="0"/>
              <w:adjustRightInd/>
              <w:snapToGrid/>
              <w:spacing w:line="230" w:lineRule="exact"/>
              <w:jc w:val="right"/>
              <w:textAlignment w:val="auto"/>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Layout w:type="fixed"/>
          <w:tblCellMar>
            <w:top w:w="0" w:type="dxa"/>
            <w:left w:w="108" w:type="dxa"/>
            <w:bottom w:w="0" w:type="dxa"/>
            <w:right w:w="108" w:type="dxa"/>
          </w:tblCellMar>
        </w:tblPrEx>
        <w:trPr>
          <w:trHeight w:val="113" w:hRule="atLeast"/>
        </w:trPr>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7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center"/>
              <w:textAlignment w:val="auto"/>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1101.24</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176.30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2</w:t>
            </w:r>
            <w:r>
              <w:rPr>
                <w:rFonts w:hint="eastAsia" w:ascii="宋体" w:hAnsi="宋体" w:eastAsia="宋体" w:cs="宋体"/>
                <w:color w:val="000000"/>
                <w:kern w:val="0"/>
                <w:szCs w:val="20"/>
                <w:lang w:val="en-US" w:eastAsia="zh-CN"/>
              </w:rPr>
              <w:t>51.79</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3.32</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152.89</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362.32</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35.08</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55.33</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4.20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43.58</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5.17</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37.09</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16.60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0.09</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70.78</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0.48</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92.38</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13.64</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10.35</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0.49</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2.75</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51.43</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0.78</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0.54</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1.33</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21.32</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0.00</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88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11.51</w:t>
            </w:r>
          </w:p>
        </w:tc>
        <w:tc>
          <w:tcPr>
            <w:tcW w:w="92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Layout w:type="fixed"/>
          <w:tblCellMar>
            <w:top w:w="0" w:type="dxa"/>
            <w:left w:w="108" w:type="dxa"/>
            <w:bottom w:w="0" w:type="dxa"/>
            <w:right w:w="108" w:type="dxa"/>
          </w:tblCellMar>
        </w:tblPrEx>
        <w:trPr>
          <w:trHeight w:val="284" w:hRule="exact"/>
        </w:trPr>
        <w:tc>
          <w:tcPr>
            <w:tcW w:w="43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65"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1114.88</w:t>
            </w:r>
          </w:p>
        </w:tc>
        <w:tc>
          <w:tcPr>
            <w:tcW w:w="940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color w:val="000000"/>
                <w:kern w:val="0"/>
                <w:sz w:val="21"/>
                <w:szCs w:val="20"/>
                <w:lang w:val="en-US" w:eastAsia="zh-CN" w:bidi="ar-SA"/>
              </w:rPr>
            </w:pPr>
            <w:r>
              <w:rPr>
                <w:rFonts w:hint="eastAsia" w:ascii="宋体" w:hAnsi="宋体" w:eastAsia="宋体" w:cs="宋体"/>
                <w:color w:val="000000"/>
                <w:kern w:val="0"/>
                <w:sz w:val="21"/>
                <w:szCs w:val="20"/>
                <w:lang w:val="en-US" w:eastAsia="zh-CN" w:bidi="ar-SA"/>
              </w:rPr>
              <w:t>176.3</w:t>
            </w:r>
          </w:p>
        </w:tc>
      </w:tr>
      <w:tr>
        <w:tblPrEx>
          <w:tblLayout w:type="fixed"/>
          <w:tblCellMar>
            <w:top w:w="0" w:type="dxa"/>
            <w:left w:w="108" w:type="dxa"/>
            <w:bottom w:w="0" w:type="dxa"/>
            <w:right w:w="108" w:type="dxa"/>
          </w:tblCellMar>
        </w:tblPrEx>
        <w:trPr>
          <w:trHeight w:val="284" w:hRule="exact"/>
        </w:trPr>
        <w:tc>
          <w:tcPr>
            <w:tcW w:w="15626" w:type="dxa"/>
            <w:gridSpan w:val="9"/>
            <w:tcBorders>
              <w:top w:val="nil"/>
              <w:left w:val="nil"/>
              <w:bottom w:val="nil"/>
              <w:right w:val="nil"/>
            </w:tcBorders>
            <w:shd w:val="clear" w:color="auto" w:fill="auto"/>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7</w:t>
      </w:r>
      <w:r>
        <w:rPr>
          <w:rFonts w:ascii="Times New Roman" w:hAnsi="Times New Roman" w:eastAsia="仿宋_GB2312" w:cs="Times New Roman"/>
          <w:color w:val="000000"/>
          <w:kern w:val="0"/>
          <w:szCs w:val="21"/>
        </w:rPr>
        <w:t>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　0.00</w:t>
            </w:r>
          </w:p>
        </w:tc>
        <w:tc>
          <w:tcPr>
            <w:tcW w:w="2000" w:type="dxa"/>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c>
          <w:tcPr>
            <w:tcW w:w="2000" w:type="dxa"/>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说明：</w:t>
      </w:r>
      <w:r>
        <w:rPr>
          <w:rFonts w:hint="eastAsia" w:ascii="Times New Roman" w:hAnsi="Times New Roman" w:eastAsia="仿宋_GB2312" w:cs="Times New Roman"/>
          <w:i w:val="0"/>
          <w:iCs w:val="0"/>
          <w:color w:val="000000"/>
          <w:kern w:val="0"/>
          <w:sz w:val="21"/>
          <w:szCs w:val="21"/>
          <w:lang w:eastAsia="zh-CN"/>
        </w:rPr>
        <w:t>我单位</w:t>
      </w:r>
      <w:r>
        <w:rPr>
          <w:rFonts w:hint="eastAsia" w:ascii="Times New Roman" w:hAnsi="Times New Roman" w:eastAsia="仿宋_GB2312" w:cs="Times New Roman"/>
          <w:kern w:val="0"/>
          <w:szCs w:val="21"/>
        </w:rPr>
        <w:t>没有政府性基金收入，也没有使用政府性基金安排的支出，故本表无数据</w:t>
      </w:r>
      <w:r>
        <w:rPr>
          <w:rFonts w:hint="eastAsia" w:ascii="Times New Roman" w:hAnsi="Times New Roman" w:eastAsia="仿宋_GB2312" w:cs="Times New Roman"/>
          <w:kern w:val="0"/>
          <w:szCs w:val="21"/>
          <w:lang w:eastAsia="zh-CN"/>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fixed"/>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Layout w:type="fixed"/>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Layout w:type="fixed"/>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表</w:t>
            </w:r>
          </w:p>
        </w:tc>
      </w:tr>
      <w:tr>
        <w:tblPrEx>
          <w:tblLayout w:type="fixed"/>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Layout w:type="fixed"/>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Layout w:type="fixed"/>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Layout w:type="fixed"/>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Layout w:type="fixed"/>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Layout w:type="fixed"/>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w:t>
            </w:r>
          </w:p>
        </w:tc>
        <w:tc>
          <w:tcPr>
            <w:tcW w:w="3827"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0.00</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Layout w:type="fixed"/>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ind w:firstLine="420" w:firstLineChars="200"/>
              <w:jc w:val="left"/>
            </w:pPr>
            <w:r>
              <w:rPr>
                <w:rFonts w:hint="eastAsia" w:ascii="Times New Roman" w:hAnsi="Times New Roman" w:eastAsia="仿宋_GB2312" w:cs="Times New Roman"/>
                <w:kern w:val="0"/>
                <w:szCs w:val="21"/>
                <w:lang w:eastAsia="zh-CN"/>
              </w:rPr>
              <w:t>说明：</w:t>
            </w:r>
            <w:r>
              <w:rPr>
                <w:rFonts w:hint="eastAsia" w:ascii="Times New Roman" w:hAnsi="Times New Roman" w:eastAsia="仿宋_GB2312" w:cs="Times New Roman"/>
                <w:i w:val="0"/>
                <w:iCs w:val="0"/>
                <w:color w:val="000000"/>
                <w:kern w:val="0"/>
                <w:sz w:val="21"/>
                <w:szCs w:val="21"/>
                <w:lang w:eastAsia="zh-CN"/>
              </w:rPr>
              <w:t>我单位</w:t>
            </w:r>
            <w:r>
              <w:rPr>
                <w:rFonts w:hint="eastAsia" w:ascii="Times New Roman" w:hAnsi="Times New Roman" w:eastAsia="仿宋_GB2312" w:cs="Times New Roman"/>
                <w:kern w:val="0"/>
                <w:szCs w:val="21"/>
              </w:rPr>
              <w:t>没有</w:t>
            </w:r>
            <w:r>
              <w:rPr>
                <w:rFonts w:hint="eastAsia" w:ascii="Times New Roman" w:hAnsi="Times New Roman" w:eastAsia="仿宋_GB2312" w:cs="Times New Roman"/>
                <w:kern w:val="0"/>
                <w:szCs w:val="21"/>
                <w:lang w:eastAsia="zh-CN"/>
              </w:rPr>
              <w:t>使用</w:t>
            </w:r>
            <w:r>
              <w:rPr>
                <w:rFonts w:hint="eastAsia" w:ascii="Times New Roman" w:hAnsi="Times New Roman" w:eastAsia="仿宋_GB2312" w:cs="Times New Roman"/>
                <w:kern w:val="0"/>
                <w:szCs w:val="21"/>
              </w:rPr>
              <w:t>国有资本经营预算</w:t>
            </w:r>
            <w:r>
              <w:rPr>
                <w:rFonts w:hint="eastAsia" w:ascii="Times New Roman" w:hAnsi="Times New Roman" w:eastAsia="仿宋_GB2312" w:cs="Times New Roman"/>
                <w:kern w:val="0"/>
                <w:szCs w:val="21"/>
                <w:lang w:eastAsia="zh-CN"/>
              </w:rPr>
              <w:t>安排的支出</w:t>
            </w:r>
            <w:r>
              <w:rPr>
                <w:rFonts w:hint="eastAsia" w:ascii="Times New Roman" w:hAnsi="Times New Roman" w:eastAsia="仿宋_GB2312" w:cs="Times New Roman"/>
                <w:kern w:val="0"/>
                <w:szCs w:val="21"/>
              </w:rPr>
              <w:t>，故本表无数据</w:t>
            </w:r>
            <w:r>
              <w:rPr>
                <w:rFonts w:hint="eastAsia" w:ascii="Times New Roman" w:hAnsi="Times New Roman" w:eastAsia="仿宋_GB2312" w:cs="Times New Roman"/>
                <w:kern w:val="0"/>
                <w:szCs w:val="21"/>
                <w:lang w:eastAsia="zh-CN"/>
              </w:rPr>
              <w:t>。</w:t>
            </w:r>
          </w:p>
        </w:tc>
      </w:tr>
    </w:tbl>
    <w:p>
      <w:pPr>
        <w:pStyle w:val="11"/>
        <w:rPr>
          <w:sz w:val="72"/>
          <w:szCs w:val="72"/>
        </w:rPr>
        <w:sectPr>
          <w:pgSz w:w="16838" w:h="11906" w:orient="landscape"/>
          <w:pgMar w:top="720" w:right="720" w:bottom="720" w:left="720" w:header="851" w:footer="992" w:gutter="0"/>
          <w:pgNumType w:fmt="decimal"/>
          <w:cols w:space="425" w:num="1"/>
          <w:docGrid w:type="lines" w:linePitch="312" w:charSpace="0"/>
        </w:sect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i w:val="0"/>
          <w:iCs w:val="0"/>
          <w:color w:val="000000"/>
          <w:kern w:val="0"/>
          <w:sz w:val="21"/>
          <w:szCs w:val="21"/>
          <w:lang w:eastAsia="zh-CN"/>
        </w:rPr>
        <w:t>湖南省长株潭一体化发展事务中心</w:t>
      </w:r>
      <w:r>
        <w:rPr>
          <w:rFonts w:hint="eastAsia" w:ascii="Times New Roman" w:hAnsi="Times New Roman" w:eastAsia="仿宋_GB2312" w:cs="Times New Roman"/>
          <w:i w:val="0"/>
          <w:iCs w:val="0"/>
          <w:color w:val="000000"/>
          <w:kern w:val="0"/>
          <w:sz w:val="21"/>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lang w:val="en-US" w:eastAsia="zh-CN"/>
        </w:rPr>
        <w:t>9</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w:t>
            </w:r>
            <w:r>
              <w:rPr>
                <w:rFonts w:hint="eastAsia" w:ascii="Times New Roman" w:hAnsi="Times New Roman" w:eastAsia="仿宋_GB2312" w:cs="Times New Roman"/>
                <w:kern w:val="0"/>
                <w:szCs w:val="21"/>
                <w:lang w:eastAsia="zh-CN"/>
              </w:rPr>
              <w:t>维护</w:t>
            </w:r>
            <w:r>
              <w:rPr>
                <w:rFonts w:ascii="Times New Roman" w:hAnsi="Times New Roman" w:eastAsia="仿宋_GB2312" w:cs="Times New Roman"/>
                <w:kern w:val="0"/>
                <w:szCs w:val="21"/>
              </w:rPr>
              <w:t>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w:t>
            </w:r>
            <w:r>
              <w:rPr>
                <w:rFonts w:hint="eastAsia" w:ascii="Times New Roman" w:hAnsi="Times New Roman" w:eastAsia="仿宋_GB2312" w:cs="Times New Roman"/>
                <w:kern w:val="0"/>
                <w:szCs w:val="21"/>
                <w:lang w:eastAsia="zh-CN"/>
              </w:rPr>
              <w:t>维护</w:t>
            </w:r>
            <w:r>
              <w:rPr>
                <w:rFonts w:ascii="Times New Roman" w:hAnsi="Times New Roman" w:eastAsia="仿宋_GB2312" w:cs="Times New Roman"/>
                <w:kern w:val="0"/>
                <w:szCs w:val="21"/>
              </w:rPr>
              <w:t>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w:t>
            </w:r>
            <w:r>
              <w:rPr>
                <w:rFonts w:hint="eastAsia" w:ascii="Times New Roman" w:hAnsi="Times New Roman" w:eastAsia="仿宋_GB2312" w:cs="Times New Roman"/>
                <w:kern w:val="0"/>
                <w:szCs w:val="21"/>
                <w:lang w:eastAsia="zh-CN"/>
              </w:rPr>
              <w:t>维护</w:t>
            </w:r>
            <w:r>
              <w:rPr>
                <w:rFonts w:ascii="Times New Roman" w:hAnsi="Times New Roman" w:eastAsia="仿宋_GB2312" w:cs="Times New Roman"/>
                <w:kern w:val="0"/>
                <w:szCs w:val="21"/>
              </w:rPr>
              <w:t>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w:t>
            </w:r>
            <w:r>
              <w:rPr>
                <w:rFonts w:hint="eastAsia" w:ascii="Times New Roman" w:hAnsi="Times New Roman" w:eastAsia="仿宋_GB2312" w:cs="Times New Roman"/>
                <w:kern w:val="0"/>
                <w:szCs w:val="21"/>
                <w:lang w:eastAsia="zh-CN"/>
              </w:rPr>
              <w:t>维护</w:t>
            </w:r>
            <w:r>
              <w:rPr>
                <w:rFonts w:ascii="Times New Roman" w:hAnsi="Times New Roman" w:eastAsia="仿宋_GB2312" w:cs="Times New Roman"/>
                <w:kern w:val="0"/>
                <w:szCs w:val="21"/>
              </w:rPr>
              <w:t>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38.09</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eastAsia="zh-CN"/>
              </w:rPr>
              <w:t>37.6</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16.28</w:t>
            </w:r>
          </w:p>
        </w:tc>
        <w:tc>
          <w:tcPr>
            <w:tcW w:w="1220" w:type="dxa"/>
            <w:tcBorders>
              <w:top w:val="nil"/>
              <w:left w:val="nil"/>
              <w:bottom w:val="single" w:color="auto" w:sz="8" w:space="0"/>
              <w:right w:val="nil"/>
            </w:tcBorders>
            <w:shd w:val="clear" w:color="auto" w:fill="auto"/>
            <w:vAlign w:val="center"/>
          </w:tcPr>
          <w:p>
            <w:pPr>
              <w:widowControl/>
              <w:jc w:val="right"/>
              <w:rPr>
                <w:rFonts w:ascii="Times New Roman" w:hAnsi="Times New Roman" w:eastAsia="仿宋_GB2312" w:cs="Times New Roman"/>
                <w:kern w:val="0"/>
                <w:szCs w:val="21"/>
              </w:rPr>
            </w:pPr>
            <w:r>
              <w:rPr>
                <w:rFonts w:hint="default" w:ascii="Times New Roman" w:hAnsi="Times New Roman" w:eastAsia="仿宋_GB2312" w:cs="Times New Roman"/>
                <w:kern w:val="0"/>
                <w:szCs w:val="21"/>
                <w:lang w:val="en-US" w:eastAsia="zh-CN"/>
              </w:rPr>
              <w:t>21.32</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0.49</w:t>
            </w:r>
          </w:p>
        </w:tc>
      </w:tr>
    </w:tbl>
    <w:p>
      <w:pPr>
        <w:widowControl/>
        <w:jc w:val="left"/>
        <w:rPr>
          <w:rFonts w:hint="eastAsia" w:ascii="宋体" w:eastAsia="宋体" w:cs="宋体"/>
          <w:kern w:val="0"/>
          <w:sz w:val="24"/>
          <w:szCs w:val="24"/>
        </w:rPr>
        <w:sectPr>
          <w:headerReference r:id="rId4" w:type="default"/>
          <w:footerReference r:id="rId5" w:type="default"/>
          <w:pgSz w:w="16838" w:h="11906" w:orient="landscape"/>
          <w:pgMar w:top="720" w:right="720" w:bottom="720" w:left="720" w:header="851" w:footer="1247" w:gutter="0"/>
          <w:pgNumType w:fmt="decimal"/>
          <w:cols w:space="425" w:num="1"/>
          <w:docGrid w:type="lines" w:linePitch="312" w:charSpace="0"/>
        </w:sectPr>
      </w:pPr>
      <w:r>
        <w:rPr>
          <w:rFonts w:hint="eastAsia" w:ascii="宋体" w:eastAsia="宋体" w:cs="宋体"/>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widowControl/>
        <w:jc w:val="left"/>
        <w:rPr>
          <w:rFonts w:ascii="宋体" w:eastAsia="宋体" w:cs="宋体"/>
          <w:kern w:val="0"/>
          <w:sz w:val="24"/>
          <w:szCs w:val="24"/>
        </w:rPr>
      </w:pPr>
    </w:p>
    <w:p>
      <w:pPr>
        <w:pStyle w:val="11"/>
        <w:rPr>
          <w:rFonts w:hint="default" w:asciiTheme="minorEastAsia" w:hAnsiTheme="minorEastAsia" w:eastAsiaTheme="minorEastAsia"/>
          <w:sz w:val="32"/>
          <w:szCs w:val="32"/>
          <w:lang w:val="en-US" w:eastAsia="zh-CN"/>
        </w:rPr>
      </w:pPr>
    </w:p>
    <w:p>
      <w:pPr>
        <w:pStyle w:val="14"/>
        <w:keepNext w:val="0"/>
        <w:keepLines w:val="0"/>
        <w:widowControl w:val="0"/>
        <w:numPr>
          <w:ilvl w:val="0"/>
          <w:numId w:val="0"/>
        </w:numPr>
        <w:suppressLineNumbers w:val="0"/>
        <w:overflowPunct w:val="0"/>
        <w:spacing w:before="0" w:beforeAutospacing="0" w:after="0" w:afterAutospacing="0" w:line="596" w:lineRule="exact"/>
        <w:ind w:leftChars="0" w:right="0" w:rightChars="0"/>
        <w:jc w:val="center"/>
        <w:rPr>
          <w:rFonts w:hint="default" w:ascii="Times New Roman" w:hAnsi="Times New Roman" w:eastAsia="方正小标宋简体" w:cs="Times New Roman"/>
          <w:kern w:val="0"/>
          <w:sz w:val="42"/>
          <w:szCs w:val="42"/>
          <w:shd w:val="clear" w:fill="FFFFFF"/>
        </w:rPr>
      </w:pPr>
      <w:r>
        <w:rPr>
          <w:rFonts w:hint="default" w:ascii="Times New Roman" w:hAnsi="Times New Roman" w:eastAsia="方正小标宋简体" w:cs="Times New Roman"/>
          <w:kern w:val="0"/>
          <w:sz w:val="42"/>
          <w:szCs w:val="42"/>
          <w:shd w:val="clear" w:fill="FFFFFF"/>
          <w:lang w:val="en-US" w:eastAsia="zh-CN"/>
        </w:rPr>
        <w:t xml:space="preserve">第三部分    </w:t>
      </w:r>
      <w:r>
        <w:rPr>
          <w:rFonts w:hint="default" w:ascii="Times New Roman" w:hAnsi="Times New Roman" w:eastAsia="方正小标宋简体" w:cs="Times New Roman"/>
          <w:kern w:val="0"/>
          <w:sz w:val="42"/>
          <w:szCs w:val="42"/>
          <w:shd w:val="clear" w:fill="FFFFFF"/>
        </w:rPr>
        <w:t>202</w:t>
      </w:r>
      <w:r>
        <w:rPr>
          <w:rFonts w:hint="eastAsia" w:ascii="Times New Roman" w:hAnsi="Times New Roman" w:eastAsia="方正小标宋简体" w:cs="Times New Roman"/>
          <w:kern w:val="0"/>
          <w:sz w:val="42"/>
          <w:szCs w:val="42"/>
          <w:shd w:val="clear" w:fill="FFFFFF"/>
          <w:lang w:val="en-US" w:eastAsia="zh-CN"/>
        </w:rPr>
        <w:t>2</w:t>
      </w:r>
      <w:r>
        <w:rPr>
          <w:rFonts w:hint="default" w:ascii="Times New Roman" w:hAnsi="Times New Roman" w:eastAsia="方正小标宋简体" w:cs="Times New Roman"/>
          <w:kern w:val="0"/>
          <w:sz w:val="42"/>
          <w:szCs w:val="42"/>
          <w:shd w:val="clear" w:fill="FFFFFF"/>
        </w:rPr>
        <w:t>年度部门决算情况说明</w:t>
      </w:r>
    </w:p>
    <w:p>
      <w:pPr>
        <w:pStyle w:val="11"/>
        <w:rPr>
          <w:rFonts w:asciiTheme="minorEastAsia" w:hAnsiTheme="minorEastAsia" w:eastAsiaTheme="minorEastAsia"/>
          <w:sz w:val="32"/>
          <w:szCs w:val="32"/>
        </w:rPr>
      </w:pP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一、收入支出决算总体情况说明</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yellow"/>
          <w:lang w:val="en-US" w:eastAsia="zh-CN" w:bidi="ar"/>
        </w:rPr>
      </w:pPr>
      <w:r>
        <w:rPr>
          <w:rFonts w:hint="eastAsia" w:ascii="Times New Roman" w:hAnsi="Times New Roman" w:eastAsia="仿宋_GB2312" w:cs="Times New Roman"/>
          <w:kern w:val="0"/>
          <w:sz w:val="32"/>
          <w:szCs w:val="32"/>
          <w:lang w:val="en-US" w:eastAsia="zh-CN" w:bidi="ar"/>
        </w:rPr>
        <w:t>2022年度收、支总计4712.11万元。与上年相比，增加2514.89万元，</w:t>
      </w:r>
      <w:r>
        <w:rPr>
          <w:rFonts w:hint="eastAsia" w:ascii="Times New Roman" w:hAnsi="Times New Roman" w:eastAsia="仿宋_GB2312" w:cs="Times New Roman"/>
          <w:kern w:val="0"/>
          <w:sz w:val="32"/>
          <w:szCs w:val="32"/>
          <w:highlight w:val="none"/>
          <w:lang w:val="en-US" w:eastAsia="zh-CN" w:bidi="ar"/>
        </w:rPr>
        <w:t>主要是因为</w:t>
      </w:r>
      <w:r>
        <w:rPr>
          <w:rFonts w:hint="default" w:ascii="Times New Roman" w:hAnsi="Times New Roman" w:eastAsia="仿宋_GB2312" w:cs="Times New Roman"/>
          <w:kern w:val="0"/>
          <w:sz w:val="32"/>
          <w:szCs w:val="32"/>
          <w:highlight w:val="none"/>
          <w:lang w:val="en-US" w:eastAsia="zh-CN" w:bidi="ar"/>
        </w:rPr>
        <w:t>本年度</w:t>
      </w:r>
      <w:r>
        <w:rPr>
          <w:rFonts w:hint="eastAsia" w:ascii="Times New Roman" w:hAnsi="Times New Roman" w:eastAsia="仿宋_GB2312" w:cs="Times New Roman"/>
          <w:kern w:val="0"/>
          <w:sz w:val="32"/>
          <w:szCs w:val="32"/>
          <w:highlight w:val="none"/>
          <w:lang w:val="en-US" w:eastAsia="zh-CN" w:bidi="ar"/>
        </w:rPr>
        <w:t>对长株潭都市圈</w:t>
      </w:r>
      <w:r>
        <w:rPr>
          <w:rFonts w:hint="default" w:ascii="Times New Roman" w:hAnsi="Times New Roman" w:eastAsia="仿宋_GB2312" w:cs="Times New Roman"/>
          <w:kern w:val="0"/>
          <w:sz w:val="32"/>
          <w:szCs w:val="32"/>
          <w:highlight w:val="none"/>
          <w:lang w:val="en-US" w:eastAsia="zh-CN" w:bidi="ar"/>
        </w:rPr>
        <w:t>展示馆</w:t>
      </w:r>
      <w:r>
        <w:rPr>
          <w:rFonts w:hint="eastAsia" w:ascii="Times New Roman" w:hAnsi="Times New Roman" w:eastAsia="仿宋_GB2312" w:cs="Times New Roman"/>
          <w:kern w:val="0"/>
          <w:sz w:val="32"/>
          <w:szCs w:val="32"/>
          <w:highlight w:val="none"/>
          <w:lang w:val="en-US" w:eastAsia="zh-CN" w:bidi="ar"/>
        </w:rPr>
        <w:t>进行</w:t>
      </w:r>
      <w:r>
        <w:rPr>
          <w:rFonts w:hint="default" w:ascii="Times New Roman" w:hAnsi="Times New Roman" w:eastAsia="仿宋_GB2312" w:cs="Times New Roman"/>
          <w:kern w:val="0"/>
          <w:sz w:val="32"/>
          <w:szCs w:val="32"/>
          <w:highlight w:val="none"/>
          <w:lang w:val="en-US" w:eastAsia="zh-CN" w:bidi="ar"/>
        </w:rPr>
        <w:t>升级改造</w:t>
      </w:r>
      <w:r>
        <w:rPr>
          <w:rFonts w:hint="eastAsia" w:ascii="Times New Roman" w:hAnsi="Times New Roman" w:eastAsia="仿宋_GB2312" w:cs="Times New Roman"/>
          <w:kern w:val="0"/>
          <w:sz w:val="32"/>
          <w:szCs w:val="32"/>
          <w:highlight w:val="none"/>
          <w:lang w:val="en-US" w:eastAsia="zh-CN" w:bidi="ar"/>
        </w:rPr>
        <w:t>，主要增加了项目开支</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收支总计</w:t>
      </w:r>
      <w:r>
        <w:rPr>
          <w:rFonts w:hint="default" w:ascii="Times New Roman" w:hAnsi="Times New Roman" w:eastAsia="仿宋_GB2312" w:cs="Times New Roman"/>
          <w:kern w:val="0"/>
          <w:sz w:val="32"/>
          <w:szCs w:val="32"/>
          <w:highlight w:val="none"/>
          <w:lang w:val="en-US" w:eastAsia="zh-CN" w:bidi="ar"/>
        </w:rPr>
        <w:t>较上年</w:t>
      </w:r>
      <w:r>
        <w:rPr>
          <w:rFonts w:hint="eastAsia" w:ascii="Times New Roman" w:hAnsi="Times New Roman" w:eastAsia="仿宋_GB2312" w:cs="Times New Roman"/>
          <w:kern w:val="0"/>
          <w:sz w:val="32"/>
          <w:szCs w:val="32"/>
          <w:highlight w:val="none"/>
          <w:lang w:val="en-US" w:eastAsia="zh-CN" w:bidi="ar"/>
        </w:rPr>
        <w:t>有所</w:t>
      </w:r>
      <w:r>
        <w:rPr>
          <w:rFonts w:hint="default" w:ascii="Times New Roman" w:hAnsi="Times New Roman" w:eastAsia="仿宋_GB2312" w:cs="Times New Roman"/>
          <w:kern w:val="0"/>
          <w:sz w:val="32"/>
          <w:szCs w:val="32"/>
          <w:highlight w:val="none"/>
          <w:lang w:val="en-US" w:eastAsia="zh-CN" w:bidi="ar"/>
        </w:rPr>
        <w:t>增</w:t>
      </w:r>
      <w:r>
        <w:rPr>
          <w:rFonts w:hint="eastAsia" w:ascii="Times New Roman" w:hAnsi="Times New Roman" w:eastAsia="仿宋_GB2312" w:cs="Times New Roman"/>
          <w:kern w:val="0"/>
          <w:sz w:val="32"/>
          <w:szCs w:val="32"/>
          <w:highlight w:val="none"/>
          <w:lang w:val="en-US" w:eastAsia="zh-CN" w:bidi="ar"/>
        </w:rPr>
        <w:t>长</w:t>
      </w:r>
      <w:r>
        <w:rPr>
          <w:rFonts w:hint="default"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二、收入决算情况说明</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2022年度收入合计4575.54万元，其中：财政拨款收入4575.54万元，占100%。</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三、支出决算情况说明</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2022年度支出合计4137.07万元，其中：基本支出1291.18万元，占31.21%；项目支出2845.89万元，占68.79%。</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四、财政拨款收入支出决算总体情况说明</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2022年度财政拨款收、支总计4712.11万元，与上年相比，增加2514.89万元，</w:t>
      </w:r>
      <w:r>
        <w:rPr>
          <w:rFonts w:hint="eastAsia" w:ascii="Times New Roman" w:hAnsi="Times New Roman" w:eastAsia="仿宋_GB2312" w:cs="Times New Roman"/>
          <w:kern w:val="0"/>
          <w:sz w:val="32"/>
          <w:szCs w:val="32"/>
          <w:highlight w:val="none"/>
          <w:lang w:val="en-US" w:eastAsia="zh-CN" w:bidi="ar"/>
        </w:rPr>
        <w:t>主要是因为</w:t>
      </w:r>
      <w:r>
        <w:rPr>
          <w:rFonts w:hint="default" w:ascii="Times New Roman" w:hAnsi="Times New Roman" w:eastAsia="仿宋_GB2312" w:cs="Times New Roman"/>
          <w:kern w:val="0"/>
          <w:sz w:val="32"/>
          <w:szCs w:val="32"/>
          <w:highlight w:val="none"/>
          <w:lang w:val="en-US" w:eastAsia="zh-CN" w:bidi="ar"/>
        </w:rPr>
        <w:t>本年度</w:t>
      </w:r>
      <w:r>
        <w:rPr>
          <w:rFonts w:hint="eastAsia" w:ascii="Times New Roman" w:hAnsi="Times New Roman" w:eastAsia="仿宋_GB2312" w:cs="Times New Roman"/>
          <w:kern w:val="0"/>
          <w:sz w:val="32"/>
          <w:szCs w:val="32"/>
          <w:highlight w:val="none"/>
          <w:lang w:val="en-US" w:eastAsia="zh-CN" w:bidi="ar"/>
        </w:rPr>
        <w:t>对长株潭都市圈</w:t>
      </w:r>
      <w:r>
        <w:rPr>
          <w:rFonts w:hint="default" w:ascii="Times New Roman" w:hAnsi="Times New Roman" w:eastAsia="仿宋_GB2312" w:cs="Times New Roman"/>
          <w:kern w:val="0"/>
          <w:sz w:val="32"/>
          <w:szCs w:val="32"/>
          <w:highlight w:val="none"/>
          <w:lang w:val="en-US" w:eastAsia="zh-CN" w:bidi="ar"/>
        </w:rPr>
        <w:t>展示馆</w:t>
      </w:r>
      <w:r>
        <w:rPr>
          <w:rFonts w:hint="eastAsia" w:ascii="Times New Roman" w:hAnsi="Times New Roman" w:eastAsia="仿宋_GB2312" w:cs="Times New Roman"/>
          <w:kern w:val="0"/>
          <w:sz w:val="32"/>
          <w:szCs w:val="32"/>
          <w:highlight w:val="none"/>
          <w:lang w:val="en-US" w:eastAsia="zh-CN" w:bidi="ar"/>
        </w:rPr>
        <w:t>进行</w:t>
      </w:r>
      <w:r>
        <w:rPr>
          <w:rFonts w:hint="default" w:ascii="Times New Roman" w:hAnsi="Times New Roman" w:eastAsia="仿宋_GB2312" w:cs="Times New Roman"/>
          <w:kern w:val="0"/>
          <w:sz w:val="32"/>
          <w:szCs w:val="32"/>
          <w:highlight w:val="none"/>
          <w:lang w:val="en-US" w:eastAsia="zh-CN" w:bidi="ar"/>
        </w:rPr>
        <w:t>升级改造</w:t>
      </w:r>
      <w:r>
        <w:rPr>
          <w:rFonts w:hint="eastAsia" w:ascii="Times New Roman" w:hAnsi="Times New Roman" w:eastAsia="仿宋_GB2312" w:cs="Times New Roman"/>
          <w:kern w:val="0"/>
          <w:sz w:val="32"/>
          <w:szCs w:val="32"/>
          <w:highlight w:val="none"/>
          <w:lang w:val="en-US" w:eastAsia="zh-CN" w:bidi="ar"/>
        </w:rPr>
        <w:t>，主要增加了项目开支</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lang w:val="en-US" w:eastAsia="zh-CN" w:bidi="ar"/>
        </w:rPr>
        <w:t>财政拨款</w:t>
      </w:r>
      <w:r>
        <w:rPr>
          <w:rFonts w:hint="eastAsia" w:ascii="Times New Roman" w:hAnsi="Times New Roman" w:eastAsia="仿宋_GB2312" w:cs="Times New Roman"/>
          <w:kern w:val="0"/>
          <w:sz w:val="32"/>
          <w:szCs w:val="32"/>
          <w:highlight w:val="none"/>
          <w:lang w:val="en-US" w:eastAsia="zh-CN" w:bidi="ar"/>
        </w:rPr>
        <w:t>收支总计</w:t>
      </w:r>
      <w:r>
        <w:rPr>
          <w:rFonts w:hint="default" w:ascii="Times New Roman" w:hAnsi="Times New Roman" w:eastAsia="仿宋_GB2312" w:cs="Times New Roman"/>
          <w:kern w:val="0"/>
          <w:sz w:val="32"/>
          <w:szCs w:val="32"/>
          <w:highlight w:val="none"/>
          <w:lang w:val="en-US" w:eastAsia="zh-CN" w:bidi="ar"/>
        </w:rPr>
        <w:t>较上年</w:t>
      </w:r>
      <w:r>
        <w:rPr>
          <w:rFonts w:hint="eastAsia" w:ascii="Times New Roman" w:hAnsi="Times New Roman" w:eastAsia="仿宋_GB2312" w:cs="Times New Roman"/>
          <w:kern w:val="0"/>
          <w:sz w:val="32"/>
          <w:szCs w:val="32"/>
          <w:highlight w:val="none"/>
          <w:lang w:val="en-US" w:eastAsia="zh-CN" w:bidi="ar"/>
        </w:rPr>
        <w:t>有所</w:t>
      </w:r>
      <w:r>
        <w:rPr>
          <w:rFonts w:hint="default" w:ascii="Times New Roman" w:hAnsi="Times New Roman" w:eastAsia="仿宋_GB2312" w:cs="Times New Roman"/>
          <w:kern w:val="0"/>
          <w:sz w:val="32"/>
          <w:szCs w:val="32"/>
          <w:highlight w:val="none"/>
          <w:lang w:val="en-US" w:eastAsia="zh-CN" w:bidi="ar"/>
        </w:rPr>
        <w:t>增</w:t>
      </w:r>
      <w:r>
        <w:rPr>
          <w:rFonts w:hint="eastAsia" w:ascii="Times New Roman" w:hAnsi="Times New Roman" w:eastAsia="仿宋_GB2312" w:cs="Times New Roman"/>
          <w:kern w:val="0"/>
          <w:sz w:val="32"/>
          <w:szCs w:val="32"/>
          <w:highlight w:val="none"/>
          <w:lang w:val="en-US" w:eastAsia="zh-CN" w:bidi="ar"/>
        </w:rPr>
        <w:t>长</w:t>
      </w:r>
      <w:r>
        <w:rPr>
          <w:rFonts w:hint="default"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五、一般公共预算财政拨款支出决算情况说明</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default"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（一）财政拨款支出决算总体情况</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2022年度财政拨款支出4137.07万元，占本年支出合计的100%，与上年相比，财政拨款支出增加2349.11万元，</w:t>
      </w:r>
      <w:r>
        <w:rPr>
          <w:rFonts w:hint="eastAsia" w:ascii="Times New Roman" w:hAnsi="Times New Roman" w:eastAsia="仿宋_GB2312" w:cs="Times New Roman"/>
          <w:kern w:val="0"/>
          <w:sz w:val="32"/>
          <w:szCs w:val="32"/>
          <w:highlight w:val="none"/>
          <w:lang w:val="en-US" w:eastAsia="zh-CN" w:bidi="ar"/>
        </w:rPr>
        <w:t>主要是因为</w:t>
      </w:r>
      <w:r>
        <w:rPr>
          <w:rFonts w:hint="default" w:ascii="Times New Roman" w:hAnsi="Times New Roman" w:eastAsia="仿宋_GB2312" w:cs="Times New Roman"/>
          <w:kern w:val="0"/>
          <w:sz w:val="32"/>
          <w:szCs w:val="32"/>
          <w:highlight w:val="none"/>
          <w:lang w:val="en-US" w:eastAsia="zh-CN" w:bidi="ar"/>
        </w:rPr>
        <w:t>本年度</w:t>
      </w:r>
      <w:r>
        <w:rPr>
          <w:rFonts w:hint="eastAsia" w:ascii="Times New Roman" w:hAnsi="Times New Roman" w:eastAsia="仿宋_GB2312" w:cs="Times New Roman"/>
          <w:kern w:val="0"/>
          <w:sz w:val="32"/>
          <w:szCs w:val="32"/>
          <w:highlight w:val="none"/>
          <w:lang w:val="en-US" w:eastAsia="zh-CN" w:bidi="ar"/>
        </w:rPr>
        <w:t>对长株潭都市圈</w:t>
      </w:r>
      <w:r>
        <w:rPr>
          <w:rFonts w:hint="default" w:ascii="Times New Roman" w:hAnsi="Times New Roman" w:eastAsia="仿宋_GB2312" w:cs="Times New Roman"/>
          <w:kern w:val="0"/>
          <w:sz w:val="32"/>
          <w:szCs w:val="32"/>
          <w:highlight w:val="none"/>
          <w:lang w:val="en-US" w:eastAsia="zh-CN" w:bidi="ar"/>
        </w:rPr>
        <w:t>展示馆</w:t>
      </w:r>
      <w:r>
        <w:rPr>
          <w:rFonts w:hint="eastAsia" w:ascii="Times New Roman" w:hAnsi="Times New Roman" w:eastAsia="仿宋_GB2312" w:cs="Times New Roman"/>
          <w:kern w:val="0"/>
          <w:sz w:val="32"/>
          <w:szCs w:val="32"/>
          <w:highlight w:val="none"/>
          <w:lang w:val="en-US" w:eastAsia="zh-CN" w:bidi="ar"/>
        </w:rPr>
        <w:t>进行</w:t>
      </w:r>
      <w:r>
        <w:rPr>
          <w:rFonts w:hint="default" w:ascii="Times New Roman" w:hAnsi="Times New Roman" w:eastAsia="仿宋_GB2312" w:cs="Times New Roman"/>
          <w:kern w:val="0"/>
          <w:sz w:val="32"/>
          <w:szCs w:val="32"/>
          <w:highlight w:val="none"/>
          <w:lang w:val="en-US" w:eastAsia="zh-CN" w:bidi="ar"/>
        </w:rPr>
        <w:t>升级改造</w:t>
      </w:r>
      <w:r>
        <w:rPr>
          <w:rFonts w:hint="eastAsia" w:ascii="Times New Roman" w:hAnsi="Times New Roman" w:eastAsia="仿宋_GB2312" w:cs="Times New Roman"/>
          <w:kern w:val="0"/>
          <w:sz w:val="32"/>
          <w:szCs w:val="32"/>
          <w:highlight w:val="none"/>
          <w:lang w:val="en-US" w:eastAsia="zh-CN" w:bidi="ar"/>
        </w:rPr>
        <w:t>，主要增加了项目开支</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lang w:val="en-US" w:eastAsia="zh-CN" w:bidi="ar"/>
        </w:rPr>
        <w:t>财政拨款支出</w:t>
      </w:r>
      <w:r>
        <w:rPr>
          <w:rFonts w:hint="default" w:ascii="Times New Roman" w:hAnsi="Times New Roman" w:eastAsia="仿宋_GB2312" w:cs="Times New Roman"/>
          <w:kern w:val="0"/>
          <w:sz w:val="32"/>
          <w:szCs w:val="32"/>
          <w:highlight w:val="none"/>
          <w:lang w:val="en-US" w:eastAsia="zh-CN" w:bidi="ar"/>
        </w:rPr>
        <w:t>较上年</w:t>
      </w:r>
      <w:r>
        <w:rPr>
          <w:rFonts w:hint="eastAsia" w:ascii="Times New Roman" w:hAnsi="Times New Roman" w:eastAsia="仿宋_GB2312" w:cs="Times New Roman"/>
          <w:kern w:val="0"/>
          <w:sz w:val="32"/>
          <w:szCs w:val="32"/>
          <w:highlight w:val="none"/>
          <w:lang w:val="en-US" w:eastAsia="zh-CN" w:bidi="ar"/>
        </w:rPr>
        <w:t>有所</w:t>
      </w:r>
      <w:r>
        <w:rPr>
          <w:rFonts w:hint="default" w:ascii="Times New Roman" w:hAnsi="Times New Roman" w:eastAsia="仿宋_GB2312" w:cs="Times New Roman"/>
          <w:kern w:val="0"/>
          <w:sz w:val="32"/>
          <w:szCs w:val="32"/>
          <w:highlight w:val="none"/>
          <w:lang w:val="en-US" w:eastAsia="zh-CN" w:bidi="ar"/>
        </w:rPr>
        <w:t>增</w:t>
      </w:r>
      <w:r>
        <w:rPr>
          <w:rFonts w:hint="eastAsia" w:ascii="Times New Roman" w:hAnsi="Times New Roman" w:eastAsia="仿宋_GB2312" w:cs="Times New Roman"/>
          <w:kern w:val="0"/>
          <w:sz w:val="32"/>
          <w:szCs w:val="32"/>
          <w:highlight w:val="none"/>
          <w:lang w:val="en-US" w:eastAsia="zh-CN" w:bidi="ar"/>
        </w:rPr>
        <w:t>长</w:t>
      </w:r>
      <w:r>
        <w:rPr>
          <w:rFonts w:hint="default" w:ascii="Times New Roman" w:hAnsi="Times New Roman" w:eastAsia="仿宋_GB2312" w:cs="Times New Roman"/>
          <w:kern w:val="0"/>
          <w:sz w:val="32"/>
          <w:szCs w:val="32"/>
          <w:highlight w:val="none"/>
          <w:lang w:val="en-US" w:eastAsia="zh-CN" w:bidi="ar"/>
        </w:rPr>
        <w:t>。</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（二）财政拨款支出决算结构情况</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2022年度财政拨款支出4137.07万元，主要用于以下方面：一般公共服务（类）支出4010.97万元，占96.95%；</w:t>
      </w:r>
      <w:r>
        <w:rPr>
          <w:rFonts w:hint="default" w:ascii="Times New Roman" w:hAnsi="Times New Roman" w:eastAsia="仿宋_GB2312" w:cs="Times New Roman"/>
          <w:kern w:val="0"/>
          <w:sz w:val="32"/>
          <w:szCs w:val="32"/>
          <w:lang w:val="en-US" w:eastAsia="zh-CN" w:bidi="ar"/>
        </w:rPr>
        <w:t>社会保障和就业</w:t>
      </w:r>
      <w:r>
        <w:rPr>
          <w:rFonts w:hint="eastAsia" w:ascii="Times New Roman" w:hAnsi="Times New Roman" w:eastAsia="仿宋_GB2312" w:cs="Times New Roman"/>
          <w:kern w:val="0"/>
          <w:sz w:val="32"/>
          <w:szCs w:val="32"/>
          <w:lang w:val="en-US" w:eastAsia="zh-CN" w:bidi="ar"/>
        </w:rPr>
        <w:t>（类）支出55.33万元，占1.34%；</w:t>
      </w:r>
      <w:r>
        <w:rPr>
          <w:rFonts w:hint="default" w:ascii="Times New Roman" w:hAnsi="Times New Roman" w:eastAsia="仿宋_GB2312" w:cs="Times New Roman"/>
          <w:kern w:val="0"/>
          <w:sz w:val="32"/>
          <w:szCs w:val="32"/>
          <w:lang w:val="en-US" w:eastAsia="zh-CN" w:bidi="ar"/>
        </w:rPr>
        <w:t>住房保障（类）支出70.78万元，占</w:t>
      </w:r>
      <w:r>
        <w:rPr>
          <w:rFonts w:hint="eastAsia" w:ascii="Times New Roman" w:hAnsi="Times New Roman" w:eastAsia="仿宋_GB2312" w:cs="Times New Roman"/>
          <w:kern w:val="0"/>
          <w:sz w:val="32"/>
          <w:szCs w:val="32"/>
          <w:lang w:val="en-US" w:eastAsia="zh-CN" w:bidi="ar"/>
        </w:rPr>
        <w:t>1.71</w:t>
      </w:r>
      <w:r>
        <w:rPr>
          <w:rFonts w:hint="default" w:ascii="Times New Roman" w:hAnsi="Times New Roman" w:eastAsia="仿宋_GB2312" w:cs="Times New Roman"/>
          <w:kern w:val="0"/>
          <w:sz w:val="32"/>
          <w:szCs w:val="32"/>
          <w:lang w:val="en-US" w:eastAsia="zh-CN" w:bidi="ar"/>
        </w:rPr>
        <w:t>%。</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（三）财政拨款支出决算具体情况</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2022年度财政拨款支出年初预算数为4712.11万元，支出决算数为4137.07万元，完成年初预算的87.8%，其中：</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1、一般公共服务支出（类）。</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w:t>
      </w:r>
      <w:r>
        <w:rPr>
          <w:rFonts w:hint="eastAsia" w:ascii="Times New Roman" w:hAnsi="Times New Roman" w:eastAsia="仿宋_GB2312" w:cs="Times New Roman"/>
          <w:kern w:val="0"/>
          <w:sz w:val="32"/>
          <w:szCs w:val="32"/>
          <w:highlight w:val="none"/>
          <w:lang w:val="en-US" w:eastAsia="zh-CN" w:bidi="ar"/>
        </w:rPr>
        <w:t>4576.11</w:t>
      </w:r>
      <w:r>
        <w:rPr>
          <w:rFonts w:hint="default" w:ascii="Times New Roman" w:hAnsi="Times New Roman" w:eastAsia="仿宋_GB2312" w:cs="Times New Roman"/>
          <w:kern w:val="0"/>
          <w:sz w:val="32"/>
          <w:szCs w:val="32"/>
          <w:highlight w:val="none"/>
          <w:lang w:val="en-US" w:eastAsia="zh-CN" w:bidi="ar"/>
        </w:rPr>
        <w:t>万元，支出决算为</w:t>
      </w:r>
      <w:r>
        <w:rPr>
          <w:rFonts w:hint="eastAsia" w:ascii="Times New Roman" w:hAnsi="Times New Roman" w:eastAsia="仿宋_GB2312" w:cs="Times New Roman"/>
          <w:kern w:val="0"/>
          <w:sz w:val="32"/>
          <w:szCs w:val="32"/>
          <w:highlight w:val="none"/>
          <w:lang w:val="en-US" w:eastAsia="zh-CN" w:bidi="ar"/>
        </w:rPr>
        <w:t>4010.97</w:t>
      </w:r>
      <w:r>
        <w:rPr>
          <w:rFonts w:hint="default" w:ascii="Times New Roman" w:hAnsi="Times New Roman" w:eastAsia="仿宋_GB2312" w:cs="Times New Roman"/>
          <w:kern w:val="0"/>
          <w:sz w:val="32"/>
          <w:szCs w:val="32"/>
          <w:highlight w:val="none"/>
          <w:lang w:val="en-US" w:eastAsia="zh-CN" w:bidi="ar"/>
        </w:rPr>
        <w:t>万元，完成预算的</w:t>
      </w:r>
      <w:r>
        <w:rPr>
          <w:rFonts w:hint="eastAsia" w:ascii="Times New Roman" w:hAnsi="Times New Roman" w:eastAsia="仿宋_GB2312" w:cs="Times New Roman"/>
          <w:kern w:val="0"/>
          <w:sz w:val="32"/>
          <w:szCs w:val="32"/>
          <w:highlight w:val="none"/>
          <w:lang w:val="en-US" w:eastAsia="zh-CN" w:bidi="ar"/>
        </w:rPr>
        <w:t>87.65</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。其中：</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发展与改革事务支出（款）决算数按项分类为：行政运行支出（项）1165.08万元，其他发展与改革事务支出（项）2827.05万元。</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财政事务支出（款）决算数按项分类为：其他财政事务支出（项）18.84万元。</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2、社会保障和就业支出（类）。</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w:t>
      </w:r>
      <w:r>
        <w:rPr>
          <w:rFonts w:hint="eastAsia" w:ascii="Times New Roman" w:hAnsi="Times New Roman" w:eastAsia="仿宋_GB2312" w:cs="Times New Roman"/>
          <w:kern w:val="0"/>
          <w:sz w:val="32"/>
          <w:szCs w:val="32"/>
          <w:highlight w:val="none"/>
          <w:lang w:val="en-US" w:eastAsia="zh-CN" w:bidi="ar"/>
        </w:rPr>
        <w:t>56</w:t>
      </w:r>
      <w:r>
        <w:rPr>
          <w:rFonts w:hint="default" w:ascii="Times New Roman" w:hAnsi="Times New Roman" w:eastAsia="仿宋_GB2312" w:cs="Times New Roman"/>
          <w:kern w:val="0"/>
          <w:sz w:val="32"/>
          <w:szCs w:val="32"/>
          <w:highlight w:val="none"/>
          <w:lang w:val="en-US" w:eastAsia="zh-CN" w:bidi="ar"/>
        </w:rPr>
        <w:t>万元，支出决算为55.33万元，完成预算的</w:t>
      </w:r>
      <w:r>
        <w:rPr>
          <w:rFonts w:hint="eastAsia" w:ascii="Times New Roman" w:hAnsi="Times New Roman" w:eastAsia="仿宋_GB2312" w:cs="Times New Roman"/>
          <w:kern w:val="0"/>
          <w:sz w:val="32"/>
          <w:szCs w:val="32"/>
          <w:highlight w:val="none"/>
          <w:lang w:val="en-US" w:eastAsia="zh-CN" w:bidi="ar"/>
        </w:rPr>
        <w:t>98.8</w:t>
      </w:r>
      <w:r>
        <w:rPr>
          <w:rFonts w:hint="default"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行政事业单位养老支出（款）决算数按项分类为：机关事业单位基本养老保险缴费支出（项）55.33万元。</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3、住房保障支出（类）。</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预算为</w:t>
      </w:r>
      <w:r>
        <w:rPr>
          <w:rFonts w:hint="eastAsia" w:ascii="Times New Roman" w:hAnsi="Times New Roman" w:eastAsia="仿宋_GB2312" w:cs="Times New Roman"/>
          <w:kern w:val="0"/>
          <w:sz w:val="32"/>
          <w:szCs w:val="32"/>
          <w:highlight w:val="none"/>
          <w:lang w:val="en-US" w:eastAsia="zh-CN" w:bidi="ar"/>
        </w:rPr>
        <w:t>80</w:t>
      </w:r>
      <w:r>
        <w:rPr>
          <w:rFonts w:hint="default" w:ascii="Times New Roman" w:hAnsi="Times New Roman" w:eastAsia="仿宋_GB2312" w:cs="Times New Roman"/>
          <w:kern w:val="0"/>
          <w:sz w:val="32"/>
          <w:szCs w:val="32"/>
          <w:highlight w:val="none"/>
          <w:lang w:val="en-US" w:eastAsia="zh-CN" w:bidi="ar"/>
        </w:rPr>
        <w:t>万元，支出决算为</w:t>
      </w:r>
      <w:r>
        <w:rPr>
          <w:rFonts w:hint="eastAsia" w:ascii="Times New Roman" w:hAnsi="Times New Roman" w:eastAsia="仿宋_GB2312" w:cs="Times New Roman"/>
          <w:kern w:val="0"/>
          <w:sz w:val="32"/>
          <w:szCs w:val="32"/>
          <w:highlight w:val="none"/>
          <w:lang w:val="en-US" w:eastAsia="zh-CN" w:bidi="ar"/>
        </w:rPr>
        <w:t>70.78</w:t>
      </w:r>
      <w:r>
        <w:rPr>
          <w:rFonts w:hint="default" w:ascii="Times New Roman" w:hAnsi="Times New Roman" w:eastAsia="仿宋_GB2312" w:cs="Times New Roman"/>
          <w:kern w:val="0"/>
          <w:sz w:val="32"/>
          <w:szCs w:val="32"/>
          <w:highlight w:val="none"/>
          <w:lang w:val="en-US" w:eastAsia="zh-CN" w:bidi="ar"/>
        </w:rPr>
        <w:t>万元，完成预算的</w:t>
      </w:r>
      <w:r>
        <w:rPr>
          <w:rFonts w:hint="eastAsia" w:ascii="Times New Roman" w:hAnsi="Times New Roman" w:eastAsia="仿宋_GB2312" w:cs="Times New Roman"/>
          <w:kern w:val="0"/>
          <w:sz w:val="32"/>
          <w:szCs w:val="32"/>
          <w:highlight w:val="none"/>
          <w:lang w:val="en-US" w:eastAsia="zh-CN" w:bidi="ar"/>
        </w:rPr>
        <w:t>88.48</w:t>
      </w:r>
      <w:r>
        <w:rPr>
          <w:rFonts w:hint="default"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住房改革支出（款）决算数按项分类为：住房公积金支出（项）</w:t>
      </w:r>
      <w:r>
        <w:rPr>
          <w:rFonts w:hint="eastAsia" w:ascii="Times New Roman" w:hAnsi="Times New Roman" w:eastAsia="仿宋_GB2312" w:cs="Times New Roman"/>
          <w:kern w:val="0"/>
          <w:sz w:val="32"/>
          <w:szCs w:val="32"/>
          <w:highlight w:val="none"/>
          <w:lang w:val="en-US" w:eastAsia="zh-CN" w:bidi="ar"/>
        </w:rPr>
        <w:t>70.78</w:t>
      </w:r>
      <w:r>
        <w:rPr>
          <w:rFonts w:hint="default" w:ascii="Times New Roman" w:hAnsi="Times New Roman" w:eastAsia="仿宋_GB2312" w:cs="Times New Roman"/>
          <w:kern w:val="0"/>
          <w:sz w:val="32"/>
          <w:szCs w:val="32"/>
          <w:highlight w:val="none"/>
          <w:lang w:val="en-US" w:eastAsia="zh-CN" w:bidi="ar"/>
        </w:rPr>
        <w:t>万元。</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六、一般公共预算财政拨款基本支出决算情况说明</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lang w:val="en-US" w:eastAsia="zh-CN" w:bidi="ar"/>
        </w:rPr>
        <w:t>202</w:t>
      </w: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年度财政拨款基本支出</w:t>
      </w:r>
      <w:r>
        <w:rPr>
          <w:rFonts w:hint="eastAsia" w:ascii="Times New Roman" w:hAnsi="Times New Roman" w:eastAsia="仿宋_GB2312" w:cs="Times New Roman"/>
          <w:kern w:val="0"/>
          <w:sz w:val="32"/>
          <w:szCs w:val="32"/>
          <w:highlight w:val="none"/>
          <w:lang w:val="en-US" w:eastAsia="zh-CN" w:bidi="ar"/>
        </w:rPr>
        <w:t>1291.18</w:t>
      </w:r>
      <w:r>
        <w:rPr>
          <w:rFonts w:hint="default" w:ascii="Times New Roman" w:hAnsi="Times New Roman" w:eastAsia="仿宋_GB2312" w:cs="Times New Roman"/>
          <w:kern w:val="0"/>
          <w:sz w:val="32"/>
          <w:szCs w:val="32"/>
          <w:highlight w:val="none"/>
          <w:lang w:val="en-US" w:eastAsia="zh-CN" w:bidi="ar"/>
        </w:rPr>
        <w:t>万元，其中：</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人员经费1114.88万元，占基本支出的</w:t>
      </w:r>
      <w:r>
        <w:rPr>
          <w:rFonts w:hint="eastAsia" w:ascii="Times New Roman" w:hAnsi="Times New Roman" w:eastAsia="仿宋_GB2312" w:cs="Times New Roman"/>
          <w:kern w:val="0"/>
          <w:sz w:val="32"/>
          <w:szCs w:val="32"/>
          <w:highlight w:val="none"/>
          <w:lang w:val="en-US" w:eastAsia="zh-CN" w:bidi="ar"/>
        </w:rPr>
        <w:t>86.35</w:t>
      </w:r>
      <w:r>
        <w:rPr>
          <w:rFonts w:hint="default" w:ascii="Times New Roman" w:hAnsi="Times New Roman" w:eastAsia="仿宋_GB2312" w:cs="Times New Roman"/>
          <w:kern w:val="0"/>
          <w:sz w:val="32"/>
          <w:szCs w:val="32"/>
          <w:highlight w:val="none"/>
          <w:lang w:val="en-US" w:eastAsia="zh-CN" w:bidi="ar"/>
        </w:rPr>
        <w:t>%</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主要包括基本工资、津贴补贴、奖金、伙食补助费、机关事业单位基本养老保险缴费、职工基本医疗保险缴费、公务员医疗补助缴费、住房公积金</w:t>
      </w:r>
      <w:r>
        <w:rPr>
          <w:rFonts w:hint="eastAsia" w:ascii="Times New Roman" w:hAnsi="Times New Roman" w:eastAsia="仿宋_GB2312" w:cs="Times New Roman"/>
          <w:kern w:val="0"/>
          <w:sz w:val="32"/>
          <w:szCs w:val="32"/>
          <w:highlight w:val="none"/>
          <w:lang w:val="en-US" w:eastAsia="zh-CN" w:bidi="ar"/>
        </w:rPr>
        <w:t>、退休费、救济费、奖励金</w:t>
      </w:r>
      <w:r>
        <w:rPr>
          <w:rFonts w:hint="default" w:ascii="Times New Roman" w:hAnsi="Times New Roman" w:eastAsia="仿宋_GB2312" w:cs="Times New Roman"/>
          <w:kern w:val="0"/>
          <w:sz w:val="32"/>
          <w:szCs w:val="32"/>
          <w:highlight w:val="none"/>
          <w:lang w:val="en-US" w:eastAsia="zh-CN" w:bidi="ar"/>
        </w:rPr>
        <w:t>等</w:t>
      </w:r>
      <w:r>
        <w:rPr>
          <w:rFonts w:hint="eastAsia"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公用经费176.3万元，占基本支出的</w:t>
      </w:r>
      <w:r>
        <w:rPr>
          <w:rFonts w:hint="eastAsia" w:ascii="Times New Roman" w:hAnsi="Times New Roman" w:eastAsia="仿宋_GB2312" w:cs="Times New Roman"/>
          <w:kern w:val="0"/>
          <w:sz w:val="32"/>
          <w:szCs w:val="32"/>
          <w:highlight w:val="none"/>
          <w:lang w:val="en-US" w:eastAsia="zh-CN" w:bidi="ar"/>
        </w:rPr>
        <w:t>13.65</w:t>
      </w:r>
      <w:r>
        <w:rPr>
          <w:rFonts w:hint="default" w:ascii="Times New Roman" w:hAnsi="Times New Roman" w:eastAsia="仿宋_GB2312" w:cs="Times New Roman"/>
          <w:kern w:val="0"/>
          <w:sz w:val="32"/>
          <w:szCs w:val="32"/>
          <w:highlight w:val="none"/>
          <w:lang w:val="en-US" w:eastAsia="zh-CN" w:bidi="ar"/>
        </w:rPr>
        <w:t>%，主要包括办公费、水费、电费、邮电费、取暖费、物业管理费、差旅费</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维修（护）费</w:t>
      </w:r>
      <w:r>
        <w:rPr>
          <w:rFonts w:hint="eastAsia" w:ascii="Times New Roman" w:hAnsi="Times New Roman" w:eastAsia="仿宋_GB2312" w:cs="Times New Roman"/>
          <w:kern w:val="0"/>
          <w:sz w:val="32"/>
          <w:szCs w:val="32"/>
          <w:highlight w:val="none"/>
          <w:lang w:val="en-US" w:eastAsia="zh-CN" w:bidi="ar"/>
        </w:rPr>
        <w:t>、租赁费、劳务费</w:t>
      </w:r>
      <w:r>
        <w:rPr>
          <w:rFonts w:hint="default" w:ascii="Times New Roman" w:hAnsi="Times New Roman" w:eastAsia="仿宋_GB2312" w:cs="Times New Roman"/>
          <w:kern w:val="0"/>
          <w:sz w:val="32"/>
          <w:szCs w:val="32"/>
          <w:highlight w:val="none"/>
          <w:lang w:val="en-US" w:eastAsia="zh-CN" w:bidi="ar"/>
        </w:rPr>
        <w:t>等</w:t>
      </w:r>
      <w:r>
        <w:rPr>
          <w:rFonts w:hint="eastAsia"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七、财政拨款“三公”经费支出决算情况说明</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（一）“三公”经费财政拨款支出决算总体情况说明</w:t>
      </w:r>
    </w:p>
    <w:p>
      <w:pPr>
        <w:pStyle w:val="11"/>
        <w:keepNext w:val="0"/>
        <w:keepLines w:val="0"/>
        <w:pageBreakBefore w:val="0"/>
        <w:widowControl w:val="0"/>
        <w:kinsoku/>
        <w:wordWrap/>
        <w:topLinePunct w:val="0"/>
        <w:bidi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“三公”经费财政拨款支出预算为70万元，支出决算为38.09万元，完成预算的</w:t>
      </w:r>
      <w:r>
        <w:rPr>
          <w:rFonts w:hint="eastAsia" w:ascii="Times New Roman" w:hAnsi="Times New Roman" w:eastAsia="仿宋_GB2312" w:cs="Times New Roman"/>
          <w:kern w:val="0"/>
          <w:sz w:val="32"/>
          <w:szCs w:val="32"/>
          <w:lang w:val="en-US" w:eastAsia="zh-CN" w:bidi="ar"/>
        </w:rPr>
        <w:t>54.41</w:t>
      </w:r>
      <w:r>
        <w:rPr>
          <w:rFonts w:hint="default" w:ascii="Times New Roman" w:hAnsi="Times New Roman" w:eastAsia="仿宋_GB2312" w:cs="Times New Roman"/>
          <w:kern w:val="0"/>
          <w:sz w:val="32"/>
          <w:szCs w:val="32"/>
          <w:lang w:val="en-US" w:eastAsia="zh-CN" w:bidi="ar"/>
        </w:rPr>
        <w:t>%，其中：</w:t>
      </w:r>
    </w:p>
    <w:p>
      <w:pPr>
        <w:pStyle w:val="11"/>
        <w:ind w:firstLine="800" w:firstLineChars="250"/>
        <w:rPr>
          <w:rFonts w:asciiTheme="minorEastAsia" w:hAnsiTheme="minorEastAsia" w:eastAsiaTheme="minorEastAsia"/>
          <w:sz w:val="32"/>
          <w:szCs w:val="32"/>
          <w:highlight w:val="none"/>
        </w:rPr>
      </w:pPr>
      <w:r>
        <w:rPr>
          <w:rFonts w:hint="eastAsia" w:ascii="Times New Roman" w:hAnsi="Times New Roman" w:eastAsia="仿宋_GB2312" w:cs="Times New Roman"/>
          <w:kern w:val="0"/>
          <w:sz w:val="32"/>
          <w:szCs w:val="32"/>
          <w:highlight w:val="none"/>
          <w:lang w:val="en-US" w:eastAsia="zh-CN" w:bidi="ar"/>
        </w:rPr>
        <w:t>因公出国（境）费支出预算为23万元，支出决算为0万元</w:t>
      </w:r>
      <w:r>
        <w:rPr>
          <w:rFonts w:hint="default" w:ascii="Times New Roman" w:hAnsi="Times New Roman" w:eastAsia="仿宋_GB2312" w:cs="Times New Roman"/>
          <w:kern w:val="0"/>
          <w:sz w:val="32"/>
          <w:szCs w:val="32"/>
          <w:highlight w:val="none"/>
          <w:lang w:val="en-US" w:eastAsia="zh-CN" w:bidi="ar"/>
        </w:rPr>
        <w:t>，决算数小于预算数的主要原因是本年度为配合新冠肺炎疫情防控要求，未开展因公出国（境）工作；支出决算数与上年度支出金额持平。</w:t>
      </w:r>
    </w:p>
    <w:p>
      <w:pPr>
        <w:pStyle w:val="11"/>
        <w:ind w:firstLine="800" w:firstLineChars="250"/>
        <w:rPr>
          <w:rFonts w:asciiTheme="minorEastAsia" w:hAnsiTheme="minorEastAsia" w:eastAsiaTheme="minorEastAsia"/>
          <w:sz w:val="32"/>
          <w:szCs w:val="32"/>
        </w:rPr>
      </w:pPr>
      <w:r>
        <w:rPr>
          <w:rFonts w:hint="eastAsia" w:ascii="Times New Roman" w:hAnsi="Times New Roman" w:eastAsia="仿宋_GB2312" w:cs="Times New Roman"/>
          <w:kern w:val="0"/>
          <w:sz w:val="32"/>
          <w:szCs w:val="32"/>
          <w:lang w:val="en-US" w:eastAsia="zh-CN" w:bidi="ar"/>
        </w:rPr>
        <w:t>公务接待费支出预算为7万元，支出决算为</w:t>
      </w:r>
      <w:r>
        <w:rPr>
          <w:rFonts w:hint="default" w:ascii="Times New Roman" w:hAnsi="Times New Roman" w:eastAsia="仿宋_GB2312" w:cs="Times New Roman"/>
          <w:kern w:val="0"/>
          <w:sz w:val="32"/>
          <w:szCs w:val="32"/>
          <w:lang w:val="en-US" w:eastAsia="zh-CN" w:bidi="ar"/>
        </w:rPr>
        <w:t>0</w:t>
      </w:r>
      <w:r>
        <w:rPr>
          <w:rFonts w:hint="eastAsia" w:ascii="Times New Roman" w:hAnsi="Times New Roman" w:eastAsia="仿宋_GB2312" w:cs="Times New Roman"/>
          <w:kern w:val="0"/>
          <w:sz w:val="32"/>
          <w:szCs w:val="32"/>
          <w:lang w:val="en-US" w:eastAsia="zh-CN" w:bidi="ar"/>
        </w:rPr>
        <w:t>.49万元，完成预算的7%，与上年相比减少0.36万元，减少42.35%，减少的主要原因是</w:t>
      </w:r>
      <w:r>
        <w:rPr>
          <w:rFonts w:hint="eastAsia" w:ascii="Times New Roman" w:hAnsi="Times New Roman" w:eastAsia="仿宋_GB2312" w:cs="Times New Roman"/>
          <w:kern w:val="0"/>
          <w:sz w:val="32"/>
          <w:szCs w:val="32"/>
          <w:highlight w:val="none"/>
          <w:lang w:val="en-US" w:eastAsia="zh-CN" w:bidi="ar"/>
        </w:rPr>
        <w:t>本年度进一步落实过“紧日子”要求，未开展大型接待工作，严控费用开支。</w:t>
      </w:r>
    </w:p>
    <w:p>
      <w:pPr>
        <w:pStyle w:val="11"/>
        <w:ind w:firstLine="800" w:firstLineChars="250"/>
        <w:rPr>
          <w:rFonts w:hint="eastAsia"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公务用车购置费及运行维护费</w:t>
      </w:r>
      <w:r>
        <w:rPr>
          <w:rFonts w:hint="eastAsia" w:ascii="Times New Roman" w:hAnsi="Times New Roman" w:eastAsia="仿宋_GB2312" w:cs="Times New Roman"/>
          <w:kern w:val="0"/>
          <w:sz w:val="32"/>
          <w:szCs w:val="32"/>
          <w:highlight w:val="none"/>
          <w:lang w:val="en-US" w:eastAsia="zh-CN" w:bidi="ar"/>
        </w:rPr>
        <w:t>支出预算为40万元，支出决算为</w:t>
      </w:r>
      <w:r>
        <w:rPr>
          <w:rFonts w:hint="default" w:ascii="Times New Roman" w:hAnsi="Times New Roman" w:eastAsia="仿宋_GB2312" w:cs="Times New Roman"/>
          <w:kern w:val="0"/>
          <w:sz w:val="32"/>
          <w:szCs w:val="32"/>
          <w:highlight w:val="none"/>
          <w:lang w:val="en-US" w:eastAsia="zh-CN" w:bidi="ar"/>
        </w:rPr>
        <w:t>37.6</w:t>
      </w:r>
      <w:r>
        <w:rPr>
          <w:rFonts w:hint="eastAsia" w:ascii="Times New Roman" w:hAnsi="Times New Roman" w:eastAsia="仿宋_GB2312" w:cs="Times New Roman"/>
          <w:kern w:val="0"/>
          <w:sz w:val="32"/>
          <w:szCs w:val="32"/>
          <w:highlight w:val="none"/>
          <w:lang w:val="en-US" w:eastAsia="zh-CN" w:bidi="ar"/>
        </w:rPr>
        <w:t>万元，完成预算的94%，执行情况与上年度基本持平。</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（二）“三公”经费财政拨款支出决算具体情况说明</w:t>
      </w:r>
    </w:p>
    <w:p>
      <w:pPr>
        <w:pStyle w:val="11"/>
        <w:ind w:firstLine="800" w:firstLineChars="250"/>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2022年度“三公”经费财政拨款支出决算中，公务接待费支出决算</w:t>
      </w:r>
      <w:r>
        <w:rPr>
          <w:rFonts w:hint="default" w:ascii="Times New Roman" w:hAnsi="Times New Roman" w:eastAsia="仿宋_GB2312" w:cs="Times New Roman"/>
          <w:kern w:val="0"/>
          <w:sz w:val="32"/>
          <w:szCs w:val="32"/>
          <w:lang w:val="en-US" w:eastAsia="zh-CN" w:bidi="ar"/>
        </w:rPr>
        <w:t>0</w:t>
      </w:r>
      <w:r>
        <w:rPr>
          <w:rFonts w:hint="eastAsia" w:ascii="Times New Roman" w:hAnsi="Times New Roman" w:eastAsia="仿宋_GB2312" w:cs="Times New Roman"/>
          <w:kern w:val="0"/>
          <w:sz w:val="32"/>
          <w:szCs w:val="32"/>
          <w:lang w:val="en-US" w:eastAsia="zh-CN" w:bidi="ar"/>
        </w:rPr>
        <w:t>.49万元，占1.29%，公务用车购置费及运行维护费支出决算</w:t>
      </w:r>
      <w:r>
        <w:rPr>
          <w:rFonts w:hint="default" w:ascii="Times New Roman" w:hAnsi="Times New Roman" w:eastAsia="仿宋_GB2312" w:cs="Times New Roman"/>
          <w:kern w:val="0"/>
          <w:sz w:val="32"/>
          <w:szCs w:val="32"/>
          <w:highlight w:val="none"/>
          <w:lang w:val="en-US" w:eastAsia="zh-CN" w:bidi="ar"/>
        </w:rPr>
        <w:t>37.6</w:t>
      </w:r>
      <w:r>
        <w:rPr>
          <w:rFonts w:hint="eastAsia" w:ascii="Times New Roman" w:hAnsi="Times New Roman" w:eastAsia="仿宋_GB2312" w:cs="Times New Roman"/>
          <w:kern w:val="0"/>
          <w:sz w:val="32"/>
          <w:szCs w:val="32"/>
          <w:lang w:val="en-US" w:eastAsia="zh-CN" w:bidi="ar"/>
        </w:rPr>
        <w:t>万元，占98.71%。其中：</w:t>
      </w:r>
    </w:p>
    <w:p>
      <w:pPr>
        <w:pStyle w:val="11"/>
        <w:ind w:firstLine="800" w:firstLineChars="25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1、公务接待费支出决算为</w:t>
      </w:r>
      <w:r>
        <w:rPr>
          <w:rFonts w:hint="default" w:ascii="Times New Roman" w:hAnsi="Times New Roman" w:eastAsia="仿宋_GB2312" w:cs="Times New Roman"/>
          <w:kern w:val="0"/>
          <w:sz w:val="32"/>
          <w:szCs w:val="32"/>
          <w:lang w:val="en-US" w:eastAsia="zh-CN" w:bidi="ar"/>
        </w:rPr>
        <w:t>0</w:t>
      </w:r>
      <w:r>
        <w:rPr>
          <w:rFonts w:hint="eastAsia" w:ascii="Times New Roman" w:hAnsi="Times New Roman" w:eastAsia="仿宋_GB2312" w:cs="Times New Roman"/>
          <w:kern w:val="0"/>
          <w:sz w:val="32"/>
          <w:szCs w:val="32"/>
          <w:lang w:val="en-US" w:eastAsia="zh-CN" w:bidi="ar"/>
        </w:rPr>
        <w:t>.49万元，全年共接待来访团组3个，累计23人次，主要是接待山西省发展改革委、云南省政研室和内蒙古自治区发展改革委来湘调研</w:t>
      </w:r>
      <w:r>
        <w:rPr>
          <w:rFonts w:hint="default" w:ascii="Times New Roman" w:hAnsi="Times New Roman" w:eastAsia="仿宋_GB2312" w:cs="Times New Roman"/>
          <w:kern w:val="0"/>
          <w:sz w:val="32"/>
          <w:szCs w:val="32"/>
          <w:lang w:val="en-US" w:eastAsia="zh-CN" w:bidi="ar"/>
        </w:rPr>
        <w:t>发生</w:t>
      </w:r>
      <w:r>
        <w:rPr>
          <w:rFonts w:hint="eastAsia" w:ascii="Times New Roman" w:hAnsi="Times New Roman" w:eastAsia="仿宋_GB2312" w:cs="Times New Roman"/>
          <w:kern w:val="0"/>
          <w:sz w:val="32"/>
          <w:szCs w:val="32"/>
          <w:lang w:val="en-US" w:eastAsia="zh-CN" w:bidi="ar"/>
        </w:rPr>
        <w:t>的接待支出。</w:t>
      </w:r>
    </w:p>
    <w:p>
      <w:pPr>
        <w:pStyle w:val="11"/>
        <w:ind w:firstLine="800" w:firstLineChars="25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2、公务用车购置费及运行维护费支出决算为</w:t>
      </w:r>
      <w:r>
        <w:rPr>
          <w:rFonts w:hint="default" w:ascii="Times New Roman" w:hAnsi="Times New Roman" w:eastAsia="仿宋_GB2312" w:cs="Times New Roman"/>
          <w:kern w:val="0"/>
          <w:sz w:val="32"/>
          <w:szCs w:val="32"/>
          <w:highlight w:val="none"/>
          <w:lang w:val="en-US" w:eastAsia="zh-CN" w:bidi="ar"/>
        </w:rPr>
        <w:t>37.6</w:t>
      </w:r>
      <w:r>
        <w:rPr>
          <w:rFonts w:hint="eastAsia" w:ascii="Times New Roman" w:hAnsi="Times New Roman" w:eastAsia="仿宋_GB2312" w:cs="Times New Roman"/>
          <w:kern w:val="0"/>
          <w:sz w:val="32"/>
          <w:szCs w:val="32"/>
          <w:lang w:val="en-US" w:eastAsia="zh-CN" w:bidi="ar"/>
        </w:rPr>
        <w:t>万元，其中：公务用车购置费16.28万元，为中心本级更新公务用车1辆；公务用车运行维护费</w:t>
      </w:r>
      <w:r>
        <w:rPr>
          <w:rFonts w:hint="eastAsia" w:ascii="Times New Roman" w:hAnsi="Times New Roman" w:eastAsia="仿宋_GB2312" w:cs="Times New Roman"/>
          <w:color w:val="000000"/>
          <w:w w:val="100"/>
          <w:sz w:val="30"/>
          <w:szCs w:val="30"/>
          <w:highlight w:val="none"/>
          <w:lang w:val="en-US" w:eastAsia="zh-CN"/>
        </w:rPr>
        <w:t>21.32</w:t>
      </w:r>
      <w:r>
        <w:rPr>
          <w:rFonts w:hint="eastAsia" w:ascii="Times New Roman" w:hAnsi="Times New Roman" w:eastAsia="仿宋_GB2312" w:cs="Times New Roman"/>
          <w:kern w:val="0"/>
          <w:sz w:val="32"/>
          <w:szCs w:val="32"/>
          <w:lang w:val="en-US" w:eastAsia="zh-CN" w:bidi="ar"/>
        </w:rPr>
        <w:t>万元，主要是</w:t>
      </w:r>
      <w:r>
        <w:rPr>
          <w:rFonts w:hint="default" w:ascii="Times New Roman" w:hAnsi="Times New Roman" w:eastAsia="仿宋_GB2312" w:cs="Times New Roman"/>
          <w:kern w:val="0"/>
          <w:sz w:val="32"/>
          <w:szCs w:val="32"/>
          <w:lang w:val="en-US" w:eastAsia="zh-CN" w:bidi="ar"/>
        </w:rPr>
        <w:t>公务车辆燃料费、维修费、过路过桥费、</w:t>
      </w:r>
      <w:r>
        <w:rPr>
          <w:rFonts w:hint="eastAsia" w:ascii="Times New Roman" w:hAnsi="Times New Roman" w:eastAsia="仿宋_GB2312" w:cs="Times New Roman"/>
          <w:kern w:val="0"/>
          <w:sz w:val="32"/>
          <w:szCs w:val="32"/>
          <w:lang w:val="en-US" w:eastAsia="zh-CN" w:bidi="ar"/>
        </w:rPr>
        <w:t>停车费、</w:t>
      </w:r>
      <w:r>
        <w:rPr>
          <w:rFonts w:hint="default" w:ascii="Times New Roman" w:hAnsi="Times New Roman" w:eastAsia="仿宋_GB2312" w:cs="Times New Roman"/>
          <w:kern w:val="0"/>
          <w:sz w:val="32"/>
          <w:szCs w:val="32"/>
          <w:lang w:val="en-US" w:eastAsia="zh-CN" w:bidi="ar"/>
        </w:rPr>
        <w:t>保险费</w:t>
      </w:r>
      <w:r>
        <w:rPr>
          <w:rFonts w:hint="eastAsia" w:ascii="Times New Roman" w:hAnsi="Times New Roman" w:eastAsia="仿宋_GB2312" w:cs="Times New Roman"/>
          <w:kern w:val="0"/>
          <w:sz w:val="32"/>
          <w:szCs w:val="32"/>
          <w:lang w:val="en-US" w:eastAsia="zh-CN" w:bidi="ar"/>
        </w:rPr>
        <w:t>等支出，截至</w:t>
      </w:r>
      <w:bookmarkStart w:id="3" w:name="_GoBack"/>
      <w:bookmarkEnd w:id="3"/>
      <w:r>
        <w:rPr>
          <w:rFonts w:hint="eastAsia" w:ascii="Times New Roman" w:hAnsi="Times New Roman" w:eastAsia="仿宋_GB2312" w:cs="Times New Roman"/>
          <w:kern w:val="0"/>
          <w:sz w:val="32"/>
          <w:szCs w:val="32"/>
          <w:lang w:val="en-US" w:eastAsia="zh-CN" w:bidi="ar"/>
        </w:rPr>
        <w:t>2022年12月31日，我单位开支财政拨款的公务用车保有量为4辆。</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八、政府性基金预算收入支出决算情况</w:t>
      </w:r>
    </w:p>
    <w:p>
      <w:pPr>
        <w:pStyle w:val="11"/>
        <w:ind w:firstLine="800" w:firstLineChars="25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w:t>
      </w:r>
      <w:r>
        <w:rPr>
          <w:rFonts w:hint="eastAsia" w:ascii="Times New Roman" w:hAnsi="Times New Roman" w:eastAsia="仿宋_GB2312" w:cs="Times New Roman"/>
          <w:kern w:val="0"/>
          <w:sz w:val="32"/>
          <w:szCs w:val="32"/>
          <w:lang w:val="en-US" w:eastAsia="zh-CN" w:bidi="ar"/>
        </w:rPr>
        <w:t>单位</w:t>
      </w:r>
      <w:r>
        <w:rPr>
          <w:rFonts w:hint="default" w:ascii="Times New Roman" w:hAnsi="Times New Roman" w:eastAsia="仿宋_GB2312" w:cs="Times New Roman"/>
          <w:kern w:val="0"/>
          <w:sz w:val="32"/>
          <w:szCs w:val="32"/>
          <w:lang w:val="en-US" w:eastAsia="zh-CN" w:bidi="ar"/>
        </w:rPr>
        <w:t>无政府性基金收支。</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九、</w:t>
      </w:r>
      <w:r>
        <w:rPr>
          <w:rFonts w:hint="eastAsia" w:hAnsi="黑体"/>
          <w:b w:val="0"/>
          <w:bCs/>
          <w:sz w:val="32"/>
          <w:szCs w:val="32"/>
          <w:lang w:eastAsia="zh-CN"/>
        </w:rPr>
        <w:t>关于</w:t>
      </w:r>
      <w:r>
        <w:rPr>
          <w:rFonts w:hint="eastAsia" w:hAnsi="黑体"/>
          <w:b w:val="0"/>
          <w:bCs/>
          <w:sz w:val="32"/>
          <w:szCs w:val="32"/>
        </w:rPr>
        <w:t>机关运行经费支出说明</w:t>
      </w:r>
    </w:p>
    <w:p>
      <w:pPr>
        <w:pStyle w:val="11"/>
        <w:ind w:firstLine="800" w:firstLineChars="250"/>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本部门2022年度机关运行经费支出176.3万元，比年初预算数减少5.58万元，降低3.07%，主要原因是严格按照相关要求压减一般性支出，落实厉行节约原则。</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十、一般性支出情况说明</w:t>
      </w:r>
    </w:p>
    <w:p>
      <w:pPr>
        <w:pStyle w:val="11"/>
        <w:ind w:firstLine="640" w:firstLineChars="200"/>
        <w:rPr>
          <w:rFonts w:asciiTheme="minorEastAsia" w:hAnsiTheme="minorEastAsia" w:eastAsiaTheme="minorEastAsia"/>
          <w:sz w:val="32"/>
          <w:szCs w:val="32"/>
        </w:rPr>
      </w:pPr>
      <w:r>
        <w:rPr>
          <w:rFonts w:hint="eastAsia" w:ascii="Times New Roman" w:hAnsi="Times New Roman" w:eastAsia="仿宋_GB2312" w:cs="Times New Roman"/>
          <w:kern w:val="0"/>
          <w:sz w:val="32"/>
          <w:szCs w:val="32"/>
          <w:lang w:val="en-US" w:eastAsia="zh-CN" w:bidi="ar"/>
        </w:rPr>
        <w:t>2022年本部门开支会议费2.04万元，用于召开三类会议9场，人数329人，内容为“长株潭一体化重点工作座谈会”、“绿心地区违法违规行为认定工作会议”、“长株潭一体化领导小组成员单位</w:t>
      </w:r>
      <w:r>
        <w:rPr>
          <w:rFonts w:hint="default" w:ascii="Times New Roman" w:hAnsi="Times New Roman" w:eastAsia="仿宋_GB2312" w:cs="Times New Roman"/>
          <w:kern w:val="0"/>
          <w:sz w:val="32"/>
          <w:szCs w:val="32"/>
          <w:lang w:val="en-US" w:eastAsia="zh-CN" w:bidi="ar"/>
        </w:rPr>
        <w:t>联络员会议</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“长株潭都市圈融城干道路网建设座谈会”、“生态绿心保护工作座谈会”等；开支培训费1.5万元，用于开展培训5场，人数101人，内容为“绿心地区建设项目准入及卫星监测业务培训”、“新湖南一</w:t>
      </w:r>
      <w:r>
        <w:rPr>
          <w:rFonts w:hint="eastAsia" w:ascii="仿宋_GB2312" w:hAnsi="仿宋_GB2312" w:eastAsia="仿宋_GB2312" w:cs="仿宋_GB2312"/>
          <w:sz w:val="32"/>
          <w:szCs w:val="32"/>
          <w:lang w:eastAsia="zh-CN"/>
        </w:rPr>
        <w:t>体化频道网上宣传暨意识形态工作学习培训”</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rPr>
        <w:t>。</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十一、</w:t>
      </w:r>
      <w:r>
        <w:rPr>
          <w:rFonts w:hint="eastAsia" w:hAnsi="黑体"/>
          <w:b w:val="0"/>
          <w:bCs/>
          <w:sz w:val="32"/>
          <w:szCs w:val="32"/>
          <w:lang w:eastAsia="zh-CN"/>
        </w:rPr>
        <w:t>关于</w:t>
      </w:r>
      <w:r>
        <w:rPr>
          <w:rFonts w:hint="eastAsia" w:hAnsi="黑体"/>
          <w:b w:val="0"/>
          <w:bCs/>
          <w:sz w:val="32"/>
          <w:szCs w:val="32"/>
        </w:rPr>
        <w:t>政府采购支出说明</w:t>
      </w:r>
    </w:p>
    <w:p>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本部门2022年度政府采购支出总额2,899.24万元，其中：政府采购货物支出197.57万元、政府采购工程支出1549.11万元、政府采购服务支出1152.56万元。授予中小企业合同金额127.16万元，占政府采购支出总额的4.39%，其中：授予小微企业合同金额127.16万元，占授予中小企业合同金额的100%</w:t>
      </w:r>
      <w:r>
        <w:rPr>
          <w:rFonts w:hint="eastAsia" w:ascii="Times New Roman" w:hAnsi="Times New Roman" w:eastAsia="仿宋_GB2312" w:cs="Times New Roman"/>
          <w:kern w:val="0"/>
          <w:sz w:val="32"/>
          <w:szCs w:val="32"/>
          <w:highlight w:val="none"/>
          <w:lang w:val="en-US" w:eastAsia="zh-CN" w:bidi="ar"/>
        </w:rPr>
        <w:t>。</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hAnsi="黑体"/>
          <w:b w:val="0"/>
          <w:bCs/>
          <w:sz w:val="32"/>
          <w:szCs w:val="32"/>
        </w:rPr>
      </w:pPr>
      <w:r>
        <w:rPr>
          <w:rFonts w:hint="eastAsia" w:hAnsi="黑体"/>
          <w:b w:val="0"/>
          <w:bCs/>
          <w:sz w:val="32"/>
          <w:szCs w:val="32"/>
        </w:rPr>
        <w:t>十二、</w:t>
      </w:r>
      <w:r>
        <w:rPr>
          <w:rFonts w:hint="eastAsia" w:hAnsi="黑体"/>
          <w:b w:val="0"/>
          <w:bCs/>
          <w:sz w:val="32"/>
          <w:szCs w:val="32"/>
          <w:lang w:eastAsia="zh-CN"/>
        </w:rPr>
        <w:t>关于</w:t>
      </w:r>
      <w:r>
        <w:rPr>
          <w:rFonts w:hint="eastAsia" w:hAnsi="黑体"/>
          <w:b w:val="0"/>
          <w:bCs/>
          <w:sz w:val="32"/>
          <w:szCs w:val="32"/>
        </w:rPr>
        <w:t>国有资产占用情况说明</w:t>
      </w:r>
    </w:p>
    <w:p>
      <w:pPr>
        <w:pStyle w:val="11"/>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截至2022年12月31日，本部门共有车辆4辆，其中，</w:t>
      </w:r>
      <w:r>
        <w:rPr>
          <w:rFonts w:hint="default" w:ascii="Times New Roman" w:hAnsi="Times New Roman" w:eastAsia="仿宋_GB2312" w:cs="Times New Roman"/>
          <w:kern w:val="0"/>
          <w:sz w:val="32"/>
          <w:szCs w:val="32"/>
          <w:lang w:val="en-US" w:eastAsia="zh-CN" w:bidi="ar"/>
        </w:rPr>
        <w:t>实物保障用车1辆、机要通信用车1辆、应急保障用车1辆、执法执勤用车1辆</w:t>
      </w:r>
      <w:r>
        <w:rPr>
          <w:rFonts w:hint="eastAsia" w:ascii="Times New Roman" w:hAnsi="Times New Roman" w:eastAsia="仿宋_GB2312" w:cs="Times New Roman"/>
          <w:kern w:val="0"/>
          <w:sz w:val="32"/>
          <w:szCs w:val="32"/>
          <w:lang w:val="en-US" w:eastAsia="zh-CN" w:bidi="ar"/>
        </w:rPr>
        <w:t>；单位价值50万元以上通用设备14台（套）；单位价值100万元以上专用设备1台（套）。</w:t>
      </w:r>
    </w:p>
    <w:p>
      <w:pPr>
        <w:pStyle w:val="11"/>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Ansi="黑体"/>
          <w:b w:val="0"/>
          <w:bCs/>
          <w:sz w:val="32"/>
          <w:szCs w:val="32"/>
        </w:rPr>
      </w:pPr>
      <w:r>
        <w:rPr>
          <w:rFonts w:hint="eastAsia" w:hAnsi="黑体"/>
          <w:b w:val="0"/>
          <w:bCs/>
          <w:sz w:val="32"/>
          <w:szCs w:val="32"/>
        </w:rPr>
        <w:t>十三、</w:t>
      </w:r>
      <w:r>
        <w:rPr>
          <w:rFonts w:hint="eastAsia" w:hAnsi="黑体"/>
          <w:b w:val="0"/>
          <w:bCs/>
          <w:sz w:val="32"/>
          <w:szCs w:val="32"/>
          <w:lang w:eastAsia="zh-CN"/>
        </w:rPr>
        <w:t>关于</w:t>
      </w:r>
      <w:r>
        <w:rPr>
          <w:rFonts w:hint="eastAsia" w:hAnsi="黑体"/>
          <w:b w:val="0"/>
          <w:bCs/>
          <w:sz w:val="32"/>
          <w:szCs w:val="32"/>
        </w:rPr>
        <w:t>202</w:t>
      </w:r>
      <w:r>
        <w:rPr>
          <w:rFonts w:hint="eastAsia" w:hAnsi="黑体"/>
          <w:b w:val="0"/>
          <w:bCs/>
          <w:sz w:val="32"/>
          <w:szCs w:val="32"/>
          <w:lang w:val="en-US" w:eastAsia="zh-CN"/>
        </w:rPr>
        <w:t>2</w:t>
      </w:r>
      <w:r>
        <w:rPr>
          <w:rFonts w:hint="eastAsia" w:hAnsi="黑体"/>
          <w:b w:val="0"/>
          <w:bCs/>
          <w:sz w:val="32"/>
          <w:szCs w:val="32"/>
        </w:rPr>
        <w:t>年度预算绩效情况</w:t>
      </w:r>
      <w:r>
        <w:rPr>
          <w:rFonts w:hint="eastAsia" w:hAnsi="黑体"/>
          <w:b w:val="0"/>
          <w:bCs/>
          <w:sz w:val="32"/>
          <w:szCs w:val="32"/>
          <w:lang w:eastAsia="zh-CN"/>
        </w:rPr>
        <w:t>的</w:t>
      </w:r>
      <w:r>
        <w:rPr>
          <w:rFonts w:hint="eastAsia" w:hAnsi="黑体"/>
          <w:b w:val="0"/>
          <w:bCs/>
          <w:sz w:val="32"/>
          <w:szCs w:val="32"/>
        </w:rPr>
        <w:t>说明</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eastAsia" w:ascii="Times New Roman" w:hAnsi="Times New Roman" w:eastAsia="楷体_GB2312" w:cs="Times New Roman"/>
          <w:b/>
          <w:sz w:val="32"/>
          <w:szCs w:val="32"/>
          <w:shd w:val="clear" w:fill="FFFFFF"/>
          <w:lang w:eastAsia="zh-CN"/>
        </w:rPr>
      </w:pPr>
      <w:r>
        <w:rPr>
          <w:rStyle w:val="15"/>
          <w:rFonts w:hint="eastAsia" w:ascii="Times New Roman" w:hAnsi="Times New Roman" w:eastAsia="楷体_GB2312" w:cs="Times New Roman"/>
          <w:b/>
          <w:sz w:val="32"/>
          <w:szCs w:val="32"/>
          <w:shd w:val="clear" w:fill="FFFFFF"/>
          <w:lang w:eastAsia="zh-CN"/>
        </w:rPr>
        <w:t>（一）部门整体支出绩效情况</w:t>
      </w:r>
    </w:p>
    <w:p>
      <w:pPr>
        <w:pStyle w:val="11"/>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0"/>
          <w:sz w:val="32"/>
          <w:szCs w:val="32"/>
          <w:lang w:val="en-US" w:eastAsia="zh-CN" w:bidi="ar"/>
        </w:rPr>
        <w:t>根据预算绩效管理要求，我部门组织对</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rPr>
        <w:t>年度部门整体支出</w:t>
      </w:r>
      <w:r>
        <w:rPr>
          <w:rFonts w:hint="eastAsia" w:ascii="Times New Roman" w:hAnsi="Times New Roman" w:eastAsia="仿宋_GB2312" w:cs="Times New Roman"/>
          <w:sz w:val="32"/>
          <w:szCs w:val="32"/>
          <w:highlight w:val="none"/>
          <w:lang w:eastAsia="zh-CN"/>
        </w:rPr>
        <w:t>全面开展</w:t>
      </w:r>
      <w:r>
        <w:rPr>
          <w:rFonts w:hint="default" w:ascii="Times New Roman" w:hAnsi="Times New Roman" w:eastAsia="仿宋_GB2312" w:cs="Times New Roman"/>
          <w:sz w:val="32"/>
          <w:szCs w:val="32"/>
          <w:highlight w:val="none"/>
          <w:lang w:eastAsia="zh-CN"/>
        </w:rPr>
        <w:t>绩效自评。</w:t>
      </w:r>
      <w:r>
        <w:rPr>
          <w:rFonts w:hint="eastAsia" w:ascii="Times New Roman" w:hAnsi="Times New Roman" w:eastAsia="仿宋_GB2312" w:cs="Times New Roman"/>
          <w:sz w:val="32"/>
          <w:szCs w:val="32"/>
          <w:highlight w:val="none"/>
          <w:lang w:val="en-US" w:eastAsia="zh-CN"/>
        </w:rPr>
        <w:t>根据年初设定的绩效目标，部门整体支出绩效自评得分为99分。项目绩效目标完成情况具体如下：</w:t>
      </w:r>
    </w:p>
    <w:p>
      <w:pPr>
        <w:pStyle w:val="11"/>
        <w:numPr>
          <w:ilvl w:val="0"/>
          <w:numId w:val="2"/>
        </w:numPr>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抓好强省会战略、都市圈建设的顶层设计谋划</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一是构建强省会战略“1+N”政策体系</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二是谋划未来五年都市圈建设目标任务。</w:t>
      </w:r>
    </w:p>
    <w:p>
      <w:pPr>
        <w:pStyle w:val="11"/>
        <w:numPr>
          <w:ilvl w:val="0"/>
          <w:numId w:val="2"/>
        </w:numPr>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抓好重点目标任务的协调推进落实</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开展常态化督促指导，建立了对重要指标、重大事项和重点项目的“跟踪督办、精细调度、严格考核、定期通报”机制</w:t>
      </w:r>
      <w:r>
        <w:rPr>
          <w:rFonts w:hint="eastAsia" w:ascii="Times New Roman" w:hAnsi="Times New Roman" w:eastAsia="仿宋_GB2312" w:cs="Times New Roman"/>
          <w:sz w:val="32"/>
          <w:szCs w:val="32"/>
          <w:highlight w:val="none"/>
          <w:lang w:val="en-US" w:eastAsia="zh-CN"/>
        </w:rPr>
        <w:t>。</w:t>
      </w:r>
    </w:p>
    <w:p>
      <w:pPr>
        <w:pStyle w:val="11"/>
        <w:numPr>
          <w:ilvl w:val="0"/>
          <w:numId w:val="2"/>
        </w:numPr>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抓好长株潭都市圈展示馆升级改造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w:t>
      </w:r>
      <w:r>
        <w:rPr>
          <w:rFonts w:hint="eastAsia" w:ascii="Times New Roman" w:hAnsi="Times New Roman" w:eastAsia="仿宋_GB2312" w:cs="Times New Roman"/>
          <w:sz w:val="32"/>
          <w:szCs w:val="32"/>
          <w:highlight w:val="none"/>
          <w:lang w:val="en-US" w:eastAsia="zh-CN"/>
        </w:rPr>
        <w:t>面</w:t>
      </w:r>
      <w:r>
        <w:rPr>
          <w:rFonts w:hint="default" w:ascii="Times New Roman" w:hAnsi="Times New Roman" w:eastAsia="仿宋_GB2312" w:cs="Times New Roman"/>
          <w:sz w:val="32"/>
          <w:szCs w:val="32"/>
          <w:highlight w:val="none"/>
          <w:lang w:val="en-US" w:eastAsia="zh-CN"/>
        </w:rPr>
        <w:t>展示长株潭</w:t>
      </w:r>
      <w:r>
        <w:rPr>
          <w:rFonts w:hint="eastAsia" w:ascii="Times New Roman" w:hAnsi="Times New Roman" w:eastAsia="仿宋_GB2312" w:cs="Times New Roman"/>
          <w:sz w:val="32"/>
          <w:szCs w:val="32"/>
          <w:highlight w:val="none"/>
          <w:lang w:val="en-US" w:eastAsia="zh-CN"/>
        </w:rPr>
        <w:t>一体化发展</w:t>
      </w:r>
      <w:r>
        <w:rPr>
          <w:rFonts w:hint="default" w:ascii="Times New Roman" w:hAnsi="Times New Roman" w:eastAsia="仿宋_GB2312" w:cs="Times New Roman"/>
          <w:sz w:val="32"/>
          <w:szCs w:val="32"/>
          <w:highlight w:val="none"/>
          <w:lang w:val="en-US" w:eastAsia="zh-CN"/>
        </w:rPr>
        <w:t>的重大战略、举措和美好愿景</w:t>
      </w:r>
      <w:r>
        <w:rPr>
          <w:rFonts w:hint="eastAsia" w:ascii="Times New Roman" w:hAnsi="Times New Roman" w:eastAsia="仿宋_GB2312" w:cs="Times New Roman"/>
          <w:sz w:val="32"/>
          <w:szCs w:val="32"/>
          <w:highlight w:val="none"/>
          <w:lang w:val="en-US" w:eastAsia="zh-CN"/>
        </w:rPr>
        <w:t>。</w:t>
      </w:r>
    </w:p>
    <w:p>
      <w:pPr>
        <w:pStyle w:val="11"/>
        <w:numPr>
          <w:ilvl w:val="0"/>
          <w:numId w:val="2"/>
        </w:numPr>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抓好长株潭生态绿心保护与发展</w:t>
      </w:r>
      <w:r>
        <w:rPr>
          <w:rFonts w:hint="eastAsia" w:ascii="Times New Roman" w:hAnsi="Times New Roman" w:eastAsia="仿宋_GB2312" w:cs="Times New Roman"/>
          <w:sz w:val="32"/>
          <w:szCs w:val="32"/>
          <w:highlight w:val="none"/>
          <w:lang w:val="en-US" w:eastAsia="zh-CN"/>
        </w:rPr>
        <w:t>，配合省发改委</w:t>
      </w:r>
      <w:r>
        <w:rPr>
          <w:rFonts w:hint="default" w:ascii="Times New Roman" w:hAnsi="Times New Roman" w:eastAsia="仿宋_GB2312" w:cs="Times New Roman"/>
          <w:sz w:val="32"/>
          <w:szCs w:val="32"/>
          <w:highlight w:val="none"/>
          <w:lang w:val="en-US" w:eastAsia="zh-CN"/>
        </w:rPr>
        <w:t>完成了绿心总规评估，启动</w:t>
      </w:r>
      <w:r>
        <w:rPr>
          <w:rFonts w:hint="eastAsia"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绿心总规优化调整工作</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完成6批次73个</w:t>
      </w:r>
      <w:r>
        <w:rPr>
          <w:rFonts w:hint="eastAsia" w:ascii="Times New Roman" w:hAnsi="Times New Roman" w:eastAsia="仿宋_GB2312" w:cs="Times New Roman"/>
          <w:sz w:val="32"/>
          <w:szCs w:val="32"/>
          <w:highlight w:val="none"/>
          <w:lang w:val="en-US" w:eastAsia="zh-CN"/>
        </w:rPr>
        <w:t>绿心地区</w:t>
      </w:r>
      <w:r>
        <w:rPr>
          <w:rFonts w:hint="default" w:ascii="Times New Roman" w:hAnsi="Times New Roman" w:eastAsia="仿宋_GB2312" w:cs="Times New Roman"/>
          <w:sz w:val="32"/>
          <w:szCs w:val="32"/>
          <w:highlight w:val="none"/>
          <w:lang w:val="en-US" w:eastAsia="zh-CN"/>
        </w:rPr>
        <w:t>项目准入前期工作，提出50个项目准入意见。开展2022年全年绿心地区卫星监测工作，核实认定和督促整改35个违法违规行为</w:t>
      </w:r>
      <w:r>
        <w:rPr>
          <w:rFonts w:hint="eastAsia" w:ascii="Times New Roman" w:hAnsi="Times New Roman" w:eastAsia="仿宋_GB2312" w:cs="Times New Roman"/>
          <w:sz w:val="32"/>
          <w:szCs w:val="32"/>
          <w:highlight w:val="none"/>
          <w:lang w:val="en-US" w:eastAsia="zh-CN"/>
        </w:rPr>
        <w:t>。</w:t>
      </w:r>
    </w:p>
    <w:p>
      <w:pPr>
        <w:pStyle w:val="11"/>
        <w:numPr>
          <w:ilvl w:val="0"/>
          <w:numId w:val="2"/>
        </w:numPr>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highlight w:val="none"/>
          <w:lang w:val="en-US" w:eastAsia="zh-CN"/>
        </w:rPr>
        <w:t>抓好强省会、都市圈建设改革创新</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eastAsia="zh-CN"/>
        </w:rPr>
        <w:t>组织开展长株潭</w:t>
      </w:r>
      <w:r>
        <w:rPr>
          <w:rFonts w:hint="default" w:ascii="Times New Roman" w:hAnsi="Times New Roman" w:eastAsia="仿宋_GB2312" w:cs="Times New Roman"/>
          <w:sz w:val="32"/>
          <w:szCs w:val="32"/>
        </w:rPr>
        <w:t>产业协同发展机制</w:t>
      </w:r>
      <w:r>
        <w:rPr>
          <w:rFonts w:hint="eastAsia" w:ascii="Times New Roman" w:hAnsi="Times New Roman" w:eastAsia="仿宋_GB2312" w:cs="Times New Roman"/>
          <w:sz w:val="32"/>
          <w:szCs w:val="32"/>
          <w:lang w:eastAsia="zh-CN"/>
        </w:rPr>
        <w:t>研究</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形成了初步成果；</w:t>
      </w:r>
      <w:r>
        <w:rPr>
          <w:rFonts w:hint="default" w:ascii="Times New Roman" w:hAnsi="Times New Roman" w:eastAsia="仿宋_GB2312" w:cs="Times New Roman"/>
          <w:sz w:val="32"/>
          <w:szCs w:val="32"/>
        </w:rPr>
        <w:t>组建长株潭</w:t>
      </w:r>
      <w:r>
        <w:rPr>
          <w:rFonts w:hint="eastAsia" w:ascii="Times New Roman" w:hAnsi="Times New Roman" w:eastAsia="仿宋_GB2312" w:cs="Times New Roman"/>
          <w:sz w:val="32"/>
          <w:szCs w:val="32"/>
          <w:lang w:eastAsia="zh-CN"/>
        </w:rPr>
        <w:t>都市圈</w:t>
      </w:r>
      <w:r>
        <w:rPr>
          <w:rFonts w:hint="default" w:ascii="Times New Roman" w:hAnsi="Times New Roman" w:eastAsia="仿宋_GB2312" w:cs="Times New Roman"/>
          <w:sz w:val="32"/>
          <w:szCs w:val="32"/>
        </w:rPr>
        <w:t>发展智库，制定智库管理办法，正式聘请23位专家为首批智库专家成员，积极</w:t>
      </w:r>
      <w:r>
        <w:rPr>
          <w:rFonts w:hint="default" w:ascii="Times New Roman" w:hAnsi="Times New Roman" w:eastAsia="仿宋" w:cs="Times New Roman"/>
          <w:sz w:val="32"/>
          <w:szCs w:val="32"/>
        </w:rPr>
        <w:t>推动开展调查研究</w:t>
      </w:r>
      <w:r>
        <w:rPr>
          <w:rFonts w:hint="eastAsia" w:ascii="Times New Roman" w:hAnsi="Times New Roman" w:eastAsia="仿宋" w:cs="Times New Roman"/>
          <w:sz w:val="32"/>
          <w:szCs w:val="32"/>
          <w:lang w:eastAsia="zh-CN"/>
        </w:rPr>
        <w:t>、建言献策</w:t>
      </w:r>
      <w:r>
        <w:rPr>
          <w:rFonts w:hint="default" w:ascii="Times New Roman" w:hAnsi="Times New Roman" w:eastAsia="仿宋" w:cs="Times New Roman"/>
          <w:sz w:val="32"/>
          <w:szCs w:val="32"/>
        </w:rPr>
        <w:t>等工作。</w:t>
      </w:r>
      <w:r>
        <w:rPr>
          <w:rFonts w:hint="eastAsia" w:ascii="Times New Roman" w:hAnsi="Times New Roman" w:eastAsia="仿宋" w:cs="Times New Roman"/>
          <w:sz w:val="32"/>
          <w:szCs w:val="32"/>
          <w:lang w:val="en-US" w:eastAsia="zh-CN"/>
        </w:rPr>
        <w:t>。</w:t>
      </w:r>
    </w:p>
    <w:p>
      <w:pPr>
        <w:pStyle w:val="11"/>
        <w:numPr>
          <w:ilvl w:val="0"/>
          <w:numId w:val="2"/>
        </w:numPr>
        <w:ind w:firstLine="640" w:firstLineChars="200"/>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抓好</w:t>
      </w:r>
      <w:r>
        <w:rPr>
          <w:rFonts w:hint="eastAsia" w:ascii="Times New Roman" w:hAnsi="Times New Roman" w:eastAsia="仿宋" w:cs="Times New Roman"/>
          <w:sz w:val="32"/>
          <w:szCs w:val="32"/>
          <w:lang w:val="en-US" w:eastAsia="zh-CN"/>
        </w:rPr>
        <w:t>长株潭一体化发展</w:t>
      </w:r>
      <w:r>
        <w:rPr>
          <w:rFonts w:hint="default" w:ascii="Times New Roman" w:hAnsi="Times New Roman" w:eastAsia="仿宋" w:cs="Times New Roman"/>
          <w:sz w:val="32"/>
          <w:szCs w:val="32"/>
          <w:lang w:val="en-US" w:eastAsia="zh-CN"/>
        </w:rPr>
        <w:t>宣传引导</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一是抓好新湖南</w:t>
      </w:r>
      <w:r>
        <w:rPr>
          <w:rFonts w:hint="eastAsia" w:ascii="Times New Roman" w:hAnsi="Times New Roman" w:eastAsia="仿宋" w:cs="Times New Roman"/>
          <w:sz w:val="32"/>
          <w:szCs w:val="32"/>
          <w:lang w:eastAsia="zh-CN"/>
        </w:rPr>
        <w:t>长株潭</w:t>
      </w:r>
      <w:r>
        <w:rPr>
          <w:rFonts w:hint="default" w:ascii="Times New Roman" w:hAnsi="Times New Roman" w:eastAsia="仿宋" w:cs="Times New Roman"/>
          <w:sz w:val="32"/>
          <w:szCs w:val="32"/>
        </w:rPr>
        <w:t>一体化频道运营管理。二是在长沙黄花机场、高铁南站利用灯箱、LED媒体等，开展了为期四个月的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实施强省会战略推进长株潭都市圈发展</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社会宣传，取得了良好的社会效应。三是长株潭都市圈形象标识（LOGO）设计出炉，已在长株潭展示馆等场景应用。</w:t>
      </w:r>
    </w:p>
    <w:p>
      <w:pPr>
        <w:pStyle w:val="14"/>
        <w:keepNext w:val="0"/>
        <w:keepLines w:val="0"/>
        <w:widowControl w:val="0"/>
        <w:suppressLineNumbers w:val="0"/>
        <w:overflowPunct w:val="0"/>
        <w:spacing w:before="0" w:beforeAutospacing="0" w:after="0" w:afterAutospacing="0" w:line="596" w:lineRule="exact"/>
        <w:ind w:left="0" w:right="0" w:firstLine="640" w:firstLineChars="200"/>
        <w:jc w:val="both"/>
        <w:rPr>
          <w:rStyle w:val="15"/>
          <w:rFonts w:hint="eastAsia" w:ascii="Times New Roman" w:hAnsi="Times New Roman" w:eastAsia="楷体_GB2312" w:cs="Times New Roman"/>
          <w:b/>
          <w:sz w:val="32"/>
          <w:szCs w:val="32"/>
          <w:shd w:val="clear" w:fill="FFFFFF"/>
          <w:lang w:val="en-US" w:eastAsia="zh-CN"/>
        </w:rPr>
      </w:pPr>
      <w:r>
        <w:rPr>
          <w:rStyle w:val="15"/>
          <w:rFonts w:hint="eastAsia" w:ascii="Times New Roman" w:hAnsi="Times New Roman" w:eastAsia="楷体_GB2312" w:cs="Times New Roman"/>
          <w:b/>
          <w:sz w:val="32"/>
          <w:szCs w:val="32"/>
          <w:shd w:val="clear" w:fill="FFFFFF"/>
          <w:lang w:val="en-US" w:eastAsia="zh-CN"/>
        </w:rPr>
        <w:t>（二）存在的问题及原因分析</w:t>
      </w:r>
    </w:p>
    <w:p>
      <w:pPr>
        <w:pStyle w:val="11"/>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发现存在的问题为</w:t>
      </w:r>
      <w:r>
        <w:rPr>
          <w:rFonts w:hint="default" w:ascii="Times New Roman" w:hAnsi="Times New Roman" w:eastAsia="仿宋_GB2312" w:cs="Times New Roman"/>
          <w:sz w:val="32"/>
          <w:szCs w:val="32"/>
          <w:highlight w:val="none"/>
          <w:lang w:eastAsia="zh-CN"/>
        </w:rPr>
        <w:t>除省级专项资金以外的项目支出预算执行率</w:t>
      </w:r>
      <w:r>
        <w:rPr>
          <w:rFonts w:hint="eastAsia" w:ascii="Times New Roman" w:hAnsi="Times New Roman" w:eastAsia="仿宋_GB2312" w:cs="Times New Roman"/>
          <w:sz w:val="32"/>
          <w:szCs w:val="32"/>
          <w:highlight w:val="none"/>
          <w:lang w:eastAsia="zh-CN"/>
        </w:rPr>
        <w:t>偏低，</w:t>
      </w:r>
      <w:r>
        <w:rPr>
          <w:rFonts w:hint="default" w:ascii="Times New Roman" w:hAnsi="Times New Roman" w:eastAsia="仿宋_GB2312" w:cs="Times New Roman"/>
          <w:sz w:val="32"/>
          <w:szCs w:val="32"/>
          <w:highlight w:val="none"/>
          <w:lang w:eastAsia="zh-CN"/>
        </w:rPr>
        <w:t>主要原因是</w:t>
      </w:r>
      <w:r>
        <w:rPr>
          <w:rFonts w:hint="eastAsia" w:ascii="Times New Roman" w:hAnsi="Times New Roman" w:eastAsia="仿宋_GB2312" w:cs="Times New Roman"/>
          <w:sz w:val="32"/>
          <w:szCs w:val="32"/>
          <w:highlight w:val="none"/>
          <w:lang w:val="en-US" w:eastAsia="zh-CN"/>
        </w:rPr>
        <w:t>2022年度</w:t>
      </w:r>
      <w:r>
        <w:rPr>
          <w:rFonts w:hint="default" w:ascii="Times New Roman" w:hAnsi="Times New Roman" w:eastAsia="仿宋_GB2312" w:cs="Times New Roman"/>
          <w:sz w:val="32"/>
          <w:szCs w:val="32"/>
          <w:highlight w:val="none"/>
          <w:lang w:eastAsia="zh-CN"/>
        </w:rPr>
        <w:t>配合新冠肺炎疫情防控工作，减少会议和出差工作，相关开支较计划有所减少，影响业务工作经费项目预算执行。下一步本部门将</w:t>
      </w:r>
      <w:r>
        <w:rPr>
          <w:rFonts w:hint="eastAsia" w:ascii="Times New Roman" w:hAnsi="Times New Roman" w:eastAsia="仿宋_GB2312" w:cs="Times New Roman"/>
          <w:sz w:val="32"/>
          <w:szCs w:val="32"/>
          <w:highlight w:val="none"/>
          <w:lang w:eastAsia="zh-CN"/>
        </w:rPr>
        <w:t>进一步</w:t>
      </w:r>
      <w:r>
        <w:rPr>
          <w:rFonts w:hint="default" w:ascii="Times New Roman" w:hAnsi="Times New Roman" w:eastAsia="仿宋_GB2312" w:cs="Times New Roman"/>
          <w:sz w:val="32"/>
          <w:szCs w:val="32"/>
          <w:highlight w:val="none"/>
          <w:lang w:eastAsia="zh-CN"/>
        </w:rPr>
        <w:t>增强项目预算资金配置合理性、精准性，下大力度督促资金的使用进度</w:t>
      </w:r>
      <w:r>
        <w:rPr>
          <w:rFonts w:hint="default" w:ascii="Times New Roman" w:hAnsi="Times New Roman" w:eastAsia="仿宋_GB2312" w:cs="Times New Roman"/>
          <w:sz w:val="32"/>
          <w:szCs w:val="32"/>
          <w:highlight w:val="none"/>
          <w:lang w:val="en-US" w:eastAsia="zh-CN"/>
        </w:rPr>
        <w:t>，强化预算执行进度管理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加快资金拨付进度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无法形成实际支出的预算资金及时向省财政厅申请用途调整，防止出现资金沉淀，加快预算执行进度，定期分析和公布预算执行情况，推动资金落地见效。</w:t>
      </w:r>
    </w:p>
    <w:p>
      <w:pPr>
        <w:autoSpaceDE w:val="0"/>
        <w:autoSpaceDN w:val="0"/>
        <w:adjustRightInd w:val="0"/>
        <w:jc w:val="left"/>
        <w:rPr>
          <w:rFonts w:hint="eastAsia" w:cs="黑体" w:asciiTheme="minorEastAsia" w:hAnsiTheme="minorEastAsia"/>
          <w:color w:val="000000"/>
          <w:kern w:val="0"/>
          <w:sz w:val="32"/>
          <w:szCs w:val="32"/>
        </w:rPr>
      </w:pP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14"/>
        <w:keepNext w:val="0"/>
        <w:keepLines w:val="0"/>
        <w:widowControl w:val="0"/>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rPr>
      </w:pPr>
    </w:p>
    <w:p>
      <w:pPr>
        <w:pStyle w:val="14"/>
        <w:keepNext w:val="0"/>
        <w:keepLines w:val="0"/>
        <w:widowControl w:val="0"/>
        <w:numPr>
          <w:ilvl w:val="0"/>
          <w:numId w:val="3"/>
        </w:numPr>
        <w:suppressLineNumbers w:val="0"/>
        <w:overflowPunct w:val="0"/>
        <w:spacing w:before="0" w:beforeAutospacing="0" w:after="0" w:afterAutospacing="0" w:line="596" w:lineRule="exact"/>
        <w:ind w:left="0" w:right="0"/>
        <w:jc w:val="center"/>
        <w:rPr>
          <w:rFonts w:hint="default" w:ascii="Times New Roman" w:hAnsi="Times New Roman" w:eastAsia="方正小标宋简体" w:cs="Times New Roman"/>
          <w:kern w:val="0"/>
          <w:sz w:val="42"/>
          <w:szCs w:val="42"/>
          <w:shd w:val="clear" w:fill="FFFFFF"/>
        </w:rPr>
      </w:pPr>
      <w:r>
        <w:rPr>
          <w:rFonts w:hint="default" w:ascii="Times New Roman" w:hAnsi="Times New Roman" w:eastAsia="方正小标宋简体" w:cs="Times New Roman"/>
          <w:kern w:val="0"/>
          <w:sz w:val="42"/>
          <w:szCs w:val="42"/>
          <w:shd w:val="clear" w:fill="FFFFFF"/>
          <w:lang w:val="en-US" w:eastAsia="zh-CN"/>
        </w:rPr>
        <w:t xml:space="preserve">   </w:t>
      </w:r>
      <w:r>
        <w:rPr>
          <w:rFonts w:hint="default" w:ascii="Times New Roman" w:hAnsi="Times New Roman" w:eastAsia="方正小标宋简体" w:cs="Times New Roman"/>
          <w:kern w:val="0"/>
          <w:sz w:val="42"/>
          <w:szCs w:val="42"/>
          <w:shd w:val="clear" w:fill="FFFFFF"/>
        </w:rPr>
        <w:t>名词解释</w:t>
      </w:r>
    </w:p>
    <w:p>
      <w:pPr>
        <w:pStyle w:val="14"/>
        <w:keepNext w:val="0"/>
        <w:keepLines w:val="0"/>
        <w:widowControl w:val="0"/>
        <w:numPr>
          <w:ilvl w:val="0"/>
          <w:numId w:val="0"/>
        </w:numPr>
        <w:suppressLineNumbers w:val="0"/>
        <w:overflowPunct w:val="0"/>
        <w:spacing w:before="0" w:beforeAutospacing="0" w:after="0" w:afterAutospacing="0" w:line="596" w:lineRule="exact"/>
        <w:ind w:right="0" w:rightChars="0"/>
        <w:jc w:val="both"/>
        <w:rPr>
          <w:rFonts w:hint="default" w:ascii="Times New Roman" w:hAnsi="Times New Roman" w:eastAsia="仿宋_GB2312" w:cs="Times New Roman"/>
          <w:kern w:val="0"/>
          <w:sz w:val="32"/>
          <w:szCs w:val="32"/>
          <w:shd w:val="clear" w:fill="FFFFFF"/>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Style w:val="15"/>
          <w:rFonts w:hint="default" w:ascii="Times New Roman" w:hAnsi="Times New Roman" w:eastAsia="黑体" w:cs="Times New Roman"/>
          <w:b w:val="0"/>
          <w:kern w:val="0"/>
          <w:sz w:val="32"/>
          <w:szCs w:val="32"/>
          <w:shd w:val="clear" w:fill="FFFFFF"/>
          <w:lang w:val="en-US" w:eastAsia="zh-CN" w:bidi="ar"/>
        </w:rPr>
        <w:t>一、财政拨款收入：</w:t>
      </w:r>
      <w:r>
        <w:rPr>
          <w:rFonts w:hint="default" w:ascii="Times New Roman" w:hAnsi="Times New Roman" w:eastAsia="仿宋_GB2312" w:cs="Times New Roman"/>
          <w:kern w:val="0"/>
          <w:sz w:val="32"/>
          <w:szCs w:val="32"/>
        </w:rPr>
        <w:t>指省财政厅当年拨付的资金。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kern w:val="0"/>
          <w:sz w:val="32"/>
          <w:szCs w:val="32"/>
        </w:rPr>
      </w:pPr>
      <w:r>
        <w:rPr>
          <w:rStyle w:val="15"/>
          <w:rFonts w:hint="default" w:ascii="Times New Roman" w:hAnsi="Times New Roman" w:eastAsia="黑体" w:cs="Times New Roman"/>
          <w:b w:val="0"/>
          <w:kern w:val="0"/>
          <w:sz w:val="32"/>
          <w:szCs w:val="32"/>
          <w:shd w:val="clear" w:fill="FFFFFF"/>
          <w:lang w:val="en-US" w:eastAsia="zh-CN" w:bidi="ar"/>
        </w:rPr>
        <w:t>二、其他收入：</w:t>
      </w:r>
      <w:r>
        <w:rPr>
          <w:rFonts w:hint="default" w:ascii="Times New Roman" w:hAnsi="Times New Roman" w:eastAsia="仿宋_GB2312" w:cs="Times New Roman"/>
          <w:kern w:val="0"/>
          <w:sz w:val="32"/>
          <w:szCs w:val="32"/>
        </w:rPr>
        <w:t>指除“财政拨款收入”、“事业收入”、“经营收入”等以外的收入，主要是按规定收缴的银行存款利息收入。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三、年初结转和结余：</w:t>
      </w:r>
      <w:r>
        <w:rPr>
          <w:rFonts w:hint="default" w:ascii="Times New Roman" w:hAnsi="Times New Roman" w:eastAsia="仿宋_GB2312" w:cs="Times New Roman"/>
          <w:kern w:val="0"/>
          <w:sz w:val="32"/>
          <w:szCs w:val="32"/>
        </w:rPr>
        <w:t>指上年度尚未完成、结转到本年按有关规定继续使用的资金。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四、年末结转和结余：</w:t>
      </w:r>
      <w:r>
        <w:rPr>
          <w:rFonts w:hint="default" w:ascii="Times New Roman" w:hAnsi="Times New Roman" w:eastAsia="仿宋_GB2312" w:cs="Times New Roman"/>
          <w:kern w:val="0"/>
          <w:sz w:val="32"/>
          <w:szCs w:val="32"/>
        </w:rPr>
        <w:t>指本年度或以前年度预算安排、因客观条件发生变化无法按原计划实施，需延迟到以后年度按有关规定继续使用的资金。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五、基本支出：</w:t>
      </w:r>
      <w:r>
        <w:rPr>
          <w:rFonts w:hint="default" w:ascii="Times New Roman" w:hAnsi="Times New Roman" w:eastAsia="仿宋_GB2312" w:cs="Times New Roman"/>
          <w:kern w:val="0"/>
          <w:sz w:val="32"/>
          <w:szCs w:val="32"/>
        </w:rPr>
        <w:t>指保障机关正常运转、完成日常工作任务而编制的年度基本支出计划，包括人员经费和公用经费两部分。</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六、项目支出：</w:t>
      </w:r>
      <w:r>
        <w:rPr>
          <w:rFonts w:hint="default" w:ascii="Times New Roman" w:hAnsi="Times New Roman" w:eastAsia="仿宋_GB2312" w:cs="Times New Roman"/>
          <w:kern w:val="0"/>
          <w:sz w:val="32"/>
          <w:szCs w:val="32"/>
        </w:rPr>
        <w:t>指机关为完成其特定的项目工作任务，在基本支出预算之外编制的年度项目支出计划。</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outlineLvl w:val="9"/>
        <w:rPr>
          <w:rFonts w:hint="default" w:ascii="Times New Roman" w:hAnsi="Times New Roman" w:eastAsia="仿宋_GB2312" w:cs="Times New Roman"/>
          <w:sz w:val="32"/>
          <w:szCs w:val="32"/>
        </w:rPr>
      </w:pPr>
      <w:r>
        <w:rPr>
          <w:rStyle w:val="15"/>
          <w:rFonts w:hint="default" w:ascii="Times New Roman" w:hAnsi="Times New Roman" w:eastAsia="黑体" w:cs="Times New Roman"/>
          <w:b w:val="0"/>
          <w:kern w:val="0"/>
          <w:sz w:val="32"/>
          <w:szCs w:val="32"/>
          <w:shd w:val="clear" w:fill="FFFFFF"/>
          <w:lang w:val="en-US" w:eastAsia="zh-CN" w:bidi="ar"/>
        </w:rPr>
        <w:t>七、机关运行经费：</w:t>
      </w:r>
      <w:r>
        <w:rPr>
          <w:rFonts w:hint="default" w:ascii="Times New Roman" w:hAnsi="Times New Roman" w:eastAsia="仿宋_GB2312" w:cs="Times New Roman"/>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000000"/>
          <w:kern w:val="0"/>
          <w:sz w:val="32"/>
          <w:szCs w:val="32"/>
        </w:rPr>
      </w:pPr>
      <w:r>
        <w:rPr>
          <w:rStyle w:val="15"/>
          <w:rFonts w:hint="default" w:ascii="Times New Roman" w:hAnsi="Times New Roman" w:eastAsia="黑体" w:cs="Times New Roman"/>
          <w:b w:val="0"/>
          <w:kern w:val="0"/>
          <w:sz w:val="32"/>
          <w:szCs w:val="32"/>
          <w:shd w:val="clear" w:fill="FFFFFF"/>
          <w:lang w:val="en-US" w:eastAsia="zh-CN" w:bidi="ar"/>
        </w:rPr>
        <w:t>八、“三公”经费：</w:t>
      </w:r>
      <w:r>
        <w:rPr>
          <w:rFonts w:ascii="仿宋_GB2312" w:hAnsi="仿宋_GB2312" w:eastAsia="仿宋_GB2312" w:cs="仿宋_GB2312"/>
          <w:sz w:val="32"/>
          <w:szCs w:val="32"/>
        </w:rPr>
        <w:t>纳入财政预决算管理的“三公”经费，是指用财政拨款安排的因公出国(境)费、公务用车购置及运行费和公务接待费。其中，因公出国(境)费反映单位因公务出国(境)的国际旅费、国外城市间交通费、住宿费、伙食费、培训费、公杂费等支出；公务用车购置及运行费反映单位因公务用车车辆购置支出(含车辆购置税)及租用费、燃料费、维修费、过路过桥费、保险费、安全奖励费用等支出；公务接待费反映单位按中央和省委省政府相关规定开支的各类公务接待(含外宾接待)支出。</w:t>
      </w:r>
    </w:p>
    <w:p>
      <w:pPr>
        <w:pStyle w:val="11"/>
        <w:jc w:val="center"/>
        <w:rPr>
          <w:sz w:val="72"/>
          <w:szCs w:val="72"/>
        </w:rPr>
      </w:pPr>
    </w:p>
    <w:p>
      <w:pPr>
        <w:ind w:firstLine="640" w:firstLineChars="200"/>
        <w:jc w:val="left"/>
        <w:rPr>
          <w:rFonts w:cs="黑体" w:asciiTheme="minorEastAsia" w:hAnsiTheme="minorEastAsia"/>
          <w:color w:val="000000"/>
          <w:kern w:val="0"/>
          <w:sz w:val="32"/>
          <w:szCs w:val="32"/>
        </w:rPr>
      </w:pPr>
    </w:p>
    <w:sectPr>
      <w:footerReference r:id="rId6" w:type="default"/>
      <w:pgSz w:w="11906" w:h="16838"/>
      <w:pgMar w:top="1440" w:right="1800" w:bottom="1440" w:left="180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09A7A"/>
    <w:multiLevelType w:val="singleLevel"/>
    <w:tmpl w:val="88109A7A"/>
    <w:lvl w:ilvl="0" w:tentative="0">
      <w:start w:val="4"/>
      <w:numFmt w:val="chineseCounting"/>
      <w:suff w:val="space"/>
      <w:lvlText w:val="第%1部分"/>
      <w:lvlJc w:val="left"/>
      <w:rPr>
        <w:rFonts w:hint="eastAsia"/>
      </w:rPr>
    </w:lvl>
  </w:abstractNum>
  <w:abstractNum w:abstractNumId="1">
    <w:nsid w:val="BB552E97"/>
    <w:multiLevelType w:val="singleLevel"/>
    <w:tmpl w:val="BB552E97"/>
    <w:lvl w:ilvl="0" w:tentative="0">
      <w:start w:val="1"/>
      <w:numFmt w:val="decimal"/>
      <w:suff w:val="nothing"/>
      <w:lvlText w:val="%1、"/>
      <w:lvlJc w:val="left"/>
    </w:lvl>
  </w:abstractNum>
  <w:abstractNum w:abstractNumId="2">
    <w:nsid w:val="D5FC4387"/>
    <w:multiLevelType w:val="singleLevel"/>
    <w:tmpl w:val="D5FC4387"/>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zg5Yjc5OTAwODA3ZjkzOWYyODEyZmNjM2VmOT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1F5E08"/>
    <w:rsid w:val="03206573"/>
    <w:rsid w:val="03CC137E"/>
    <w:rsid w:val="047C4E5B"/>
    <w:rsid w:val="04892F2B"/>
    <w:rsid w:val="0491379A"/>
    <w:rsid w:val="04AB1614"/>
    <w:rsid w:val="06053C60"/>
    <w:rsid w:val="06BA3CB2"/>
    <w:rsid w:val="07133987"/>
    <w:rsid w:val="08543BEA"/>
    <w:rsid w:val="09E33A8C"/>
    <w:rsid w:val="0ADD00CA"/>
    <w:rsid w:val="0AEB1872"/>
    <w:rsid w:val="0B5903CC"/>
    <w:rsid w:val="0BB1610A"/>
    <w:rsid w:val="0C523489"/>
    <w:rsid w:val="0C96213D"/>
    <w:rsid w:val="0CAC3744"/>
    <w:rsid w:val="0D027EFF"/>
    <w:rsid w:val="10CF6769"/>
    <w:rsid w:val="10DE674D"/>
    <w:rsid w:val="13117BFA"/>
    <w:rsid w:val="150D3681"/>
    <w:rsid w:val="15A91422"/>
    <w:rsid w:val="15C31854"/>
    <w:rsid w:val="17BC422C"/>
    <w:rsid w:val="18D45879"/>
    <w:rsid w:val="19FC5BC7"/>
    <w:rsid w:val="1BE54032"/>
    <w:rsid w:val="1C2535F5"/>
    <w:rsid w:val="1C3B3D2A"/>
    <w:rsid w:val="1E1E28AB"/>
    <w:rsid w:val="1E855252"/>
    <w:rsid w:val="1F9E68E7"/>
    <w:rsid w:val="21BA5C5D"/>
    <w:rsid w:val="223F4735"/>
    <w:rsid w:val="22A266DE"/>
    <w:rsid w:val="23FB7503"/>
    <w:rsid w:val="250548BE"/>
    <w:rsid w:val="25B368EF"/>
    <w:rsid w:val="25BC0664"/>
    <w:rsid w:val="277A5C3C"/>
    <w:rsid w:val="28AA7ACA"/>
    <w:rsid w:val="293A1B55"/>
    <w:rsid w:val="29B36C89"/>
    <w:rsid w:val="2A015918"/>
    <w:rsid w:val="2A212327"/>
    <w:rsid w:val="2A4557AE"/>
    <w:rsid w:val="2A5D2F7A"/>
    <w:rsid w:val="2A7366E5"/>
    <w:rsid w:val="2AE6064E"/>
    <w:rsid w:val="2F5841ED"/>
    <w:rsid w:val="2FD360EA"/>
    <w:rsid w:val="2FE07891"/>
    <w:rsid w:val="3089427A"/>
    <w:rsid w:val="33661D82"/>
    <w:rsid w:val="359F7DE8"/>
    <w:rsid w:val="36870E29"/>
    <w:rsid w:val="36A30747"/>
    <w:rsid w:val="37701193"/>
    <w:rsid w:val="391D5313"/>
    <w:rsid w:val="39947354"/>
    <w:rsid w:val="3A4B6E94"/>
    <w:rsid w:val="3A545A9D"/>
    <w:rsid w:val="3ABA6E80"/>
    <w:rsid w:val="3AFD37DE"/>
    <w:rsid w:val="3C365029"/>
    <w:rsid w:val="3CE55482"/>
    <w:rsid w:val="3D45508F"/>
    <w:rsid w:val="3D5A2E6D"/>
    <w:rsid w:val="3D92565F"/>
    <w:rsid w:val="3E1963E5"/>
    <w:rsid w:val="3E9B6AE9"/>
    <w:rsid w:val="3F2F3423"/>
    <w:rsid w:val="3F2F775A"/>
    <w:rsid w:val="400E7BBA"/>
    <w:rsid w:val="404B2BCB"/>
    <w:rsid w:val="404D089B"/>
    <w:rsid w:val="40CB016E"/>
    <w:rsid w:val="4134630A"/>
    <w:rsid w:val="42BE3F42"/>
    <w:rsid w:val="435F6012"/>
    <w:rsid w:val="449E1643"/>
    <w:rsid w:val="44D26250"/>
    <w:rsid w:val="44DE20BF"/>
    <w:rsid w:val="44EA32B6"/>
    <w:rsid w:val="46C170C3"/>
    <w:rsid w:val="47010FCD"/>
    <w:rsid w:val="471901DD"/>
    <w:rsid w:val="48331AB1"/>
    <w:rsid w:val="487D543E"/>
    <w:rsid w:val="499E7402"/>
    <w:rsid w:val="49D93EB4"/>
    <w:rsid w:val="4A8F4A99"/>
    <w:rsid w:val="4CC83016"/>
    <w:rsid w:val="4DC92001"/>
    <w:rsid w:val="4F1B2D50"/>
    <w:rsid w:val="5072143A"/>
    <w:rsid w:val="51772BAD"/>
    <w:rsid w:val="53FC2179"/>
    <w:rsid w:val="556A4AD8"/>
    <w:rsid w:val="56B90B53"/>
    <w:rsid w:val="56FC4DE8"/>
    <w:rsid w:val="57E72E29"/>
    <w:rsid w:val="58745243"/>
    <w:rsid w:val="58F00836"/>
    <w:rsid w:val="591D15F9"/>
    <w:rsid w:val="59B16019"/>
    <w:rsid w:val="5A1B7FE4"/>
    <w:rsid w:val="5A4F53CA"/>
    <w:rsid w:val="5A52048E"/>
    <w:rsid w:val="5A82146E"/>
    <w:rsid w:val="5B667984"/>
    <w:rsid w:val="5D3622B6"/>
    <w:rsid w:val="5EDD2CFA"/>
    <w:rsid w:val="5FBB6101"/>
    <w:rsid w:val="60AA7607"/>
    <w:rsid w:val="616C7377"/>
    <w:rsid w:val="638E7274"/>
    <w:rsid w:val="64422D83"/>
    <w:rsid w:val="684545C1"/>
    <w:rsid w:val="6A2256DE"/>
    <w:rsid w:val="6B9D57B0"/>
    <w:rsid w:val="6C2A7F6B"/>
    <w:rsid w:val="6ECD47A1"/>
    <w:rsid w:val="6F5E19FD"/>
    <w:rsid w:val="6F7A6648"/>
    <w:rsid w:val="70B71383"/>
    <w:rsid w:val="71312A90"/>
    <w:rsid w:val="716B764B"/>
    <w:rsid w:val="73E90642"/>
    <w:rsid w:val="7424389C"/>
    <w:rsid w:val="750C5B34"/>
    <w:rsid w:val="77363CE1"/>
    <w:rsid w:val="7770053A"/>
    <w:rsid w:val="780C6B94"/>
    <w:rsid w:val="78632E2A"/>
    <w:rsid w:val="78AD100F"/>
    <w:rsid w:val="797F30B1"/>
    <w:rsid w:val="79924D04"/>
    <w:rsid w:val="799E61CA"/>
    <w:rsid w:val="79B50528"/>
    <w:rsid w:val="7A632532"/>
    <w:rsid w:val="7B63372C"/>
    <w:rsid w:val="7CEA18CE"/>
    <w:rsid w:val="7D023EB4"/>
    <w:rsid w:val="7D8D61A0"/>
    <w:rsid w:val="7DAE3042"/>
    <w:rsid w:val="7DC8798B"/>
    <w:rsid w:val="7EBA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99"/>
    <w:pPr>
      <w:widowControl w:val="0"/>
      <w:spacing w:after="0" w:line="600" w:lineRule="exact"/>
      <w:ind w:left="0" w:leftChars="0" w:firstLine="420" w:firstLineChars="200"/>
      <w:jc w:val="left"/>
    </w:pPr>
    <w:rPr>
      <w:rFonts w:ascii="方正仿宋简体" w:hAnsi="Calibri Light" w:eastAsia="方正仿宋简体" w:cs="Times New Roman"/>
      <w:kern w:val="2"/>
      <w:sz w:val="21"/>
      <w:szCs w:val="24"/>
      <w:lang w:val="en-US" w:eastAsia="zh-CN" w:bidi="ar-SA"/>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semiHidden/>
    <w:qFormat/>
    <w:uiPriority w:val="99"/>
    <w:pPr>
      <w:ind w:firstLine="633" w:firstLineChars="200"/>
    </w:pPr>
    <w:rPr>
      <w:rFonts w:ascii="仿宋_GB2312" w:hAnsi="仿宋_GB2312" w:eastAsia="仿宋_GB2312" w:cs="仿宋_GB2312"/>
      <w:b/>
      <w:bCs/>
      <w:w w:val="98"/>
      <w:sz w:val="32"/>
      <w:szCs w:val="32"/>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3"/>
    <w:semiHidden/>
    <w:qFormat/>
    <w:uiPriority w:val="99"/>
    <w:rPr>
      <w:sz w:val="18"/>
      <w:szCs w:val="18"/>
    </w:rPr>
  </w:style>
  <w:style w:type="paragraph" w:customStyle="1" w:styleId="14">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7819</Words>
  <Characters>9701</Characters>
  <Lines>69</Lines>
  <Paragraphs>19</Paragraphs>
  <TotalTime>65</TotalTime>
  <ScaleCrop>false</ScaleCrop>
  <LinksUpToDate>false</LinksUpToDate>
  <CharactersWithSpaces>10794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朱佳妮</cp:lastModifiedBy>
  <cp:lastPrinted>2023-08-23T08:20:00Z</cp:lastPrinted>
  <dcterms:modified xsi:type="dcterms:W3CDTF">2024-05-31T07:57:53Z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CFC15ECCC2C140ADA3D10E627E3C7A50</vt:lpwstr>
  </property>
</Properties>
</file>