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47B034">
      <w:pPr>
        <w:ind w:firstLine="0" w:firstLineChars="0"/>
        <w:rPr>
          <w:rFonts w:ascii="Times New Roman" w:hAnsi="Times New Roman" w:cs="Times New Roman"/>
        </w:rPr>
      </w:pPr>
      <w:bookmarkStart w:id="81" w:name="_GoBack"/>
      <w:bookmarkEnd w:id="81"/>
      <w:bookmarkStart w:id="0" w:name="_Toc11049"/>
    </w:p>
    <w:p w14:paraId="4A76DD05">
      <w:pPr>
        <w:ind w:firstLine="640"/>
        <w:rPr>
          <w:rFonts w:ascii="Times New Roman" w:hAnsi="Times New Roman" w:cs="Times New Roman"/>
        </w:rPr>
      </w:pPr>
    </w:p>
    <w:p w14:paraId="1AF9BF25">
      <w:pPr>
        <w:ind w:firstLine="640"/>
        <w:rPr>
          <w:rFonts w:ascii="Times New Roman" w:hAnsi="Times New Roman" w:cs="Times New Roman"/>
        </w:rPr>
      </w:pPr>
    </w:p>
    <w:p w14:paraId="79A0FA21">
      <w:pPr>
        <w:ind w:firstLine="640"/>
        <w:rPr>
          <w:rFonts w:ascii="Times New Roman" w:hAnsi="Times New Roman" w:cs="Times New Roman"/>
        </w:rPr>
      </w:pPr>
    </w:p>
    <w:p w14:paraId="3550A790">
      <w:pPr>
        <w:pStyle w:val="3"/>
        <w:ind w:firstLine="0" w:firstLineChars="0"/>
        <w:jc w:val="center"/>
        <w:rPr>
          <w:rFonts w:ascii="Times New Roman" w:hAnsi="Times New Roman" w:cs="Times New Roman"/>
          <w:sz w:val="46"/>
          <w:szCs w:val="46"/>
        </w:rPr>
      </w:pPr>
      <w:bookmarkStart w:id="1" w:name="_Toc13448"/>
      <w:bookmarkStart w:id="2" w:name="_Toc3966"/>
      <w:bookmarkStart w:id="3" w:name="_Toc2536"/>
      <w:bookmarkStart w:id="4" w:name="_Toc2276"/>
      <w:bookmarkStart w:id="5" w:name="_Toc18965"/>
      <w:bookmarkStart w:id="6" w:name="_Toc26859"/>
      <w:bookmarkStart w:id="7" w:name="_Toc3634"/>
      <w:bookmarkStart w:id="8" w:name="_Toc207728188"/>
      <w:bookmarkStart w:id="9" w:name="_Toc205881436"/>
      <w:bookmarkStart w:id="10" w:name="_Toc3376"/>
      <w:bookmarkStart w:id="11" w:name="_Toc3550"/>
      <w:bookmarkStart w:id="12" w:name="_Toc16107"/>
      <w:bookmarkStart w:id="13" w:name="_Toc8814"/>
      <w:bookmarkStart w:id="14" w:name="_Toc197529752"/>
      <w:bookmarkStart w:id="15" w:name="_Toc10550"/>
      <w:bookmarkStart w:id="16" w:name="_Toc6540"/>
      <w:bookmarkStart w:id="17" w:name="OLE_LINK9"/>
      <w:r>
        <w:rPr>
          <w:rFonts w:hint="eastAsia" w:ascii="Times New Roman" w:hAnsi="Times New Roman" w:eastAsia="FZXiaoBiaoSong-B05"/>
          <w:sz w:val="44"/>
          <w:szCs w:val="44"/>
        </w:rPr>
        <w:t>湖南省</w:t>
      </w:r>
      <w:r>
        <w:rPr>
          <w:rFonts w:ascii="Times New Roman" w:hAnsi="Times New Roman" w:eastAsia="FZXiaoBiaoSong-B05"/>
          <w:sz w:val="44"/>
          <w:szCs w:val="44"/>
        </w:rPr>
        <w:t>“</w:t>
      </w:r>
      <w:r>
        <w:rPr>
          <w:rFonts w:hint="eastAsia" w:ascii="Times New Roman" w:hAnsi="Times New Roman" w:eastAsia="FZXiaoBiaoSong-B05"/>
          <w:sz w:val="44"/>
          <w:szCs w:val="44"/>
        </w:rPr>
        <w:t>十五五</w:t>
      </w:r>
      <w:r>
        <w:rPr>
          <w:rFonts w:ascii="Times New Roman" w:hAnsi="Times New Roman" w:eastAsia="FZXiaoBiaoSong-B05"/>
          <w:sz w:val="44"/>
          <w:szCs w:val="44"/>
        </w:rPr>
        <w:t>”</w:t>
      </w:r>
      <w:r>
        <w:rPr>
          <w:rFonts w:hint="eastAsia" w:ascii="Times New Roman" w:hAnsi="Times New Roman" w:eastAsia="FZXiaoBiaoSong-B05"/>
          <w:sz w:val="44"/>
          <w:szCs w:val="44"/>
        </w:rPr>
        <w:t>电力发展规划</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bookmarkEnd w:id="17"/>
    <w:p w14:paraId="2545DFC5">
      <w:pPr>
        <w:ind w:firstLine="640"/>
        <w:rPr>
          <w:rFonts w:ascii="Times New Roman" w:hAnsi="Times New Roman" w:cs="Times New Roman"/>
        </w:rPr>
      </w:pPr>
    </w:p>
    <w:p w14:paraId="54F61BE3">
      <w:pPr>
        <w:ind w:firstLine="640"/>
        <w:rPr>
          <w:rFonts w:ascii="Times New Roman" w:hAnsi="Times New Roman" w:cs="Times New Roman"/>
        </w:rPr>
      </w:pPr>
    </w:p>
    <w:p w14:paraId="391F154B">
      <w:pPr>
        <w:ind w:firstLine="640"/>
        <w:rPr>
          <w:rFonts w:ascii="Times New Roman" w:hAnsi="Times New Roman" w:cs="Times New Roman"/>
        </w:rPr>
      </w:pPr>
    </w:p>
    <w:p w14:paraId="38F04DAD">
      <w:pPr>
        <w:ind w:firstLine="640"/>
        <w:rPr>
          <w:rFonts w:ascii="Times New Roman" w:hAnsi="Times New Roman" w:cs="Times New Roman"/>
        </w:rPr>
      </w:pPr>
    </w:p>
    <w:p w14:paraId="4132056C">
      <w:pPr>
        <w:ind w:firstLine="640"/>
        <w:rPr>
          <w:rFonts w:ascii="Times New Roman" w:hAnsi="Times New Roman" w:cs="Times New Roman"/>
        </w:rPr>
      </w:pPr>
    </w:p>
    <w:p w14:paraId="1854A94A">
      <w:pPr>
        <w:ind w:firstLine="640"/>
        <w:rPr>
          <w:rFonts w:ascii="Times New Roman" w:hAnsi="Times New Roman" w:cs="Times New Roman"/>
        </w:rPr>
      </w:pPr>
    </w:p>
    <w:p w14:paraId="0F577288">
      <w:pPr>
        <w:ind w:firstLine="640"/>
        <w:rPr>
          <w:rFonts w:ascii="Times New Roman" w:hAnsi="Times New Roman" w:cs="Times New Roman"/>
        </w:rPr>
      </w:pPr>
    </w:p>
    <w:p w14:paraId="0CEE2FB9">
      <w:pPr>
        <w:ind w:firstLine="640"/>
        <w:rPr>
          <w:rFonts w:ascii="Times New Roman" w:hAnsi="Times New Roman" w:cs="Times New Roman"/>
        </w:rPr>
      </w:pPr>
    </w:p>
    <w:p w14:paraId="120E3C9D">
      <w:pPr>
        <w:ind w:firstLine="640"/>
        <w:rPr>
          <w:rFonts w:ascii="Times New Roman" w:hAnsi="Times New Roman" w:cs="Times New Roman"/>
        </w:rPr>
      </w:pPr>
    </w:p>
    <w:p w14:paraId="3E9C70F8">
      <w:pPr>
        <w:ind w:firstLine="640"/>
        <w:rPr>
          <w:rFonts w:ascii="Times New Roman" w:hAnsi="Times New Roman" w:cs="Times New Roman"/>
        </w:rPr>
      </w:pPr>
    </w:p>
    <w:p w14:paraId="79100A08">
      <w:pPr>
        <w:ind w:firstLine="0" w:firstLineChars="0"/>
        <w:jc w:val="center"/>
        <w:rPr>
          <w:rFonts w:ascii="Times New Roman" w:hAnsi="Times New Roman" w:eastAsia="楷体_GB2312" w:cs="Times New Roman"/>
          <w:sz w:val="36"/>
          <w:szCs w:val="28"/>
        </w:rPr>
      </w:pPr>
      <w:r>
        <w:rPr>
          <w:rFonts w:hint="eastAsia" w:ascii="Times New Roman" w:hAnsi="Times New Roman" w:eastAsia="楷体_GB2312" w:cs="Times New Roman"/>
          <w:sz w:val="36"/>
          <w:szCs w:val="28"/>
        </w:rPr>
        <w:t>湖南省发展和改革委员会</w:t>
      </w:r>
    </w:p>
    <w:p w14:paraId="7319820E">
      <w:pPr>
        <w:ind w:firstLine="0" w:firstLineChars="0"/>
        <w:jc w:val="center"/>
        <w:rPr>
          <w:rFonts w:ascii="Times New Roman" w:hAnsi="Times New Roman" w:eastAsia="楷体_GB2312" w:cs="Times New Roman"/>
          <w:sz w:val="36"/>
          <w:szCs w:val="28"/>
        </w:rPr>
      </w:pPr>
      <w:r>
        <w:rPr>
          <w:rFonts w:hint="eastAsia" w:ascii="Times New Roman" w:hAnsi="Times New Roman" w:eastAsia="楷体_GB2312" w:cs="Times New Roman"/>
          <w:sz w:val="36"/>
          <w:szCs w:val="28"/>
        </w:rPr>
        <w:t>湖</w:t>
      </w:r>
      <w:r>
        <w:rPr>
          <w:rFonts w:ascii="Times New Roman" w:hAnsi="Times New Roman" w:eastAsia="楷体_GB2312" w:cs="Times New Roman"/>
          <w:sz w:val="36"/>
          <w:szCs w:val="28"/>
        </w:rPr>
        <w:t xml:space="preserve">  </w:t>
      </w:r>
      <w:r>
        <w:rPr>
          <w:rFonts w:hint="eastAsia" w:ascii="Times New Roman" w:hAnsi="Times New Roman" w:eastAsia="楷体_GB2312" w:cs="Times New Roman"/>
          <w:sz w:val="36"/>
          <w:szCs w:val="28"/>
        </w:rPr>
        <w:t>南</w:t>
      </w:r>
      <w:r>
        <w:rPr>
          <w:rFonts w:ascii="Times New Roman" w:hAnsi="Times New Roman" w:eastAsia="楷体_GB2312" w:cs="Times New Roman"/>
          <w:sz w:val="36"/>
          <w:szCs w:val="28"/>
        </w:rPr>
        <w:t xml:space="preserve">  </w:t>
      </w:r>
      <w:r>
        <w:rPr>
          <w:rFonts w:hint="eastAsia" w:ascii="Times New Roman" w:hAnsi="Times New Roman" w:eastAsia="楷体_GB2312" w:cs="Times New Roman"/>
          <w:sz w:val="36"/>
          <w:szCs w:val="28"/>
        </w:rPr>
        <w:t>省</w:t>
      </w:r>
      <w:r>
        <w:rPr>
          <w:rFonts w:ascii="Times New Roman" w:hAnsi="Times New Roman" w:eastAsia="楷体_GB2312" w:cs="Times New Roman"/>
          <w:sz w:val="36"/>
          <w:szCs w:val="28"/>
        </w:rPr>
        <w:t xml:space="preserve">  </w:t>
      </w:r>
      <w:r>
        <w:rPr>
          <w:rFonts w:hint="eastAsia" w:ascii="Times New Roman" w:hAnsi="Times New Roman" w:eastAsia="楷体_GB2312" w:cs="Times New Roman"/>
          <w:sz w:val="36"/>
          <w:szCs w:val="28"/>
        </w:rPr>
        <w:t>能</w:t>
      </w:r>
      <w:r>
        <w:rPr>
          <w:rFonts w:ascii="Times New Roman" w:hAnsi="Times New Roman" w:eastAsia="楷体_GB2312" w:cs="Times New Roman"/>
          <w:sz w:val="36"/>
          <w:szCs w:val="28"/>
        </w:rPr>
        <w:t xml:space="preserve">  </w:t>
      </w:r>
      <w:r>
        <w:rPr>
          <w:rFonts w:hint="eastAsia" w:ascii="Times New Roman" w:hAnsi="Times New Roman" w:eastAsia="楷体_GB2312" w:cs="Times New Roman"/>
          <w:sz w:val="36"/>
          <w:szCs w:val="28"/>
        </w:rPr>
        <w:t>源</w:t>
      </w:r>
      <w:r>
        <w:rPr>
          <w:rFonts w:ascii="Times New Roman" w:hAnsi="Times New Roman" w:eastAsia="楷体_GB2312" w:cs="Times New Roman"/>
          <w:sz w:val="36"/>
          <w:szCs w:val="28"/>
        </w:rPr>
        <w:t xml:space="preserve">  </w:t>
      </w:r>
      <w:r>
        <w:rPr>
          <w:rFonts w:hint="eastAsia" w:ascii="Times New Roman" w:hAnsi="Times New Roman" w:eastAsia="楷体_GB2312" w:cs="Times New Roman"/>
          <w:sz w:val="36"/>
          <w:szCs w:val="28"/>
        </w:rPr>
        <w:t>局</w:t>
      </w:r>
    </w:p>
    <w:p w14:paraId="6F40A41E">
      <w:pPr>
        <w:ind w:firstLine="0" w:firstLineChars="0"/>
        <w:jc w:val="center"/>
        <w:rPr>
          <w:rFonts w:ascii="Times New Roman" w:hAnsi="Times New Roman" w:eastAsia="楷体_GB2312" w:cs="Times New Roman"/>
          <w:sz w:val="36"/>
          <w:szCs w:val="28"/>
        </w:rPr>
      </w:pPr>
      <w:r>
        <w:rPr>
          <w:rFonts w:hint="eastAsia" w:ascii="Times New Roman" w:hAnsi="Times New Roman" w:eastAsia="楷体_GB2312" w:cs="Times New Roman"/>
          <w:sz w:val="36"/>
          <w:szCs w:val="28"/>
        </w:rPr>
        <w:t>二</w:t>
      </w:r>
      <w:r>
        <w:rPr>
          <w:rFonts w:hint="eastAsia" w:ascii="宋体" w:hAnsi="宋体" w:eastAsia="宋体" w:cs="宋体"/>
          <w:sz w:val="36"/>
          <w:szCs w:val="28"/>
        </w:rPr>
        <w:t>〇</w:t>
      </w:r>
      <w:r>
        <w:rPr>
          <w:rFonts w:hint="eastAsia" w:ascii="楷体_GB2312" w:hAnsi="楷体_GB2312" w:eastAsia="楷体_GB2312" w:cs="楷体_GB2312"/>
          <w:sz w:val="36"/>
          <w:szCs w:val="28"/>
        </w:rPr>
        <w:t>二</w:t>
      </w:r>
      <w:r>
        <w:rPr>
          <w:rFonts w:hint="eastAsia" w:ascii="Times New Roman" w:hAnsi="Times New Roman" w:eastAsia="楷体_GB2312" w:cs="Times New Roman"/>
          <w:sz w:val="36"/>
          <w:szCs w:val="28"/>
        </w:rPr>
        <w:t>六年</w:t>
      </w:r>
      <w:r>
        <w:rPr>
          <w:rFonts w:hint="eastAsia" w:ascii="Times New Roman" w:hAnsi="Times New Roman" w:eastAsia="楷体_GB2312" w:cs="Times New Roman"/>
          <w:sz w:val="36"/>
          <w:szCs w:val="28"/>
          <w:lang w:eastAsia="zh-CN"/>
        </w:rPr>
        <w:t>十</w:t>
      </w:r>
      <w:r>
        <w:rPr>
          <w:rFonts w:hint="eastAsia" w:ascii="Times New Roman" w:hAnsi="Times New Roman" w:eastAsia="楷体_GB2312" w:cs="Times New Roman"/>
          <w:sz w:val="36"/>
          <w:szCs w:val="28"/>
        </w:rPr>
        <w:t>月</w:t>
      </w:r>
    </w:p>
    <w:p w14:paraId="096F49CE">
      <w:pPr>
        <w:ind w:firstLine="0" w:firstLineChars="0"/>
        <w:jc w:val="left"/>
        <w:rPr>
          <w:rFonts w:ascii="Times New Roman" w:hAnsi="Times New Roman" w:eastAsia="楷体_GB2312" w:cs="Times New Roman"/>
          <w:sz w:val="36"/>
          <w:szCs w:val="28"/>
        </w:rPr>
      </w:pPr>
      <w:r>
        <w:rPr>
          <w:rFonts w:ascii="Times New Roman" w:hAnsi="Times New Roman" w:eastAsia="楷体_GB2312" w:cs="Times New Roman"/>
          <w:sz w:val="36"/>
          <w:szCs w:val="28"/>
        </w:rPr>
        <w:br w:type="page"/>
      </w:r>
    </w:p>
    <w:p w14:paraId="7AC78CF7">
      <w:pPr>
        <w:ind w:firstLine="640"/>
        <w:rPr>
          <w:rFonts w:ascii="Times New Roman" w:hAnsi="Times New Roman" w:cs="Times New Roman"/>
        </w:rPr>
      </w:pPr>
    </w:p>
    <w:p w14:paraId="1259BB26">
      <w:pPr>
        <w:pStyle w:val="3"/>
        <w:ind w:firstLine="0" w:firstLineChars="0"/>
        <w:jc w:val="center"/>
        <w:rPr>
          <w:rFonts w:ascii="Times New Roman" w:hAnsi="Times New Roman" w:cs="Times New Roman"/>
        </w:rPr>
      </w:pPr>
      <w:bookmarkStart w:id="18" w:name="_Toc207728190"/>
      <w:bookmarkStart w:id="19" w:name="_Toc24410"/>
      <w:bookmarkStart w:id="20" w:name="_Toc15767"/>
      <w:bookmarkStart w:id="21" w:name="_Toc197529754"/>
      <w:bookmarkStart w:id="22" w:name="_Toc205881438"/>
      <w:bookmarkStart w:id="23" w:name="_Toc14795"/>
      <w:bookmarkStart w:id="24" w:name="_Toc23530"/>
      <w:bookmarkStart w:id="25" w:name="_Toc25511"/>
      <w:bookmarkStart w:id="26" w:name="_Toc27712"/>
      <w:bookmarkStart w:id="27" w:name="_Toc31421"/>
      <w:bookmarkStart w:id="28" w:name="_Toc24636"/>
      <w:bookmarkStart w:id="29" w:name="_Toc23399"/>
      <w:bookmarkStart w:id="30" w:name="_Toc3428"/>
      <w:bookmarkStart w:id="31" w:name="_Toc4063"/>
      <w:bookmarkStart w:id="32" w:name="_Toc26547"/>
      <w:bookmarkStart w:id="33" w:name="_Toc20917"/>
      <w:bookmarkStart w:id="34" w:name="_Toc5948"/>
      <w:r>
        <w:rPr>
          <w:rFonts w:hint="eastAsia" w:ascii="Times New Roman" w:hAnsi="Times New Roman" w:cs="Times New Roman"/>
        </w:rPr>
        <w:t>目</w:t>
      </w:r>
      <w:r>
        <w:rPr>
          <w:rFonts w:ascii="Times New Roman" w:hAnsi="Times New Roman" w:cs="Times New Roman"/>
        </w:rPr>
        <w:t xml:space="preserve">  </w:t>
      </w:r>
      <w:r>
        <w:rPr>
          <w:rFonts w:hint="eastAsia" w:ascii="Times New Roman" w:hAnsi="Times New Roman" w:cs="Times New Roman"/>
        </w:rPr>
        <w:t>录</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sdt>
      <w:sdtPr>
        <w:rPr>
          <w:rFonts w:ascii="Times New Roman" w:hAnsi="Times New Roman" w:eastAsia="宋体" w:cstheme="minorBidi"/>
          <w:szCs w:val="24"/>
        </w:rPr>
        <w:id w:val="147474110"/>
        <w:docPartObj>
          <w:docPartGallery w:val="Table of Contents"/>
          <w:docPartUnique/>
        </w:docPartObj>
      </w:sdtPr>
      <w:sdtEndPr>
        <w:rPr>
          <w:rFonts w:ascii="Times New Roman" w:hAnsi="Times New Roman" w:eastAsia="宋体" w:cstheme="minorBidi"/>
          <w:szCs w:val="24"/>
        </w:rPr>
      </w:sdtEndPr>
      <w:sdtContent>
        <w:p w14:paraId="3B23F459">
          <w:pPr>
            <w:pStyle w:val="18"/>
            <w:adjustRightInd w:val="0"/>
            <w:snapToGrid w:val="0"/>
            <w:spacing w:line="240" w:lineRule="auto"/>
            <w:jc w:val="center"/>
            <w:rPr>
              <w:rFonts w:ascii="Times New Roman" w:hAnsi="Times New Roman" w:eastAsia="FZSJ-FANGSGBTTOT"/>
              <w:sz w:val="28"/>
              <w:szCs w:val="28"/>
            </w:rPr>
          </w:pPr>
          <w:r>
            <w:rPr>
              <w:rFonts w:ascii="Times New Roman" w:hAnsi="Times New Roman" w:eastAsia="FZSJ-FANGSGBTTOT"/>
              <w:sz w:val="28"/>
              <w:szCs w:val="28"/>
            </w:rPr>
            <w:fldChar w:fldCharType="begin"/>
          </w:r>
          <w:r>
            <w:rPr>
              <w:rFonts w:ascii="Times New Roman" w:hAnsi="Times New Roman" w:eastAsia="FZSJ-FANGSGBTTOT"/>
              <w:sz w:val="28"/>
              <w:szCs w:val="28"/>
            </w:rPr>
            <w:instrText xml:space="preserve">TOC \o "1-3" \h \u </w:instrText>
          </w:r>
          <w:r>
            <w:rPr>
              <w:rFonts w:ascii="Times New Roman" w:hAnsi="Times New Roman" w:eastAsia="FZSJ-FANGSGBTTOT"/>
              <w:sz w:val="28"/>
              <w:szCs w:val="28"/>
            </w:rPr>
            <w:fldChar w:fldCharType="separate"/>
          </w:r>
        </w:p>
        <w:p w14:paraId="77EED0C9">
          <w:pPr>
            <w:pStyle w:val="18"/>
            <w:tabs>
              <w:tab w:val="right" w:leader="dot" w:pos="8306"/>
              <w:tab w:val="clear" w:pos="8777"/>
            </w:tabs>
            <w:spacing w:line="560" w:lineRule="exact"/>
            <w:rPr>
              <w:rFonts w:ascii="Times New Roman" w:hAnsi="Times New Roman" w:eastAsia="FZSJ-FANGSGBTTOT" w:cs="FZSJ-FANGSGBTTOT"/>
              <w:sz w:val="28"/>
              <w:szCs w:val="28"/>
            </w:rPr>
          </w:pPr>
        </w:p>
        <w:p w14:paraId="478D170F">
          <w:pPr>
            <w:pStyle w:val="18"/>
            <w:tabs>
              <w:tab w:val="right" w:leader="dot" w:pos="8306"/>
              <w:tab w:val="clear" w:pos="8777"/>
            </w:tabs>
            <w:adjustRightInd w:val="0"/>
            <w:snapToGrid w:val="0"/>
            <w:spacing w:line="560" w:lineRule="exact"/>
            <w:rPr>
              <w:rFonts w:ascii="Times New Roman" w:hAnsi="Times New Roman" w:eastAsia="FZSJ-FANGSGBTTOT"/>
              <w:b/>
              <w:bCs/>
              <w:sz w:val="28"/>
              <w:szCs w:val="28"/>
            </w:rPr>
          </w:pPr>
          <w:r>
            <w:fldChar w:fldCharType="begin"/>
          </w:r>
          <w:r>
            <w:instrText xml:space="preserve"> HYPERLINK \l "_Toc3587" </w:instrText>
          </w:r>
          <w:r>
            <w:fldChar w:fldCharType="separate"/>
          </w:r>
          <w:r>
            <w:rPr>
              <w:rFonts w:hint="eastAsia" w:ascii="Times New Roman" w:hAnsi="Times New Roman" w:eastAsia="FZSJ-FANGSGBTTOT"/>
              <w:b/>
              <w:bCs/>
              <w:sz w:val="28"/>
              <w:szCs w:val="28"/>
            </w:rPr>
            <w:t>第一章</w:t>
          </w:r>
          <w:r>
            <w:rPr>
              <w:rFonts w:ascii="Times New Roman" w:hAnsi="Times New Roman" w:eastAsia="FZSJ-FANGSGBTTOT"/>
              <w:b/>
              <w:bCs/>
              <w:sz w:val="28"/>
              <w:szCs w:val="28"/>
            </w:rPr>
            <w:t xml:space="preserve">  </w:t>
          </w:r>
          <w:r>
            <w:rPr>
              <w:rFonts w:hint="eastAsia" w:ascii="Times New Roman" w:hAnsi="Times New Roman" w:eastAsia="FZSJ-FANGSGBTTOT"/>
              <w:b/>
              <w:bCs/>
              <w:sz w:val="28"/>
              <w:szCs w:val="28"/>
            </w:rPr>
            <w:t>总体要求</w:t>
          </w:r>
          <w:r>
            <w:rPr>
              <w:rFonts w:ascii="Times New Roman" w:hAnsi="Times New Roman" w:eastAsia="FZSJ-FANGSGBTTOT"/>
              <w:b/>
              <w:bCs/>
              <w:sz w:val="28"/>
              <w:szCs w:val="28"/>
            </w:rPr>
            <w:tab/>
          </w:r>
          <w:r>
            <w:rPr>
              <w:rFonts w:hint="eastAsia" w:ascii="Times New Roman" w:hAnsi="Times New Roman" w:eastAsia="FZSJ-FANGSGBTTOT"/>
              <w:b/>
              <w:bCs/>
              <w:sz w:val="28"/>
              <w:szCs w:val="28"/>
            </w:rPr>
            <w:fldChar w:fldCharType="begin"/>
          </w:r>
          <w:r>
            <w:rPr>
              <w:rFonts w:ascii="Times New Roman" w:hAnsi="Times New Roman" w:eastAsia="FZSJ-FANGSGBTTOT"/>
              <w:b/>
              <w:bCs/>
              <w:sz w:val="28"/>
              <w:szCs w:val="28"/>
            </w:rPr>
            <w:instrText xml:space="preserve"> PAGEREF _Toc3587 \h </w:instrText>
          </w:r>
          <w:r>
            <w:rPr>
              <w:rFonts w:hint="eastAsia" w:ascii="Times New Roman" w:hAnsi="Times New Roman" w:eastAsia="FZSJ-FANGSGBTTOT"/>
              <w:b/>
              <w:bCs/>
              <w:sz w:val="28"/>
              <w:szCs w:val="28"/>
            </w:rPr>
            <w:fldChar w:fldCharType="separate"/>
          </w:r>
          <w:r>
            <w:rPr>
              <w:rFonts w:ascii="Times New Roman" w:hAnsi="Times New Roman" w:eastAsia="FZSJ-FANGSGBTTOT"/>
              <w:b/>
              <w:bCs/>
              <w:sz w:val="28"/>
              <w:szCs w:val="28"/>
            </w:rPr>
            <w:t>7</w:t>
          </w:r>
          <w:r>
            <w:rPr>
              <w:rFonts w:hint="eastAsia" w:ascii="Times New Roman" w:hAnsi="Times New Roman" w:eastAsia="FZSJ-FANGSGBTTOT"/>
              <w:b/>
              <w:bCs/>
              <w:sz w:val="28"/>
              <w:szCs w:val="28"/>
            </w:rPr>
            <w:fldChar w:fldCharType="end"/>
          </w:r>
          <w:r>
            <w:rPr>
              <w:rFonts w:hint="eastAsia" w:ascii="Times New Roman" w:hAnsi="Times New Roman" w:eastAsia="FZSJ-FANGSGBTTOT"/>
              <w:b/>
              <w:bCs/>
              <w:sz w:val="28"/>
              <w:szCs w:val="28"/>
            </w:rPr>
            <w:fldChar w:fldCharType="end"/>
          </w:r>
        </w:p>
        <w:p w14:paraId="63DBBAAF">
          <w:pPr>
            <w:pStyle w:val="19"/>
            <w:tabs>
              <w:tab w:val="right" w:leader="dot" w:pos="8306"/>
            </w:tabs>
            <w:adjustRightInd w:val="0"/>
            <w:snapToGrid w:val="0"/>
            <w:spacing w:line="560" w:lineRule="exact"/>
            <w:ind w:left="640"/>
            <w:rPr>
              <w:rFonts w:ascii="Times New Roman" w:hAnsi="Times New Roman" w:eastAsia="FZSJ-FANGSGBTTOT"/>
              <w:sz w:val="28"/>
              <w:szCs w:val="28"/>
            </w:rPr>
          </w:pPr>
          <w:r>
            <w:fldChar w:fldCharType="begin"/>
          </w:r>
          <w:r>
            <w:instrText xml:space="preserve"> HYPERLINK \l "_Toc19786" </w:instrText>
          </w:r>
          <w:r>
            <w:fldChar w:fldCharType="separate"/>
          </w:r>
          <w:r>
            <w:rPr>
              <w:rFonts w:hint="eastAsia" w:ascii="Times New Roman" w:hAnsi="Times New Roman" w:eastAsia="FZSJ-FANGSGBTTOT"/>
              <w:sz w:val="28"/>
              <w:szCs w:val="28"/>
            </w:rPr>
            <w:t>一、指导思想</w:t>
          </w:r>
          <w:r>
            <w:rPr>
              <w:rFonts w:ascii="Times New Roman" w:hAnsi="Times New Roman" w:eastAsia="FZSJ-FANGSGBTTOT"/>
              <w:sz w:val="28"/>
              <w:szCs w:val="28"/>
            </w:rPr>
            <w:tab/>
          </w:r>
          <w:r>
            <w:rPr>
              <w:rFonts w:hint="eastAsia" w:ascii="Times New Roman" w:hAnsi="Times New Roman" w:eastAsia="FZSJ-FANGSGBTTOT"/>
              <w:sz w:val="28"/>
              <w:szCs w:val="28"/>
            </w:rPr>
            <w:fldChar w:fldCharType="begin"/>
          </w:r>
          <w:r>
            <w:rPr>
              <w:rFonts w:ascii="Times New Roman" w:hAnsi="Times New Roman" w:eastAsia="FZSJ-FANGSGBTTOT"/>
              <w:sz w:val="28"/>
              <w:szCs w:val="28"/>
            </w:rPr>
            <w:instrText xml:space="preserve"> PAGEREF _Toc19786 \h </w:instrText>
          </w:r>
          <w:r>
            <w:rPr>
              <w:rFonts w:hint="eastAsia" w:ascii="Times New Roman" w:hAnsi="Times New Roman" w:eastAsia="FZSJ-FANGSGBTTOT"/>
              <w:sz w:val="28"/>
              <w:szCs w:val="28"/>
            </w:rPr>
            <w:fldChar w:fldCharType="separate"/>
          </w:r>
          <w:r>
            <w:rPr>
              <w:rFonts w:ascii="Times New Roman" w:hAnsi="Times New Roman" w:eastAsia="FZSJ-FANGSGBTTOT"/>
              <w:sz w:val="28"/>
              <w:szCs w:val="28"/>
            </w:rPr>
            <w:t>7</w:t>
          </w:r>
          <w:r>
            <w:rPr>
              <w:rFonts w:hint="eastAsia" w:ascii="Times New Roman" w:hAnsi="Times New Roman" w:eastAsia="FZSJ-FANGSGBTTOT"/>
              <w:sz w:val="28"/>
              <w:szCs w:val="28"/>
            </w:rPr>
            <w:fldChar w:fldCharType="end"/>
          </w:r>
          <w:r>
            <w:rPr>
              <w:rFonts w:hint="eastAsia" w:ascii="Times New Roman" w:hAnsi="Times New Roman" w:eastAsia="FZSJ-FANGSGBTTOT"/>
              <w:sz w:val="28"/>
              <w:szCs w:val="28"/>
            </w:rPr>
            <w:fldChar w:fldCharType="end"/>
          </w:r>
        </w:p>
        <w:p w14:paraId="65446F38">
          <w:pPr>
            <w:pStyle w:val="19"/>
            <w:tabs>
              <w:tab w:val="right" w:leader="dot" w:pos="8306"/>
            </w:tabs>
            <w:adjustRightInd w:val="0"/>
            <w:snapToGrid w:val="0"/>
            <w:spacing w:line="560" w:lineRule="exact"/>
            <w:ind w:left="640"/>
            <w:rPr>
              <w:rFonts w:ascii="Times New Roman" w:hAnsi="Times New Roman" w:eastAsia="FZSJ-FANGSGBTTOT" w:cs="FZSJ-FANGSGBTTOT"/>
              <w:sz w:val="28"/>
              <w:szCs w:val="28"/>
            </w:rPr>
          </w:pPr>
          <w:r>
            <w:fldChar w:fldCharType="begin"/>
          </w:r>
          <w:r>
            <w:instrText xml:space="preserve"> HYPERLINK \l "_Toc9699" </w:instrText>
          </w:r>
          <w:r>
            <w:fldChar w:fldCharType="separate"/>
          </w:r>
          <w:r>
            <w:rPr>
              <w:rFonts w:hint="eastAsia" w:ascii="Times New Roman" w:hAnsi="Times New Roman" w:eastAsia="FZSJ-FANGSGBTTOT"/>
              <w:sz w:val="28"/>
              <w:szCs w:val="28"/>
            </w:rPr>
            <w:t>二、发展目标</w:t>
          </w:r>
          <w:r>
            <w:rPr>
              <w:rFonts w:ascii="Times New Roman" w:hAnsi="Times New Roman" w:eastAsia="FZSJ-FANGSGBTTOT"/>
              <w:sz w:val="28"/>
              <w:szCs w:val="28"/>
            </w:rPr>
            <w:tab/>
          </w:r>
          <w:r>
            <w:rPr>
              <w:rFonts w:hint="eastAsia" w:ascii="Times New Roman" w:hAnsi="Times New Roman" w:eastAsia="FZSJ-FANGSGBTTOT"/>
              <w:sz w:val="28"/>
              <w:szCs w:val="28"/>
            </w:rPr>
            <w:fldChar w:fldCharType="begin"/>
          </w:r>
          <w:r>
            <w:rPr>
              <w:rFonts w:ascii="Times New Roman" w:hAnsi="Times New Roman" w:eastAsia="FZSJ-FANGSGBTTOT"/>
              <w:sz w:val="28"/>
              <w:szCs w:val="28"/>
            </w:rPr>
            <w:instrText xml:space="preserve"> PAGEREF _Toc9699 \h </w:instrText>
          </w:r>
          <w:r>
            <w:rPr>
              <w:rFonts w:hint="eastAsia" w:ascii="Times New Roman" w:hAnsi="Times New Roman" w:eastAsia="FZSJ-FANGSGBTTOT"/>
              <w:sz w:val="28"/>
              <w:szCs w:val="28"/>
            </w:rPr>
            <w:fldChar w:fldCharType="separate"/>
          </w:r>
          <w:r>
            <w:rPr>
              <w:rFonts w:ascii="Times New Roman" w:hAnsi="Times New Roman" w:eastAsia="FZSJ-FANGSGBTTOT"/>
              <w:sz w:val="28"/>
              <w:szCs w:val="28"/>
            </w:rPr>
            <w:t>8</w:t>
          </w:r>
          <w:r>
            <w:rPr>
              <w:rFonts w:hint="eastAsia" w:ascii="Times New Roman" w:hAnsi="Times New Roman" w:eastAsia="FZSJ-FANGSGBTTOT"/>
              <w:sz w:val="28"/>
              <w:szCs w:val="28"/>
            </w:rPr>
            <w:fldChar w:fldCharType="end"/>
          </w:r>
          <w:r>
            <w:rPr>
              <w:rFonts w:hint="eastAsia" w:ascii="Times New Roman" w:hAnsi="Times New Roman" w:eastAsia="FZSJ-FANGSGBTTOT"/>
              <w:sz w:val="28"/>
              <w:szCs w:val="28"/>
            </w:rPr>
            <w:fldChar w:fldCharType="end"/>
          </w:r>
        </w:p>
        <w:p w14:paraId="54B38092">
          <w:pPr>
            <w:pStyle w:val="18"/>
            <w:tabs>
              <w:tab w:val="right" w:leader="dot" w:pos="8306"/>
              <w:tab w:val="clear" w:pos="8777"/>
            </w:tabs>
            <w:adjustRightInd w:val="0"/>
            <w:snapToGrid w:val="0"/>
            <w:spacing w:line="560" w:lineRule="exact"/>
            <w:rPr>
              <w:rFonts w:ascii="Times New Roman" w:hAnsi="Times New Roman" w:eastAsia="FZSJ-FANGSGBTTOT" w:cs="FZSJ-FANGSGBTTOT"/>
              <w:sz w:val="28"/>
              <w:szCs w:val="28"/>
            </w:rPr>
          </w:pPr>
          <w:r>
            <w:fldChar w:fldCharType="begin"/>
          </w:r>
          <w:r>
            <w:instrText xml:space="preserve"> HYPERLINK \l "_Toc12346" </w:instrText>
          </w:r>
          <w:r>
            <w:fldChar w:fldCharType="separate"/>
          </w:r>
          <w:r>
            <w:rPr>
              <w:rFonts w:hint="eastAsia" w:ascii="Times New Roman" w:hAnsi="Times New Roman" w:eastAsia="FZSJ-FANGSGBTTOT"/>
              <w:b/>
              <w:bCs/>
              <w:sz w:val="28"/>
              <w:szCs w:val="28"/>
            </w:rPr>
            <w:t>第二章</w:t>
          </w:r>
          <w:r>
            <w:rPr>
              <w:rFonts w:ascii="Times New Roman" w:hAnsi="Times New Roman" w:eastAsia="FZSJ-FANGSGBTTOT"/>
              <w:b/>
              <w:bCs/>
              <w:sz w:val="28"/>
              <w:szCs w:val="28"/>
            </w:rPr>
            <w:t xml:space="preserve">  </w:t>
          </w:r>
          <w:r>
            <w:rPr>
              <w:rFonts w:hint="eastAsia" w:ascii="Times New Roman" w:hAnsi="Times New Roman" w:eastAsia="FZSJ-FANGSGBTTOT"/>
              <w:b/>
              <w:bCs/>
              <w:sz w:val="28"/>
              <w:szCs w:val="28"/>
            </w:rPr>
            <w:t>重点任务</w:t>
          </w:r>
          <w:r>
            <w:rPr>
              <w:rFonts w:ascii="Times New Roman" w:hAnsi="Times New Roman" w:eastAsia="FZSJ-FANGSGBTTOT"/>
              <w:b/>
              <w:bCs/>
              <w:sz w:val="28"/>
              <w:szCs w:val="28"/>
            </w:rPr>
            <w:tab/>
          </w:r>
          <w:r>
            <w:rPr>
              <w:rFonts w:hint="eastAsia" w:ascii="Times New Roman" w:hAnsi="Times New Roman" w:eastAsia="FZSJ-FANGSGBTTOT"/>
              <w:b/>
              <w:bCs/>
              <w:sz w:val="28"/>
              <w:szCs w:val="28"/>
            </w:rPr>
            <w:fldChar w:fldCharType="begin"/>
          </w:r>
          <w:r>
            <w:rPr>
              <w:rFonts w:ascii="Times New Roman" w:hAnsi="Times New Roman" w:eastAsia="FZSJ-FANGSGBTTOT"/>
              <w:b/>
              <w:bCs/>
              <w:sz w:val="28"/>
              <w:szCs w:val="28"/>
            </w:rPr>
            <w:instrText xml:space="preserve"> PAGEREF _Toc12346 \h </w:instrText>
          </w:r>
          <w:r>
            <w:rPr>
              <w:rFonts w:hint="eastAsia" w:ascii="Times New Roman" w:hAnsi="Times New Roman" w:eastAsia="FZSJ-FANGSGBTTOT"/>
              <w:b/>
              <w:bCs/>
              <w:sz w:val="28"/>
              <w:szCs w:val="28"/>
            </w:rPr>
            <w:fldChar w:fldCharType="separate"/>
          </w:r>
          <w:r>
            <w:rPr>
              <w:rFonts w:ascii="Times New Roman" w:hAnsi="Times New Roman" w:eastAsia="FZSJ-FANGSGBTTOT"/>
              <w:b/>
              <w:bCs/>
              <w:sz w:val="28"/>
              <w:szCs w:val="28"/>
            </w:rPr>
            <w:t>9</w:t>
          </w:r>
          <w:r>
            <w:rPr>
              <w:rFonts w:hint="eastAsia" w:ascii="Times New Roman" w:hAnsi="Times New Roman" w:eastAsia="FZSJ-FANGSGBTTOT"/>
              <w:b/>
              <w:bCs/>
              <w:sz w:val="28"/>
              <w:szCs w:val="28"/>
            </w:rPr>
            <w:fldChar w:fldCharType="end"/>
          </w:r>
          <w:r>
            <w:rPr>
              <w:rFonts w:hint="eastAsia" w:ascii="Times New Roman" w:hAnsi="Times New Roman" w:eastAsia="FZSJ-FANGSGBTTOT"/>
              <w:b/>
              <w:bCs/>
              <w:sz w:val="28"/>
              <w:szCs w:val="28"/>
            </w:rPr>
            <w:fldChar w:fldCharType="end"/>
          </w:r>
        </w:p>
        <w:p w14:paraId="5107C970">
          <w:pPr>
            <w:pStyle w:val="19"/>
            <w:tabs>
              <w:tab w:val="right" w:leader="dot" w:pos="8306"/>
            </w:tabs>
            <w:adjustRightInd w:val="0"/>
            <w:snapToGrid w:val="0"/>
            <w:spacing w:line="560" w:lineRule="exact"/>
            <w:ind w:left="640"/>
            <w:rPr>
              <w:rFonts w:ascii="Times New Roman" w:hAnsi="Times New Roman" w:eastAsia="FZSJ-FANGSGBTTOT"/>
              <w:sz w:val="28"/>
              <w:szCs w:val="28"/>
            </w:rPr>
          </w:pPr>
          <w:r>
            <w:fldChar w:fldCharType="begin"/>
          </w:r>
          <w:r>
            <w:instrText xml:space="preserve"> HYPERLINK \l "_Toc3711" </w:instrText>
          </w:r>
          <w:r>
            <w:fldChar w:fldCharType="separate"/>
          </w:r>
          <w:r>
            <w:rPr>
              <w:rFonts w:hint="eastAsia" w:ascii="Times New Roman" w:hAnsi="Times New Roman" w:eastAsia="FZSJ-FANGSGBTTOT"/>
              <w:sz w:val="28"/>
              <w:szCs w:val="28"/>
            </w:rPr>
            <w:t>一、</w:t>
          </w:r>
          <w:r>
            <w:rPr>
              <w:rFonts w:hint="eastAsia" w:ascii="Times New Roman" w:hAnsi="Times New Roman" w:eastAsia="FZSJ-FANGSGBTTOT" w:cs="Times New Roman"/>
              <w:i w:val="0"/>
              <w:iCs w:val="0"/>
              <w:caps w:val="0"/>
              <w:spacing w:val="0"/>
              <w:sz w:val="28"/>
              <w:szCs w:val="28"/>
              <w:shd w:val="clear" w:fill="auto"/>
            </w:rPr>
            <w:t>打造区域电力交换枢纽</w:t>
          </w:r>
          <w:r>
            <w:rPr>
              <w:rFonts w:ascii="Times New Roman" w:hAnsi="Times New Roman" w:eastAsia="FZSJ-FANGSGBTTOT"/>
              <w:sz w:val="28"/>
              <w:szCs w:val="28"/>
            </w:rPr>
            <w:tab/>
          </w:r>
          <w:r>
            <w:rPr>
              <w:rFonts w:hint="eastAsia" w:ascii="Times New Roman" w:hAnsi="Times New Roman" w:eastAsia="FZSJ-FANGSGBTTOT"/>
              <w:sz w:val="28"/>
              <w:szCs w:val="28"/>
            </w:rPr>
            <w:fldChar w:fldCharType="begin"/>
          </w:r>
          <w:r>
            <w:rPr>
              <w:rFonts w:ascii="Times New Roman" w:hAnsi="Times New Roman" w:eastAsia="FZSJ-FANGSGBTTOT"/>
              <w:sz w:val="28"/>
              <w:szCs w:val="28"/>
            </w:rPr>
            <w:instrText xml:space="preserve"> PAGEREF _Toc3711 \h </w:instrText>
          </w:r>
          <w:r>
            <w:rPr>
              <w:rFonts w:hint="eastAsia" w:ascii="Times New Roman" w:hAnsi="Times New Roman" w:eastAsia="FZSJ-FANGSGBTTOT"/>
              <w:sz w:val="28"/>
              <w:szCs w:val="28"/>
            </w:rPr>
            <w:fldChar w:fldCharType="separate"/>
          </w:r>
          <w:r>
            <w:rPr>
              <w:rFonts w:ascii="Times New Roman" w:hAnsi="Times New Roman" w:eastAsia="FZSJ-FANGSGBTTOT"/>
              <w:sz w:val="28"/>
              <w:szCs w:val="28"/>
            </w:rPr>
            <w:t>9</w:t>
          </w:r>
          <w:r>
            <w:rPr>
              <w:rFonts w:hint="eastAsia" w:ascii="Times New Roman" w:hAnsi="Times New Roman" w:eastAsia="FZSJ-FANGSGBTTOT"/>
              <w:sz w:val="28"/>
              <w:szCs w:val="28"/>
            </w:rPr>
            <w:fldChar w:fldCharType="end"/>
          </w:r>
          <w:r>
            <w:rPr>
              <w:rFonts w:hint="eastAsia" w:ascii="Times New Roman" w:hAnsi="Times New Roman" w:eastAsia="FZSJ-FANGSGBTTOT"/>
              <w:sz w:val="28"/>
              <w:szCs w:val="28"/>
            </w:rPr>
            <w:fldChar w:fldCharType="end"/>
          </w:r>
        </w:p>
        <w:p w14:paraId="1B3E3B70">
          <w:pPr>
            <w:pStyle w:val="19"/>
            <w:tabs>
              <w:tab w:val="right" w:leader="dot" w:pos="8306"/>
            </w:tabs>
            <w:adjustRightInd w:val="0"/>
            <w:snapToGrid w:val="0"/>
            <w:spacing w:line="560" w:lineRule="exact"/>
            <w:ind w:left="640"/>
            <w:rPr>
              <w:rFonts w:ascii="Times New Roman" w:hAnsi="Times New Roman" w:eastAsia="FZSJ-FANGSGBTTOT"/>
              <w:sz w:val="28"/>
              <w:szCs w:val="28"/>
            </w:rPr>
          </w:pPr>
          <w:r>
            <w:fldChar w:fldCharType="begin"/>
          </w:r>
          <w:r>
            <w:instrText xml:space="preserve"> HYPERLINK \l "_Toc3784" </w:instrText>
          </w:r>
          <w:r>
            <w:fldChar w:fldCharType="separate"/>
          </w:r>
          <w:r>
            <w:rPr>
              <w:rFonts w:hint="eastAsia" w:ascii="Times New Roman" w:hAnsi="Times New Roman" w:eastAsia="FZSJ-FANGSGBTTOT"/>
              <w:sz w:val="28"/>
              <w:szCs w:val="28"/>
            </w:rPr>
            <w:t>二、</w:t>
          </w:r>
          <w:r>
            <w:rPr>
              <w:rFonts w:hint="eastAsia" w:ascii="Times New Roman" w:hAnsi="Times New Roman" w:eastAsia="FZSJ-FANGSGBTTOT" w:cs="Times New Roman"/>
              <w:i w:val="0"/>
              <w:iCs w:val="0"/>
              <w:caps w:val="0"/>
              <w:spacing w:val="0"/>
              <w:sz w:val="28"/>
              <w:szCs w:val="28"/>
              <w:shd w:val="clear" w:fill="auto"/>
            </w:rPr>
            <w:t>推动清洁电力高质量发展</w:t>
          </w:r>
          <w:r>
            <w:rPr>
              <w:rFonts w:ascii="Times New Roman" w:hAnsi="Times New Roman" w:eastAsia="FZSJ-FANGSGBTTOT"/>
              <w:sz w:val="28"/>
              <w:szCs w:val="28"/>
            </w:rPr>
            <w:tab/>
          </w:r>
          <w:r>
            <w:rPr>
              <w:rFonts w:hint="eastAsia" w:ascii="Times New Roman" w:hAnsi="Times New Roman" w:eastAsia="FZSJ-FANGSGBTTOT"/>
              <w:sz w:val="28"/>
              <w:szCs w:val="28"/>
            </w:rPr>
            <w:fldChar w:fldCharType="begin"/>
          </w:r>
          <w:r>
            <w:rPr>
              <w:rFonts w:ascii="Times New Roman" w:hAnsi="Times New Roman" w:eastAsia="FZSJ-FANGSGBTTOT"/>
              <w:sz w:val="28"/>
              <w:szCs w:val="28"/>
            </w:rPr>
            <w:instrText xml:space="preserve"> PAGEREF _Toc3784 \h </w:instrText>
          </w:r>
          <w:r>
            <w:rPr>
              <w:rFonts w:hint="eastAsia" w:ascii="Times New Roman" w:hAnsi="Times New Roman" w:eastAsia="FZSJ-FANGSGBTTOT"/>
              <w:sz w:val="28"/>
              <w:szCs w:val="28"/>
            </w:rPr>
            <w:fldChar w:fldCharType="separate"/>
          </w:r>
          <w:r>
            <w:rPr>
              <w:rFonts w:ascii="Times New Roman" w:hAnsi="Times New Roman" w:eastAsia="FZSJ-FANGSGBTTOT"/>
              <w:sz w:val="28"/>
              <w:szCs w:val="28"/>
            </w:rPr>
            <w:t>10</w:t>
          </w:r>
          <w:r>
            <w:rPr>
              <w:rFonts w:hint="eastAsia" w:ascii="Times New Roman" w:hAnsi="Times New Roman" w:eastAsia="FZSJ-FANGSGBTTOT"/>
              <w:sz w:val="28"/>
              <w:szCs w:val="28"/>
            </w:rPr>
            <w:fldChar w:fldCharType="end"/>
          </w:r>
          <w:r>
            <w:rPr>
              <w:rFonts w:hint="eastAsia" w:ascii="Times New Roman" w:hAnsi="Times New Roman" w:eastAsia="FZSJ-FANGSGBTTOT"/>
              <w:sz w:val="28"/>
              <w:szCs w:val="28"/>
            </w:rPr>
            <w:fldChar w:fldCharType="end"/>
          </w:r>
        </w:p>
        <w:p w14:paraId="258C8115">
          <w:pPr>
            <w:pStyle w:val="19"/>
            <w:tabs>
              <w:tab w:val="right" w:leader="dot" w:pos="8306"/>
            </w:tabs>
            <w:adjustRightInd w:val="0"/>
            <w:snapToGrid w:val="0"/>
            <w:spacing w:line="560" w:lineRule="exact"/>
            <w:ind w:left="640"/>
            <w:rPr>
              <w:rFonts w:ascii="Times New Roman" w:hAnsi="Times New Roman" w:eastAsia="FZSJ-FANGSGBTTOT"/>
              <w:sz w:val="28"/>
              <w:szCs w:val="28"/>
            </w:rPr>
          </w:pPr>
          <w:r>
            <w:fldChar w:fldCharType="begin"/>
          </w:r>
          <w:r>
            <w:instrText xml:space="preserve"> HYPERLINK \l "_Toc17364" </w:instrText>
          </w:r>
          <w:r>
            <w:fldChar w:fldCharType="separate"/>
          </w:r>
          <w:r>
            <w:rPr>
              <w:rFonts w:hint="eastAsia" w:ascii="Times New Roman" w:hAnsi="Times New Roman" w:eastAsia="FZSJ-FANGSGBTTOT"/>
              <w:sz w:val="28"/>
              <w:szCs w:val="28"/>
            </w:rPr>
            <w:t>三、</w:t>
          </w:r>
          <w:r>
            <w:rPr>
              <w:rFonts w:hint="eastAsia" w:ascii="Times New Roman" w:hAnsi="Times New Roman" w:eastAsia="FZSJ-FANGSGBTTOT" w:cs="Times New Roman"/>
              <w:i w:val="0"/>
              <w:iCs w:val="0"/>
              <w:caps w:val="0"/>
              <w:spacing w:val="0"/>
              <w:sz w:val="28"/>
              <w:szCs w:val="28"/>
              <w:shd w:val="clear" w:fill="auto"/>
            </w:rPr>
            <w:t>增强电力支撑保障能力</w:t>
          </w:r>
          <w:r>
            <w:rPr>
              <w:rFonts w:ascii="Times New Roman" w:hAnsi="Times New Roman" w:eastAsia="FZSJ-FANGSGBTTOT"/>
              <w:sz w:val="28"/>
              <w:szCs w:val="28"/>
            </w:rPr>
            <w:tab/>
          </w:r>
          <w:r>
            <w:rPr>
              <w:rFonts w:hint="eastAsia" w:ascii="Times New Roman" w:hAnsi="Times New Roman" w:eastAsia="FZSJ-FANGSGBTTOT"/>
              <w:sz w:val="28"/>
              <w:szCs w:val="28"/>
            </w:rPr>
            <w:fldChar w:fldCharType="begin"/>
          </w:r>
          <w:r>
            <w:rPr>
              <w:rFonts w:ascii="Times New Roman" w:hAnsi="Times New Roman" w:eastAsia="FZSJ-FANGSGBTTOT"/>
              <w:sz w:val="28"/>
              <w:szCs w:val="28"/>
            </w:rPr>
            <w:instrText xml:space="preserve"> PAGEREF _Toc17364 \h </w:instrText>
          </w:r>
          <w:r>
            <w:rPr>
              <w:rFonts w:hint="eastAsia" w:ascii="Times New Roman" w:hAnsi="Times New Roman" w:eastAsia="FZSJ-FANGSGBTTOT"/>
              <w:sz w:val="28"/>
              <w:szCs w:val="28"/>
            </w:rPr>
            <w:fldChar w:fldCharType="separate"/>
          </w:r>
          <w:r>
            <w:rPr>
              <w:rFonts w:ascii="Times New Roman" w:hAnsi="Times New Roman" w:eastAsia="FZSJ-FANGSGBTTOT"/>
              <w:sz w:val="28"/>
              <w:szCs w:val="28"/>
            </w:rPr>
            <w:t>12</w:t>
          </w:r>
          <w:r>
            <w:rPr>
              <w:rFonts w:hint="eastAsia" w:ascii="Times New Roman" w:hAnsi="Times New Roman" w:eastAsia="FZSJ-FANGSGBTTOT"/>
              <w:sz w:val="28"/>
              <w:szCs w:val="28"/>
            </w:rPr>
            <w:fldChar w:fldCharType="end"/>
          </w:r>
          <w:r>
            <w:rPr>
              <w:rFonts w:hint="eastAsia" w:ascii="Times New Roman" w:hAnsi="Times New Roman" w:eastAsia="FZSJ-FANGSGBTTOT"/>
              <w:sz w:val="28"/>
              <w:szCs w:val="28"/>
            </w:rPr>
            <w:fldChar w:fldCharType="end"/>
          </w:r>
        </w:p>
        <w:p w14:paraId="688D4A3F">
          <w:pPr>
            <w:pStyle w:val="19"/>
            <w:tabs>
              <w:tab w:val="right" w:leader="dot" w:pos="8306"/>
            </w:tabs>
            <w:adjustRightInd w:val="0"/>
            <w:snapToGrid w:val="0"/>
            <w:spacing w:line="560" w:lineRule="exact"/>
            <w:ind w:left="640"/>
            <w:rPr>
              <w:rFonts w:ascii="Times New Roman" w:hAnsi="Times New Roman" w:eastAsia="FZSJ-FANGSGBTTOT"/>
              <w:sz w:val="28"/>
              <w:szCs w:val="28"/>
            </w:rPr>
          </w:pPr>
          <w:r>
            <w:fldChar w:fldCharType="begin"/>
          </w:r>
          <w:r>
            <w:instrText xml:space="preserve"> HYPERLINK \l "_Toc11624" </w:instrText>
          </w:r>
          <w:r>
            <w:fldChar w:fldCharType="separate"/>
          </w:r>
          <w:r>
            <w:rPr>
              <w:rFonts w:hint="eastAsia" w:ascii="Times New Roman" w:hAnsi="Times New Roman" w:eastAsia="FZSJ-FANGSGBTTOT"/>
              <w:sz w:val="28"/>
              <w:szCs w:val="28"/>
            </w:rPr>
            <w:t>四、</w:t>
          </w:r>
          <w:r>
            <w:rPr>
              <w:rFonts w:hint="eastAsia" w:ascii="Times New Roman" w:hAnsi="Times New Roman" w:eastAsia="FZSJ-FANGSGBTTOT" w:cs="Times New Roman"/>
              <w:i w:val="0"/>
              <w:iCs w:val="0"/>
              <w:caps w:val="0"/>
              <w:spacing w:val="0"/>
              <w:sz w:val="28"/>
              <w:szCs w:val="28"/>
              <w:shd w:val="clear" w:fill="auto"/>
            </w:rPr>
            <w:t>深化电力资源聚合互动</w:t>
          </w:r>
          <w:r>
            <w:rPr>
              <w:rFonts w:ascii="Times New Roman" w:hAnsi="Times New Roman" w:eastAsia="FZSJ-FANGSGBTTOT"/>
              <w:sz w:val="28"/>
              <w:szCs w:val="28"/>
            </w:rPr>
            <w:tab/>
          </w:r>
          <w:r>
            <w:rPr>
              <w:rFonts w:hint="eastAsia" w:ascii="Times New Roman" w:hAnsi="Times New Roman" w:eastAsia="FZSJ-FANGSGBTTOT"/>
              <w:sz w:val="28"/>
              <w:szCs w:val="28"/>
            </w:rPr>
            <w:fldChar w:fldCharType="begin"/>
          </w:r>
          <w:r>
            <w:rPr>
              <w:rFonts w:ascii="Times New Roman" w:hAnsi="Times New Roman" w:eastAsia="FZSJ-FANGSGBTTOT"/>
              <w:sz w:val="28"/>
              <w:szCs w:val="28"/>
            </w:rPr>
            <w:instrText xml:space="preserve"> PAGEREF _Toc11624 \h </w:instrText>
          </w:r>
          <w:r>
            <w:rPr>
              <w:rFonts w:hint="eastAsia" w:ascii="Times New Roman" w:hAnsi="Times New Roman" w:eastAsia="FZSJ-FANGSGBTTOT"/>
              <w:sz w:val="28"/>
              <w:szCs w:val="28"/>
            </w:rPr>
            <w:fldChar w:fldCharType="separate"/>
          </w:r>
          <w:r>
            <w:rPr>
              <w:rFonts w:ascii="Times New Roman" w:hAnsi="Times New Roman" w:eastAsia="FZSJ-FANGSGBTTOT"/>
              <w:sz w:val="28"/>
              <w:szCs w:val="28"/>
            </w:rPr>
            <w:t>15</w:t>
          </w:r>
          <w:r>
            <w:rPr>
              <w:rFonts w:hint="eastAsia" w:ascii="Times New Roman" w:hAnsi="Times New Roman" w:eastAsia="FZSJ-FANGSGBTTOT"/>
              <w:sz w:val="28"/>
              <w:szCs w:val="28"/>
            </w:rPr>
            <w:fldChar w:fldCharType="end"/>
          </w:r>
          <w:r>
            <w:rPr>
              <w:rFonts w:hint="eastAsia" w:ascii="Times New Roman" w:hAnsi="Times New Roman" w:eastAsia="FZSJ-FANGSGBTTOT"/>
              <w:sz w:val="28"/>
              <w:szCs w:val="28"/>
            </w:rPr>
            <w:fldChar w:fldCharType="end"/>
          </w:r>
        </w:p>
        <w:p w14:paraId="06273ED0">
          <w:pPr>
            <w:pStyle w:val="19"/>
            <w:tabs>
              <w:tab w:val="right" w:leader="dot" w:pos="8306"/>
            </w:tabs>
            <w:adjustRightInd w:val="0"/>
            <w:snapToGrid w:val="0"/>
            <w:spacing w:line="560" w:lineRule="exact"/>
            <w:ind w:left="640"/>
            <w:rPr>
              <w:rFonts w:ascii="Times New Roman" w:hAnsi="Times New Roman" w:eastAsia="FZSJ-FANGSGBTTOT"/>
              <w:sz w:val="28"/>
              <w:szCs w:val="28"/>
            </w:rPr>
          </w:pPr>
          <w:r>
            <w:fldChar w:fldCharType="begin"/>
          </w:r>
          <w:r>
            <w:instrText xml:space="preserve"> HYPERLINK \l "_Toc5939" </w:instrText>
          </w:r>
          <w:r>
            <w:fldChar w:fldCharType="separate"/>
          </w:r>
          <w:r>
            <w:rPr>
              <w:rFonts w:hint="eastAsia" w:ascii="Times New Roman" w:hAnsi="Times New Roman" w:eastAsia="FZSJ-FANGSGBTTOT"/>
              <w:sz w:val="28"/>
              <w:szCs w:val="28"/>
            </w:rPr>
            <w:t>五、提升多元调节资源协同水平</w:t>
          </w:r>
          <w:r>
            <w:rPr>
              <w:rFonts w:ascii="Times New Roman" w:hAnsi="Times New Roman" w:eastAsia="FZSJ-FANGSGBTTOT"/>
              <w:sz w:val="28"/>
              <w:szCs w:val="28"/>
            </w:rPr>
            <w:tab/>
          </w:r>
          <w:r>
            <w:rPr>
              <w:rFonts w:hint="eastAsia" w:ascii="Times New Roman" w:hAnsi="Times New Roman" w:eastAsia="FZSJ-FANGSGBTTOT"/>
              <w:sz w:val="28"/>
              <w:szCs w:val="28"/>
            </w:rPr>
            <w:fldChar w:fldCharType="begin"/>
          </w:r>
          <w:r>
            <w:rPr>
              <w:rFonts w:ascii="Times New Roman" w:hAnsi="Times New Roman" w:eastAsia="FZSJ-FANGSGBTTOT"/>
              <w:sz w:val="28"/>
              <w:szCs w:val="28"/>
            </w:rPr>
            <w:instrText xml:space="preserve"> PAGEREF _Toc5939 \h </w:instrText>
          </w:r>
          <w:r>
            <w:rPr>
              <w:rFonts w:hint="eastAsia" w:ascii="Times New Roman" w:hAnsi="Times New Roman" w:eastAsia="FZSJ-FANGSGBTTOT"/>
              <w:sz w:val="28"/>
              <w:szCs w:val="28"/>
            </w:rPr>
            <w:fldChar w:fldCharType="separate"/>
          </w:r>
          <w:r>
            <w:rPr>
              <w:rFonts w:ascii="Times New Roman" w:hAnsi="Times New Roman" w:eastAsia="FZSJ-FANGSGBTTOT"/>
              <w:sz w:val="28"/>
              <w:szCs w:val="28"/>
            </w:rPr>
            <w:t>16</w:t>
          </w:r>
          <w:r>
            <w:rPr>
              <w:rFonts w:hint="eastAsia" w:ascii="Times New Roman" w:hAnsi="Times New Roman" w:eastAsia="FZSJ-FANGSGBTTOT"/>
              <w:sz w:val="28"/>
              <w:szCs w:val="28"/>
            </w:rPr>
            <w:fldChar w:fldCharType="end"/>
          </w:r>
          <w:r>
            <w:rPr>
              <w:rFonts w:hint="eastAsia" w:ascii="Times New Roman" w:hAnsi="Times New Roman" w:eastAsia="FZSJ-FANGSGBTTOT"/>
              <w:sz w:val="28"/>
              <w:szCs w:val="28"/>
            </w:rPr>
            <w:fldChar w:fldCharType="end"/>
          </w:r>
        </w:p>
        <w:p w14:paraId="1452EC9B">
          <w:pPr>
            <w:pStyle w:val="19"/>
            <w:tabs>
              <w:tab w:val="right" w:leader="dot" w:pos="8306"/>
            </w:tabs>
            <w:adjustRightInd w:val="0"/>
            <w:snapToGrid w:val="0"/>
            <w:spacing w:line="560" w:lineRule="exact"/>
            <w:ind w:left="640"/>
            <w:rPr>
              <w:rFonts w:ascii="Times New Roman" w:hAnsi="Times New Roman" w:eastAsia="FZSJ-FANGSGBTTOT" w:cs="FZSJ-FANGSGBTTOT"/>
              <w:sz w:val="28"/>
              <w:szCs w:val="28"/>
            </w:rPr>
          </w:pPr>
          <w:r>
            <w:fldChar w:fldCharType="begin"/>
          </w:r>
          <w:r>
            <w:instrText xml:space="preserve"> HYPERLINK \l "_Toc25647" </w:instrText>
          </w:r>
          <w:r>
            <w:fldChar w:fldCharType="separate"/>
          </w:r>
          <w:r>
            <w:rPr>
              <w:rFonts w:hint="eastAsia" w:ascii="Times New Roman" w:hAnsi="Times New Roman" w:eastAsia="FZSJ-FANGSGBTTOT"/>
              <w:sz w:val="28"/>
              <w:szCs w:val="28"/>
            </w:rPr>
            <w:t>六、</w:t>
          </w:r>
          <w:r>
            <w:rPr>
              <w:rFonts w:hint="eastAsia" w:ascii="Times New Roman" w:hAnsi="Times New Roman" w:eastAsia="FZSJ-FANGSGBTTOT" w:cs="Times New Roman"/>
              <w:i w:val="0"/>
              <w:iCs w:val="0"/>
              <w:caps w:val="0"/>
              <w:spacing w:val="0"/>
              <w:sz w:val="28"/>
              <w:szCs w:val="28"/>
              <w:shd w:val="clear" w:fill="auto"/>
            </w:rPr>
            <w:t>强化创新引领与改革深化</w:t>
          </w:r>
          <w:r>
            <w:rPr>
              <w:rFonts w:ascii="Times New Roman" w:hAnsi="Times New Roman" w:eastAsia="FZSJ-FANGSGBTTOT"/>
              <w:sz w:val="28"/>
              <w:szCs w:val="28"/>
            </w:rPr>
            <w:tab/>
          </w:r>
          <w:r>
            <w:rPr>
              <w:rFonts w:hint="eastAsia" w:ascii="Times New Roman" w:hAnsi="Times New Roman" w:eastAsia="FZSJ-FANGSGBTTOT"/>
              <w:sz w:val="28"/>
              <w:szCs w:val="28"/>
            </w:rPr>
            <w:fldChar w:fldCharType="begin"/>
          </w:r>
          <w:r>
            <w:rPr>
              <w:rFonts w:ascii="Times New Roman" w:hAnsi="Times New Roman" w:eastAsia="FZSJ-FANGSGBTTOT"/>
              <w:sz w:val="28"/>
              <w:szCs w:val="28"/>
            </w:rPr>
            <w:instrText xml:space="preserve"> PAGEREF _Toc25647 \h </w:instrText>
          </w:r>
          <w:r>
            <w:rPr>
              <w:rFonts w:hint="eastAsia" w:ascii="Times New Roman" w:hAnsi="Times New Roman" w:eastAsia="FZSJ-FANGSGBTTOT"/>
              <w:sz w:val="28"/>
              <w:szCs w:val="28"/>
            </w:rPr>
            <w:fldChar w:fldCharType="separate"/>
          </w:r>
          <w:r>
            <w:rPr>
              <w:rFonts w:ascii="Times New Roman" w:hAnsi="Times New Roman" w:eastAsia="FZSJ-FANGSGBTTOT"/>
              <w:sz w:val="28"/>
              <w:szCs w:val="28"/>
            </w:rPr>
            <w:t>18</w:t>
          </w:r>
          <w:r>
            <w:rPr>
              <w:rFonts w:hint="eastAsia" w:ascii="Times New Roman" w:hAnsi="Times New Roman" w:eastAsia="FZSJ-FANGSGBTTOT"/>
              <w:sz w:val="28"/>
              <w:szCs w:val="28"/>
            </w:rPr>
            <w:fldChar w:fldCharType="end"/>
          </w:r>
          <w:r>
            <w:rPr>
              <w:rFonts w:hint="eastAsia" w:ascii="Times New Roman" w:hAnsi="Times New Roman" w:eastAsia="FZSJ-FANGSGBTTOT"/>
              <w:sz w:val="28"/>
              <w:szCs w:val="28"/>
            </w:rPr>
            <w:fldChar w:fldCharType="end"/>
          </w:r>
        </w:p>
        <w:p w14:paraId="3D40FF44">
          <w:pPr>
            <w:pStyle w:val="18"/>
            <w:tabs>
              <w:tab w:val="right" w:leader="dot" w:pos="8306"/>
              <w:tab w:val="clear" w:pos="8777"/>
            </w:tabs>
            <w:adjustRightInd w:val="0"/>
            <w:snapToGrid w:val="0"/>
            <w:spacing w:line="560" w:lineRule="exact"/>
            <w:rPr>
              <w:rFonts w:hint="eastAsia" w:ascii="Times New Roman" w:hAnsi="Times New Roman" w:eastAsia="FZSJ-FANGSGBTTOT"/>
              <w:b w:val="0"/>
              <w:bCs w:val="0"/>
              <w:sz w:val="28"/>
              <w:szCs w:val="28"/>
            </w:rPr>
          </w:pPr>
          <w:r>
            <w:rPr>
              <w:rFonts w:hint="eastAsia" w:ascii="Times New Roman" w:hAnsi="Times New Roman" w:eastAsia="FZSJ-FANGSGBTTOT"/>
              <w:sz w:val="28"/>
              <w:szCs w:val="28"/>
            </w:rPr>
            <w:fldChar w:fldCharType="begin"/>
          </w:r>
          <w:r>
            <w:rPr>
              <w:rFonts w:hint="eastAsia" w:ascii="Times New Roman" w:hAnsi="Times New Roman" w:eastAsia="FZSJ-FANGSGBTTOT"/>
              <w:sz w:val="28"/>
              <w:szCs w:val="28"/>
            </w:rPr>
            <w:instrText xml:space="preserve"> HYPERLINK \l "_Toc9302" </w:instrText>
          </w:r>
          <w:r>
            <w:rPr>
              <w:rFonts w:hint="eastAsia" w:ascii="Times New Roman" w:hAnsi="Times New Roman" w:eastAsia="FZSJ-FANGSGBTTOT"/>
              <w:sz w:val="28"/>
              <w:szCs w:val="28"/>
            </w:rPr>
            <w:fldChar w:fldCharType="separate"/>
          </w:r>
          <w:r>
            <w:rPr>
              <w:rFonts w:hint="eastAsia" w:ascii="Times New Roman" w:hAnsi="Times New Roman" w:eastAsia="FZSJ-FANGSGBTTOT"/>
              <w:b w:val="0"/>
              <w:bCs w:val="0"/>
              <w:sz w:val="28"/>
              <w:szCs w:val="28"/>
            </w:rPr>
            <w:t>第三章  组织实施</w:t>
          </w:r>
          <w:r>
            <w:rPr>
              <w:rFonts w:hint="eastAsia" w:ascii="Times New Roman" w:hAnsi="Times New Roman" w:eastAsia="FZSJ-FANGSGBTTOT"/>
              <w:b w:val="0"/>
              <w:bCs w:val="0"/>
              <w:sz w:val="28"/>
              <w:szCs w:val="28"/>
            </w:rPr>
            <w:tab/>
          </w:r>
          <w:r>
            <w:rPr>
              <w:rFonts w:hint="eastAsia" w:ascii="Times New Roman" w:hAnsi="Times New Roman" w:eastAsia="FZSJ-FANGSGBTTOT"/>
              <w:b w:val="0"/>
              <w:bCs w:val="0"/>
              <w:sz w:val="28"/>
              <w:szCs w:val="28"/>
            </w:rPr>
            <w:fldChar w:fldCharType="begin"/>
          </w:r>
          <w:r>
            <w:rPr>
              <w:rFonts w:hint="eastAsia" w:ascii="Times New Roman" w:hAnsi="Times New Roman" w:eastAsia="FZSJ-FANGSGBTTOT"/>
              <w:b w:val="0"/>
              <w:bCs w:val="0"/>
              <w:sz w:val="28"/>
              <w:szCs w:val="28"/>
            </w:rPr>
            <w:instrText xml:space="preserve"> PAGEREF _Toc9302 \h </w:instrText>
          </w:r>
          <w:r>
            <w:rPr>
              <w:rFonts w:hint="eastAsia" w:ascii="Times New Roman" w:hAnsi="Times New Roman" w:eastAsia="FZSJ-FANGSGBTTOT"/>
              <w:b w:val="0"/>
              <w:bCs w:val="0"/>
              <w:sz w:val="28"/>
              <w:szCs w:val="28"/>
            </w:rPr>
            <w:fldChar w:fldCharType="separate"/>
          </w:r>
          <w:r>
            <w:rPr>
              <w:rFonts w:hint="eastAsia" w:ascii="Times New Roman" w:hAnsi="Times New Roman" w:eastAsia="FZSJ-FANGSGBTTOT"/>
              <w:b w:val="0"/>
              <w:bCs w:val="0"/>
              <w:sz w:val="28"/>
              <w:szCs w:val="28"/>
            </w:rPr>
            <w:t>20</w:t>
          </w:r>
          <w:r>
            <w:rPr>
              <w:rFonts w:hint="eastAsia" w:ascii="Times New Roman" w:hAnsi="Times New Roman" w:eastAsia="FZSJ-FANGSGBTTOT"/>
              <w:b w:val="0"/>
              <w:bCs w:val="0"/>
              <w:sz w:val="28"/>
              <w:szCs w:val="28"/>
            </w:rPr>
            <w:fldChar w:fldCharType="end"/>
          </w:r>
          <w:r>
            <w:rPr>
              <w:rFonts w:hint="eastAsia" w:ascii="Times New Roman" w:hAnsi="Times New Roman" w:eastAsia="FZSJ-FANGSGBTTOT"/>
              <w:b w:val="0"/>
              <w:bCs w:val="0"/>
              <w:sz w:val="28"/>
              <w:szCs w:val="28"/>
            </w:rPr>
            <w:fldChar w:fldCharType="end"/>
          </w:r>
        </w:p>
        <w:p w14:paraId="1F495389">
          <w:pPr>
            <w:pStyle w:val="18"/>
            <w:tabs>
              <w:tab w:val="right" w:leader="dot" w:pos="8306"/>
              <w:tab w:val="clear" w:pos="8777"/>
            </w:tabs>
            <w:adjustRightInd w:val="0"/>
            <w:snapToGrid w:val="0"/>
            <w:spacing w:line="560" w:lineRule="exact"/>
            <w:rPr>
              <w:rFonts w:ascii="Times New Roman" w:hAnsi="Times New Roman" w:eastAsia="FZSJ-FANGSGBTTOT"/>
              <w:sz w:val="28"/>
              <w:szCs w:val="28"/>
            </w:rPr>
          </w:pPr>
          <w:r>
            <w:rPr>
              <w:rFonts w:hint="eastAsia" w:ascii="Times New Roman" w:hAnsi="Times New Roman" w:eastAsia="FZSJ-FANGSGBTTOT"/>
              <w:sz w:val="28"/>
              <w:szCs w:val="28"/>
            </w:rPr>
            <w:t>附表：</w:t>
          </w:r>
          <w:r>
            <w:fldChar w:fldCharType="begin"/>
          </w:r>
          <w:r>
            <w:instrText xml:space="preserve"> HYPERLINK \l "_Toc23547" </w:instrText>
          </w:r>
          <w:r>
            <w:fldChar w:fldCharType="separate"/>
          </w:r>
          <w:r>
            <w:rPr>
              <w:rFonts w:hint="eastAsia" w:ascii="Times New Roman" w:hAnsi="Times New Roman" w:eastAsia="FZSJ-FANGSGBTTOT"/>
              <w:sz w:val="28"/>
              <w:szCs w:val="28"/>
            </w:rPr>
            <w:t>湖南省“十五五”电力发展规划重大项目表</w:t>
          </w:r>
          <w:r>
            <w:rPr>
              <w:rFonts w:ascii="Times New Roman" w:hAnsi="Times New Roman" w:eastAsia="FZSJ-FANGSGBTTOT"/>
              <w:sz w:val="28"/>
              <w:szCs w:val="28"/>
            </w:rPr>
            <w:tab/>
          </w:r>
          <w:r>
            <w:rPr>
              <w:rFonts w:hint="eastAsia" w:ascii="Times New Roman" w:hAnsi="Times New Roman" w:eastAsia="FZSJ-FANGSGBTTOT"/>
              <w:sz w:val="28"/>
              <w:szCs w:val="28"/>
            </w:rPr>
            <w:fldChar w:fldCharType="begin"/>
          </w:r>
          <w:r>
            <w:rPr>
              <w:rFonts w:ascii="Times New Roman" w:hAnsi="Times New Roman" w:eastAsia="FZSJ-FANGSGBTTOT"/>
              <w:sz w:val="28"/>
              <w:szCs w:val="28"/>
            </w:rPr>
            <w:instrText xml:space="preserve"> PAGEREF _Toc23547 \h </w:instrText>
          </w:r>
          <w:r>
            <w:rPr>
              <w:rFonts w:hint="eastAsia" w:ascii="Times New Roman" w:hAnsi="Times New Roman" w:eastAsia="FZSJ-FANGSGBTTOT"/>
              <w:sz w:val="28"/>
              <w:szCs w:val="28"/>
            </w:rPr>
            <w:fldChar w:fldCharType="separate"/>
          </w:r>
          <w:r>
            <w:rPr>
              <w:rFonts w:ascii="Times New Roman" w:hAnsi="Times New Roman" w:eastAsia="FZSJ-FANGSGBTTOT"/>
              <w:sz w:val="28"/>
              <w:szCs w:val="28"/>
            </w:rPr>
            <w:t>21</w:t>
          </w:r>
          <w:r>
            <w:rPr>
              <w:rFonts w:hint="eastAsia" w:ascii="Times New Roman" w:hAnsi="Times New Roman" w:eastAsia="FZSJ-FANGSGBTTOT"/>
              <w:sz w:val="28"/>
              <w:szCs w:val="28"/>
            </w:rPr>
            <w:fldChar w:fldCharType="end"/>
          </w:r>
          <w:r>
            <w:rPr>
              <w:rFonts w:hint="eastAsia" w:ascii="Times New Roman" w:hAnsi="Times New Roman" w:eastAsia="FZSJ-FANGSGBTTOT"/>
              <w:sz w:val="28"/>
              <w:szCs w:val="28"/>
            </w:rPr>
            <w:fldChar w:fldCharType="end"/>
          </w:r>
        </w:p>
        <w:p w14:paraId="583D33A0">
          <w:pPr>
            <w:tabs>
              <w:tab w:val="right" w:leader="dot" w:pos="8777"/>
            </w:tabs>
            <w:adjustRightInd w:val="0"/>
            <w:snapToGrid w:val="0"/>
            <w:spacing w:line="288" w:lineRule="auto"/>
            <w:ind w:firstLine="0" w:firstLineChars="0"/>
            <w:jc w:val="center"/>
            <w:rPr>
              <w:rFonts w:ascii="Times New Roman" w:hAnsi="Times New Roman" w:eastAsia="FZSJ-FANGSGBTTOT" w:cs="Times New Roman"/>
              <w:sz w:val="30"/>
              <w:szCs w:val="30"/>
            </w:rPr>
          </w:pPr>
          <w:r>
            <w:rPr>
              <w:rFonts w:ascii="Times New Roman" w:hAnsi="Times New Roman" w:eastAsia="FZSJ-FANGSGBTTOT" w:cs="Times New Roman"/>
              <w:sz w:val="28"/>
              <w:szCs w:val="28"/>
            </w:rPr>
            <w:fldChar w:fldCharType="end"/>
          </w:r>
        </w:p>
      </w:sdtContent>
    </w:sdt>
    <w:p w14:paraId="585703AC">
      <w:pPr>
        <w:pStyle w:val="3"/>
        <w:ind w:firstLine="0" w:firstLineChars="0"/>
        <w:jc w:val="center"/>
        <w:rPr>
          <w:rFonts w:ascii="Times New Roman" w:hAnsi="Times New Roman" w:eastAsia="FZSJ-FANGSGBTTOT" w:cs="Times New Roman"/>
          <w:sz w:val="30"/>
          <w:szCs w:val="30"/>
        </w:rPr>
        <w:sectPr>
          <w:headerReference r:id="rId5" w:type="default"/>
          <w:footerReference r:id="rId7" w:type="default"/>
          <w:headerReference r:id="rId6" w:type="even"/>
          <w:footerReference r:id="rId8" w:type="even"/>
          <w:pgSz w:w="11906" w:h="16838"/>
          <w:pgMar w:top="1871" w:right="1531" w:bottom="1531" w:left="1588" w:header="851" w:footer="1304" w:gutter="0"/>
          <w:cols w:space="425" w:num="1"/>
          <w:docGrid w:type="lines" w:linePitch="312" w:charSpace="0"/>
        </w:sectPr>
      </w:pPr>
      <w:bookmarkStart w:id="35" w:name="_Toc8535"/>
    </w:p>
    <w:bookmarkEnd w:id="35"/>
    <w:p w14:paraId="06EA0440">
      <w:pPr>
        <w:ind w:firstLine="0" w:firstLineChars="0"/>
        <w:jc w:val="center"/>
        <w:rPr>
          <w:rFonts w:ascii="Times New Roman" w:hAnsi="Times New Roman"/>
        </w:rPr>
      </w:pPr>
      <w:bookmarkStart w:id="36" w:name="_Toc3203"/>
      <w:bookmarkStart w:id="37" w:name="_Toc29750"/>
      <w:bookmarkStart w:id="38" w:name="_Toc3587"/>
      <w:bookmarkStart w:id="39" w:name="_Toc13606"/>
      <w:bookmarkStart w:id="40" w:name="_Toc19776"/>
    </w:p>
    <w:p w14:paraId="0B7A7E04">
      <w:pPr>
        <w:pStyle w:val="3"/>
        <w:ind w:firstLine="0" w:firstLineChars="0"/>
        <w:jc w:val="center"/>
        <w:rPr>
          <w:rFonts w:ascii="Times New Roman" w:hAnsi="Times New Roman"/>
        </w:rPr>
      </w:pPr>
      <w:r>
        <w:fldChar w:fldCharType="begin"/>
      </w:r>
      <w:r>
        <w:instrText xml:space="preserve"> HYPERLINK \l "_Toc433901725" </w:instrText>
      </w:r>
      <w:r>
        <w:fldChar w:fldCharType="separate"/>
      </w:r>
      <w:r>
        <w:rPr>
          <w:rFonts w:hint="eastAsia" w:ascii="Times New Roman" w:hAnsi="Times New Roman"/>
        </w:rPr>
        <w:t>第一章</w:t>
      </w:r>
      <w:r>
        <w:rPr>
          <w:rFonts w:ascii="Times New Roman" w:hAnsi="Times New Roman"/>
        </w:rPr>
        <w:t xml:space="preserve">  </w:t>
      </w:r>
      <w:r>
        <w:rPr>
          <w:rFonts w:hint="eastAsia" w:ascii="Times New Roman" w:hAnsi="Times New Roman"/>
        </w:rPr>
        <w:t>总体</w:t>
      </w:r>
      <w:r>
        <w:rPr>
          <w:rFonts w:hint="eastAsia" w:ascii="Times New Roman" w:hAnsi="Times New Roman"/>
        </w:rPr>
        <w:fldChar w:fldCharType="end"/>
      </w:r>
      <w:r>
        <w:rPr>
          <w:rFonts w:hint="eastAsia" w:ascii="Times New Roman" w:hAnsi="Times New Roman"/>
        </w:rPr>
        <w:t>要求</w:t>
      </w:r>
      <w:bookmarkEnd w:id="36"/>
      <w:bookmarkEnd w:id="37"/>
      <w:bookmarkEnd w:id="38"/>
      <w:bookmarkEnd w:id="39"/>
      <w:bookmarkEnd w:id="40"/>
    </w:p>
    <w:p w14:paraId="7540C34E">
      <w:pPr>
        <w:ind w:firstLine="640"/>
      </w:pPr>
    </w:p>
    <w:p w14:paraId="6BF86120">
      <w:pPr>
        <w:adjustRightInd w:val="0"/>
        <w:snapToGrid w:val="0"/>
        <w:ind w:firstLine="640"/>
        <w:rPr>
          <w:rFonts w:ascii="Times New Roman" w:hAnsi="Times New Roman" w:cs="Times New Roman"/>
        </w:rPr>
      </w:pPr>
      <w:r>
        <w:rPr>
          <w:rFonts w:hint="eastAsia" w:ascii="Times New Roman" w:hAnsi="Times New Roman" w:cs="Times New Roman"/>
        </w:rPr>
        <w:t>“十五五”时期是我省推动能源结构优化升级、实现“碳达峰”目标的关键时期，亟需加快建设清洁低碳、安全充裕、经济高效、供需协同、灵活智能的新型电力系统，为构建新型能源体系、促进经济社会高质量发展提供强力支撑。根据《国家新型电力系统建设“十五五”规划》、《湖南省国民经济和社会发展第十五个五年规划纲要》、《湖南省新型电力系统发展规划纲要》等有关要求，制定本规划，作为“十五五”时期湖南新型电力系统发展的总体蓝图。</w:t>
      </w:r>
    </w:p>
    <w:p w14:paraId="3E80DE74">
      <w:pPr>
        <w:pStyle w:val="4"/>
        <w:ind w:firstLine="640"/>
        <w:rPr>
          <w:rFonts w:ascii="Times New Roman" w:hAnsi="Times New Roman" w:cs="Times New Roman"/>
        </w:rPr>
      </w:pPr>
      <w:bookmarkStart w:id="41" w:name="_Toc19786"/>
      <w:r>
        <w:rPr>
          <w:rFonts w:ascii="Times New Roman" w:hAnsi="Times New Roman"/>
        </w:rPr>
        <w:fldChar w:fldCharType="begin"/>
      </w:r>
      <w:r>
        <w:rPr>
          <w:rFonts w:ascii="Times New Roman" w:hAnsi="Times New Roman"/>
        </w:rPr>
        <w:instrText xml:space="preserve"> HYPERLINK \l "_Toc433901739" </w:instrText>
      </w:r>
      <w:r>
        <w:rPr>
          <w:rFonts w:ascii="Times New Roman" w:hAnsi="Times New Roman"/>
        </w:rPr>
        <w:fldChar w:fldCharType="separate"/>
      </w:r>
      <w:bookmarkStart w:id="42" w:name="_Toc207728196"/>
      <w:r>
        <w:rPr>
          <w:rFonts w:hint="eastAsia" w:ascii="Times New Roman" w:hAnsi="Times New Roman" w:cs="Times New Roman"/>
        </w:rPr>
        <w:t>一、指导思想</w:t>
      </w:r>
      <w:bookmarkEnd w:id="42"/>
      <w:r>
        <w:rPr>
          <w:rFonts w:ascii="Times New Roman" w:hAnsi="Times New Roman" w:cs="Times New Roman"/>
        </w:rPr>
        <w:fldChar w:fldCharType="end"/>
      </w:r>
      <w:bookmarkEnd w:id="41"/>
    </w:p>
    <w:p w14:paraId="7989E0C5">
      <w:pPr>
        <w:ind w:firstLine="640"/>
        <w:rPr>
          <w:rFonts w:ascii="Times New Roman" w:hAnsi="Times New Roman" w:cs="Times New Roman"/>
        </w:rPr>
      </w:pPr>
      <w:r>
        <w:rPr>
          <w:rFonts w:hint="eastAsia" w:ascii="Times New Roman" w:hAnsi="Times New Roman"/>
        </w:rPr>
        <w:t>以习近平新时代中国特色社会主义思想为指导，全面贯彻党的二十大和</w:t>
      </w:r>
      <w:r>
        <w:rPr>
          <w:rFonts w:hint="eastAsia" w:ascii="Times New Roman" w:hAnsi="Times New Roman"/>
          <w:lang w:bidi="ar"/>
        </w:rPr>
        <w:t>二十届历次全会精神</w:t>
      </w:r>
      <w:r>
        <w:rPr>
          <w:rFonts w:hint="eastAsia" w:ascii="Times New Roman" w:hAnsi="Times New Roman"/>
        </w:rPr>
        <w:t>，完整准确全面贯彻新发展理念，主动服务和融入新发展格局，坚持稳中求进工作总基调，深入践行“四个革命、一个合作”能源安全新战略，锚定能源强国战略目标，更好统筹发展和安全，</w:t>
      </w:r>
      <w:r>
        <w:rPr>
          <w:rFonts w:hint="eastAsia" w:ascii="Times New Roman" w:hAnsi="Times New Roman" w:cs="Times New Roman"/>
        </w:rPr>
        <w:t>立足湖南区位优势、资源禀赋和电网特点，强化跨区通道建设，提升资源互济能力，实现清洁电力高质量发展水平领先、内陆匮能型省份电力安全保障能力领先、电力资源分类分级聚合互动创新领先、抽水蓄能和新型储能应用领先、核心技术装备创新与市场改革领先的具有湖南特色的新型电力系统</w:t>
      </w:r>
      <w:r>
        <w:rPr>
          <w:rFonts w:hint="eastAsia" w:ascii="Times New Roman" w:hAnsi="Times New Roman" w:cs="Times New Roman"/>
          <w:lang w:eastAsia="zh-CN"/>
        </w:rPr>
        <w:t>。</w:t>
      </w:r>
      <w:r>
        <w:rPr>
          <w:rFonts w:hint="eastAsia" w:ascii="Times New Roman" w:hAnsi="Times New Roman" w:cs="Times New Roman"/>
          <w:lang w:val="en-US" w:eastAsia="zh-CN"/>
        </w:rPr>
        <w:t>针对湖南电力“够不够、绿不绿、贵不贵”的问题，实施打造区域电力枢纽、推动清洁电力高质量发展、增强电力支撑保障能力、深化电力资源聚合互动、提升多元调节资源协同水平、强化创新引领与改革深化等重点任务，</w:t>
      </w:r>
      <w:r>
        <w:rPr>
          <w:rFonts w:hint="eastAsia" w:ascii="Times New Roman" w:hAnsi="Times New Roman" w:cs="Times New Roman"/>
        </w:rPr>
        <w:t>为实现“三高四新”美好蓝图、奋力谱写中国式现代化湖南篇章提供坚强可靠的电力支撑。</w:t>
      </w:r>
    </w:p>
    <w:p w14:paraId="75FF3BF1">
      <w:pPr>
        <w:pStyle w:val="4"/>
        <w:ind w:firstLine="640"/>
        <w:rPr>
          <w:rFonts w:ascii="Times New Roman" w:hAnsi="Times New Roman" w:cs="Times New Roman"/>
        </w:rPr>
      </w:pPr>
      <w:bookmarkStart w:id="43" w:name="_Toc9699"/>
      <w:r>
        <w:rPr>
          <w:rFonts w:ascii="Times New Roman" w:hAnsi="Times New Roman"/>
        </w:rPr>
        <w:fldChar w:fldCharType="begin"/>
      </w:r>
      <w:r>
        <w:rPr>
          <w:rFonts w:ascii="Times New Roman" w:hAnsi="Times New Roman"/>
        </w:rPr>
        <w:instrText xml:space="preserve"> HYPERLINK \l "_Toc433901741" </w:instrText>
      </w:r>
      <w:r>
        <w:rPr>
          <w:rFonts w:ascii="Times New Roman" w:hAnsi="Times New Roman"/>
        </w:rPr>
        <w:fldChar w:fldCharType="separate"/>
      </w:r>
      <w:bookmarkStart w:id="44" w:name="_Toc207728198"/>
      <w:r>
        <w:rPr>
          <w:rFonts w:hint="eastAsia" w:ascii="Times New Roman" w:hAnsi="Times New Roman" w:cs="Times New Roman"/>
        </w:rPr>
        <w:t>二、发展目标</w:t>
      </w:r>
      <w:bookmarkEnd w:id="44"/>
      <w:r>
        <w:rPr>
          <w:rFonts w:ascii="Times New Roman" w:hAnsi="Times New Roman" w:cs="Times New Roman"/>
        </w:rPr>
        <w:fldChar w:fldCharType="end"/>
      </w:r>
      <w:bookmarkEnd w:id="43"/>
    </w:p>
    <w:p w14:paraId="10A6FAF7">
      <w:pPr>
        <w:adjustRightInd w:val="0"/>
        <w:snapToGrid w:val="0"/>
        <w:spacing w:line="560" w:lineRule="exact"/>
        <w:ind w:firstLine="640"/>
        <w:rPr>
          <w:rFonts w:ascii="Times New Roman" w:hAnsi="Times New Roman" w:cs="Times New Roman"/>
        </w:rPr>
      </w:pPr>
      <w:bookmarkStart w:id="45" w:name="OLE_LINK128"/>
      <w:bookmarkStart w:id="46" w:name="OLE_LINK129"/>
      <w:r>
        <w:rPr>
          <w:rFonts w:hint="eastAsia" w:ascii="Times New Roman" w:hAnsi="Times New Roman" w:cs="Times New Roman"/>
          <w:bCs/>
          <w:szCs w:val="32"/>
        </w:rPr>
        <w:t>“十五五”期间，风电与光伏发电成为新增装机和发电量的主体，电力安全保障能力与清洁低碳水平显著提升，用能成本控制在合理水平，基本建成“承西启东、连南接北”的区域电力交换枢纽，初步形成具有湖南特色的新型电力系统。</w:t>
      </w:r>
      <w:bookmarkEnd w:id="45"/>
    </w:p>
    <w:p w14:paraId="6FB22B92">
      <w:pPr>
        <w:adjustRightInd w:val="0"/>
        <w:snapToGrid w:val="0"/>
        <w:ind w:firstLine="560"/>
        <w:jc w:val="center"/>
        <w:rPr>
          <w:rFonts w:ascii="Times New Roman" w:hAnsi="Times New Roman" w:eastAsia="SimHei" w:cs="Times New Roman"/>
          <w:kern w:val="0"/>
          <w:sz w:val="28"/>
        </w:rPr>
      </w:pPr>
      <w:r>
        <w:rPr>
          <w:rFonts w:hint="eastAsia" w:ascii="Times New Roman" w:hAnsi="Times New Roman" w:eastAsia="SimHei" w:cs="Times New Roman"/>
          <w:kern w:val="0"/>
          <w:sz w:val="28"/>
        </w:rPr>
        <w:t>表</w:t>
      </w:r>
      <w:r>
        <w:rPr>
          <w:rFonts w:ascii="Times New Roman" w:hAnsi="Times New Roman" w:eastAsia="SimHei" w:cs="Times New Roman"/>
          <w:kern w:val="0"/>
          <w:sz w:val="28"/>
        </w:rPr>
        <w:t xml:space="preserve">1  </w:t>
      </w:r>
      <w:r>
        <w:rPr>
          <w:rFonts w:hint="eastAsia" w:ascii="Times New Roman" w:hAnsi="Times New Roman" w:eastAsia="SimHei" w:cs="Times New Roman"/>
          <w:kern w:val="0"/>
          <w:sz w:val="28"/>
        </w:rPr>
        <w:t>湖南“十五五”电力工业发展主要指标</w:t>
      </w:r>
    </w:p>
    <w:tbl>
      <w:tblPr>
        <w:tblStyle w:val="25"/>
        <w:tblW w:w="4998" w:type="pct"/>
        <w:jc w:val="center"/>
        <w:tblLayout w:type="autofit"/>
        <w:tblCellMar>
          <w:top w:w="0" w:type="dxa"/>
          <w:left w:w="108" w:type="dxa"/>
          <w:bottom w:w="0" w:type="dxa"/>
          <w:right w:w="108" w:type="dxa"/>
        </w:tblCellMar>
      </w:tblPr>
      <w:tblGrid>
        <w:gridCol w:w="1196"/>
        <w:gridCol w:w="1201"/>
        <w:gridCol w:w="2037"/>
        <w:gridCol w:w="1559"/>
        <w:gridCol w:w="1801"/>
        <w:gridCol w:w="1205"/>
      </w:tblGrid>
      <w:tr w14:paraId="5D0AA2C8">
        <w:tblPrEx>
          <w:tblCellMar>
            <w:top w:w="0" w:type="dxa"/>
            <w:left w:w="108" w:type="dxa"/>
            <w:bottom w:w="0" w:type="dxa"/>
            <w:right w:w="108" w:type="dxa"/>
          </w:tblCellMar>
        </w:tblPrEx>
        <w:trPr>
          <w:cantSplit/>
          <w:trHeight w:val="567" w:hRule="atLeast"/>
          <w:tblHeader/>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F5ABF">
            <w:pPr>
              <w:widowControl/>
              <w:adjustRightInd w:val="0"/>
              <w:snapToGrid w:val="0"/>
              <w:spacing w:line="240" w:lineRule="auto"/>
              <w:ind w:firstLine="0" w:firstLineChars="0"/>
              <w:jc w:val="center"/>
              <w:textAlignment w:val="center"/>
              <w:rPr>
                <w:rFonts w:ascii="Times New Roman" w:hAnsi="Times New Roman" w:eastAsia="SimHei" w:cs="Times New Roman"/>
                <w:sz w:val="21"/>
                <w:szCs w:val="21"/>
              </w:rPr>
            </w:pPr>
            <w:r>
              <w:rPr>
                <w:rFonts w:hint="eastAsia" w:ascii="Times New Roman" w:hAnsi="Times New Roman" w:eastAsia="SimHei" w:cs="Times New Roman"/>
                <w:kern w:val="0"/>
                <w:sz w:val="21"/>
                <w:szCs w:val="21"/>
                <w:lang w:bidi="ar"/>
              </w:rPr>
              <w:t>序号</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4D9A4">
            <w:pPr>
              <w:widowControl/>
              <w:adjustRightInd w:val="0"/>
              <w:snapToGrid w:val="0"/>
              <w:spacing w:line="240" w:lineRule="auto"/>
              <w:ind w:firstLine="0" w:firstLineChars="0"/>
              <w:jc w:val="center"/>
              <w:textAlignment w:val="center"/>
              <w:rPr>
                <w:rFonts w:ascii="Times New Roman" w:hAnsi="Times New Roman" w:eastAsia="SimHei" w:cs="Times New Roman"/>
                <w:sz w:val="21"/>
                <w:szCs w:val="21"/>
              </w:rPr>
            </w:pPr>
            <w:r>
              <w:rPr>
                <w:rFonts w:hint="eastAsia" w:ascii="Times New Roman" w:hAnsi="Times New Roman" w:eastAsia="SimHei" w:cs="Times New Roman"/>
                <w:kern w:val="0"/>
                <w:sz w:val="21"/>
                <w:szCs w:val="21"/>
                <w:lang w:bidi="ar"/>
              </w:rPr>
              <w:t>类别</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9D1B2">
            <w:pPr>
              <w:widowControl/>
              <w:adjustRightInd w:val="0"/>
              <w:snapToGrid w:val="0"/>
              <w:spacing w:line="240" w:lineRule="auto"/>
              <w:ind w:firstLine="0" w:firstLineChars="0"/>
              <w:jc w:val="center"/>
              <w:textAlignment w:val="center"/>
              <w:rPr>
                <w:rFonts w:ascii="Times New Roman" w:hAnsi="Times New Roman" w:eastAsia="SimHei" w:cs="Times New Roman"/>
                <w:sz w:val="21"/>
                <w:szCs w:val="21"/>
              </w:rPr>
            </w:pPr>
            <w:r>
              <w:rPr>
                <w:rFonts w:hint="eastAsia" w:ascii="Times New Roman" w:hAnsi="Times New Roman" w:eastAsia="SimHei" w:cs="Times New Roman"/>
                <w:kern w:val="0"/>
                <w:sz w:val="21"/>
                <w:szCs w:val="21"/>
                <w:lang w:bidi="ar"/>
              </w:rPr>
              <w:t>指标</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6B370">
            <w:pPr>
              <w:widowControl/>
              <w:adjustRightInd w:val="0"/>
              <w:snapToGrid w:val="0"/>
              <w:spacing w:line="240" w:lineRule="auto"/>
              <w:ind w:firstLine="0" w:firstLineChars="0"/>
              <w:jc w:val="center"/>
              <w:textAlignment w:val="center"/>
              <w:rPr>
                <w:rFonts w:ascii="Times New Roman" w:hAnsi="Times New Roman" w:eastAsia="SimHei" w:cs="Times New Roman"/>
                <w:sz w:val="21"/>
                <w:szCs w:val="21"/>
              </w:rPr>
            </w:pPr>
            <w:r>
              <w:rPr>
                <w:rFonts w:ascii="Times New Roman" w:hAnsi="Times New Roman" w:eastAsia="SimHei" w:cs="Times New Roman"/>
                <w:kern w:val="0"/>
                <w:sz w:val="21"/>
                <w:szCs w:val="21"/>
                <w:lang w:bidi="ar"/>
              </w:rPr>
              <w:t>2025</w:t>
            </w:r>
            <w:r>
              <w:rPr>
                <w:rFonts w:hint="eastAsia" w:ascii="Times New Roman" w:hAnsi="Times New Roman" w:eastAsia="SimHei" w:cs="Times New Roman"/>
                <w:kern w:val="0"/>
                <w:sz w:val="21"/>
                <w:szCs w:val="21"/>
                <w:lang w:bidi="ar"/>
              </w:rPr>
              <w:t>年</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3CBD9">
            <w:pPr>
              <w:widowControl/>
              <w:adjustRightInd w:val="0"/>
              <w:snapToGrid w:val="0"/>
              <w:spacing w:line="240" w:lineRule="auto"/>
              <w:ind w:firstLine="0" w:firstLineChars="0"/>
              <w:jc w:val="center"/>
              <w:textAlignment w:val="center"/>
              <w:rPr>
                <w:rFonts w:ascii="Times New Roman" w:hAnsi="Times New Roman" w:eastAsia="SimHei" w:cs="Times New Roman"/>
                <w:sz w:val="21"/>
                <w:szCs w:val="21"/>
              </w:rPr>
            </w:pPr>
            <w:r>
              <w:rPr>
                <w:rFonts w:ascii="Times New Roman" w:hAnsi="Times New Roman" w:eastAsia="SimHei" w:cs="Times New Roman"/>
                <w:kern w:val="0"/>
                <w:sz w:val="21"/>
                <w:szCs w:val="21"/>
                <w:lang w:bidi="ar"/>
              </w:rPr>
              <w:t>2030</w:t>
            </w:r>
            <w:r>
              <w:rPr>
                <w:rFonts w:hint="eastAsia" w:ascii="Times New Roman" w:hAnsi="Times New Roman" w:eastAsia="SimHei" w:cs="Times New Roman"/>
                <w:kern w:val="0"/>
                <w:sz w:val="21"/>
                <w:szCs w:val="21"/>
                <w:lang w:bidi="ar"/>
              </w:rPr>
              <w:t>年</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30850">
            <w:pPr>
              <w:widowControl/>
              <w:adjustRightInd w:val="0"/>
              <w:snapToGrid w:val="0"/>
              <w:spacing w:line="240" w:lineRule="auto"/>
              <w:ind w:firstLine="0" w:firstLineChars="0"/>
              <w:jc w:val="center"/>
              <w:textAlignment w:val="center"/>
              <w:rPr>
                <w:rFonts w:ascii="SimHei" w:hAnsi="SimHei" w:eastAsia="SimHei" w:cs="Times New Roman"/>
                <w:sz w:val="21"/>
                <w:szCs w:val="21"/>
              </w:rPr>
            </w:pPr>
            <w:r>
              <w:rPr>
                <w:rFonts w:hint="eastAsia" w:ascii="SimHei" w:hAnsi="SimHei" w:eastAsia="SimHei" w:cs="Times New Roman"/>
                <w:kern w:val="0"/>
                <w:sz w:val="21"/>
                <w:szCs w:val="21"/>
                <w:lang w:bidi="ar"/>
              </w:rPr>
              <w:t>属性</w:t>
            </w:r>
          </w:p>
        </w:tc>
      </w:tr>
      <w:tr w14:paraId="4C35CA0E">
        <w:tblPrEx>
          <w:tblCellMar>
            <w:top w:w="0" w:type="dxa"/>
            <w:left w:w="108" w:type="dxa"/>
            <w:bottom w:w="0" w:type="dxa"/>
            <w:right w:w="108" w:type="dxa"/>
          </w:tblCellMar>
        </w:tblPrEx>
        <w:trPr>
          <w:cantSplit/>
          <w:trHeight w:val="567" w:hRule="atLeast"/>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65F8">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6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6F4986">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综合</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F0BEC">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电能占终端能源消费比重</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5127">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24%</w:t>
            </w:r>
          </w:p>
        </w:tc>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224A">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31%</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58D0D">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预期性</w:t>
            </w:r>
          </w:p>
        </w:tc>
      </w:tr>
      <w:tr w14:paraId="5F831BA5">
        <w:tblPrEx>
          <w:tblCellMar>
            <w:top w:w="0" w:type="dxa"/>
            <w:left w:w="108" w:type="dxa"/>
            <w:bottom w:w="0" w:type="dxa"/>
            <w:right w:w="108" w:type="dxa"/>
          </w:tblCellMar>
        </w:tblPrEx>
        <w:trPr>
          <w:cantSplit/>
          <w:trHeight w:val="567" w:hRule="atLeast"/>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53CC1">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w:t>
            </w:r>
          </w:p>
        </w:tc>
        <w:tc>
          <w:tcPr>
            <w:tcW w:w="6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36E2B">
            <w:pPr>
              <w:widowControl/>
              <w:adjustRightInd w:val="0"/>
              <w:snapToGrid w:val="0"/>
              <w:spacing w:line="240" w:lineRule="auto"/>
              <w:ind w:firstLine="0" w:firstLineChars="0"/>
              <w:jc w:val="center"/>
              <w:rPr>
                <w:rFonts w:ascii="Times New Roman" w:hAnsi="Times New Roman" w:eastAsia="宋体" w:cs="Times New Roman"/>
                <w:sz w:val="21"/>
                <w:szCs w:val="21"/>
              </w:rPr>
            </w:pP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19DA0">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总装机（万千瓦）</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C6DB">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9157</w:t>
            </w:r>
          </w:p>
        </w:tc>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FA5F7">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&gt;12000</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374B9">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预期性</w:t>
            </w:r>
          </w:p>
        </w:tc>
      </w:tr>
      <w:tr w14:paraId="0CFDEB80">
        <w:tblPrEx>
          <w:tblCellMar>
            <w:top w:w="0" w:type="dxa"/>
            <w:left w:w="108" w:type="dxa"/>
            <w:bottom w:w="0" w:type="dxa"/>
            <w:right w:w="108" w:type="dxa"/>
          </w:tblCellMar>
        </w:tblPrEx>
        <w:trPr>
          <w:cantSplit/>
          <w:trHeight w:val="567" w:hRule="atLeast"/>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C96C5">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3</w:t>
            </w:r>
          </w:p>
        </w:tc>
        <w:tc>
          <w:tcPr>
            <w:tcW w:w="667" w:type="pct"/>
            <w:vMerge w:val="restart"/>
            <w:tcBorders>
              <w:top w:val="single" w:color="000000" w:sz="4" w:space="0"/>
              <w:left w:val="single" w:color="000000" w:sz="4" w:space="0"/>
              <w:right w:val="single" w:color="000000" w:sz="4" w:space="0"/>
            </w:tcBorders>
            <w:shd w:val="clear" w:color="auto" w:fill="auto"/>
            <w:vAlign w:val="center"/>
          </w:tcPr>
          <w:p w14:paraId="6BEFB7AD">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hint="eastAsia" w:ascii="Times New Roman" w:hAnsi="Times New Roman" w:eastAsia="宋体" w:cs="Times New Roman"/>
                <w:kern w:val="0"/>
                <w:sz w:val="21"/>
                <w:szCs w:val="21"/>
                <w:lang w:bidi="ar"/>
              </w:rPr>
              <w:t>绿色</w:t>
            </w:r>
          </w:p>
          <w:p w14:paraId="21829AEF">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低碳</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C0DAC">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非化石能源发电装机占比</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11F50">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66%</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6E4AD">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70%</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3AF55">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预期性</w:t>
            </w:r>
          </w:p>
        </w:tc>
      </w:tr>
      <w:tr w14:paraId="244ABA4F">
        <w:tblPrEx>
          <w:tblCellMar>
            <w:top w:w="0" w:type="dxa"/>
            <w:left w:w="108" w:type="dxa"/>
            <w:bottom w:w="0" w:type="dxa"/>
            <w:right w:w="108" w:type="dxa"/>
          </w:tblCellMar>
        </w:tblPrEx>
        <w:trPr>
          <w:cantSplit/>
          <w:trHeight w:val="567" w:hRule="atLeast"/>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3B165">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4</w:t>
            </w:r>
          </w:p>
        </w:tc>
        <w:tc>
          <w:tcPr>
            <w:tcW w:w="667" w:type="pct"/>
            <w:vMerge w:val="continue"/>
            <w:tcBorders>
              <w:left w:val="single" w:color="000000" w:sz="4" w:space="0"/>
              <w:bottom w:val="single" w:color="000000" w:sz="4" w:space="0"/>
              <w:right w:val="single" w:color="000000" w:sz="4" w:space="0"/>
            </w:tcBorders>
            <w:shd w:val="clear" w:color="auto" w:fill="auto"/>
            <w:vAlign w:val="center"/>
          </w:tcPr>
          <w:p w14:paraId="548ECBBA">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4CEE1">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非化石能源电量占比</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C7021">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52.8%</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97C51">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58%</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7138A">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预期性</w:t>
            </w:r>
          </w:p>
        </w:tc>
      </w:tr>
      <w:tr w14:paraId="4B0AAB48">
        <w:tblPrEx>
          <w:tblCellMar>
            <w:top w:w="0" w:type="dxa"/>
            <w:left w:w="108" w:type="dxa"/>
            <w:bottom w:w="0" w:type="dxa"/>
            <w:right w:w="108" w:type="dxa"/>
          </w:tblCellMar>
        </w:tblPrEx>
        <w:trPr>
          <w:cantSplit/>
          <w:trHeight w:val="567" w:hRule="atLeast"/>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BAF4A">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5</w:t>
            </w:r>
          </w:p>
        </w:tc>
        <w:tc>
          <w:tcPr>
            <w:tcW w:w="667" w:type="pct"/>
            <w:vMerge w:val="restart"/>
            <w:tcBorders>
              <w:top w:val="single" w:color="000000" w:sz="4" w:space="0"/>
              <w:left w:val="single" w:color="000000" w:sz="4" w:space="0"/>
              <w:right w:val="single" w:color="000000" w:sz="4" w:space="0"/>
            </w:tcBorders>
            <w:shd w:val="clear" w:color="auto" w:fill="auto"/>
            <w:vAlign w:val="center"/>
          </w:tcPr>
          <w:p w14:paraId="0484CB67">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hint="eastAsia" w:ascii="Times New Roman" w:hAnsi="Times New Roman" w:eastAsia="宋体" w:cs="Times New Roman"/>
                <w:kern w:val="0"/>
                <w:sz w:val="21"/>
                <w:szCs w:val="21"/>
                <w:lang w:bidi="ar"/>
              </w:rPr>
              <w:t>电力</w:t>
            </w:r>
          </w:p>
          <w:p w14:paraId="081A5186">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供应</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83590">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电力供应充裕度</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FCA8">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&lt;1.2</w:t>
            </w:r>
          </w:p>
        </w:tc>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DFF87">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1.2</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A57E5">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约束性</w:t>
            </w:r>
          </w:p>
        </w:tc>
      </w:tr>
      <w:tr w14:paraId="29CD8C4A">
        <w:tblPrEx>
          <w:tblCellMar>
            <w:top w:w="0" w:type="dxa"/>
            <w:left w:w="108" w:type="dxa"/>
            <w:bottom w:w="0" w:type="dxa"/>
            <w:right w:w="108" w:type="dxa"/>
          </w:tblCellMar>
        </w:tblPrEx>
        <w:trPr>
          <w:cantSplit/>
          <w:trHeight w:val="567" w:hRule="atLeast"/>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45360">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6</w:t>
            </w:r>
          </w:p>
        </w:tc>
        <w:tc>
          <w:tcPr>
            <w:tcW w:w="667" w:type="pct"/>
            <w:vMerge w:val="continue"/>
            <w:tcBorders>
              <w:left w:val="single" w:color="000000" w:sz="4" w:space="0"/>
              <w:bottom w:val="single" w:color="000000" w:sz="4" w:space="0"/>
              <w:right w:val="single" w:color="000000" w:sz="4" w:space="0"/>
            </w:tcBorders>
            <w:shd w:val="clear" w:color="auto" w:fill="auto"/>
            <w:vAlign w:val="center"/>
          </w:tcPr>
          <w:p w14:paraId="206CD77A">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6812B">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省间电力互济能力（万千瓦）</w:t>
            </w:r>
          </w:p>
        </w:tc>
        <w:tc>
          <w:tcPr>
            <w:tcW w:w="8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E6DC">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w:t>
            </w:r>
          </w:p>
        </w:tc>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EBF0">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600</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1EA92">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预期性</w:t>
            </w:r>
          </w:p>
        </w:tc>
      </w:tr>
      <w:tr w14:paraId="005ED87C">
        <w:tblPrEx>
          <w:tblCellMar>
            <w:top w:w="0" w:type="dxa"/>
            <w:left w:w="108" w:type="dxa"/>
            <w:bottom w:w="0" w:type="dxa"/>
            <w:right w:w="108" w:type="dxa"/>
          </w:tblCellMar>
        </w:tblPrEx>
        <w:trPr>
          <w:cantSplit/>
          <w:trHeight w:val="567" w:hRule="atLeast"/>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87407">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7</w:t>
            </w:r>
          </w:p>
        </w:tc>
        <w:tc>
          <w:tcPr>
            <w:tcW w:w="667" w:type="pct"/>
            <w:vMerge w:val="restart"/>
            <w:tcBorders>
              <w:top w:val="single" w:color="000000" w:sz="4" w:space="0"/>
              <w:left w:val="single" w:color="000000" w:sz="4" w:space="0"/>
              <w:right w:val="single" w:color="000000" w:sz="4" w:space="0"/>
            </w:tcBorders>
            <w:shd w:val="clear" w:color="auto" w:fill="auto"/>
            <w:vAlign w:val="center"/>
          </w:tcPr>
          <w:p w14:paraId="44EDDA0E">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hint="eastAsia" w:ascii="Times New Roman" w:hAnsi="Times New Roman" w:eastAsia="宋体" w:cs="Times New Roman"/>
                <w:kern w:val="0"/>
                <w:sz w:val="21"/>
                <w:szCs w:val="21"/>
                <w:lang w:bidi="ar"/>
              </w:rPr>
              <w:t>电网</w:t>
            </w:r>
          </w:p>
          <w:p w14:paraId="25572463">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发展</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814D1">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外电入湘规模（万千瓦）</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41B33">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1700</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9ABB4">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3000</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67E5B">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预期性</w:t>
            </w:r>
          </w:p>
        </w:tc>
      </w:tr>
      <w:tr w14:paraId="4704A959">
        <w:tblPrEx>
          <w:tblCellMar>
            <w:top w:w="0" w:type="dxa"/>
            <w:left w:w="108" w:type="dxa"/>
            <w:bottom w:w="0" w:type="dxa"/>
            <w:right w:w="108" w:type="dxa"/>
          </w:tblCellMar>
        </w:tblPrEx>
        <w:trPr>
          <w:cantSplit/>
          <w:trHeight w:val="567" w:hRule="atLeast"/>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F184D">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8</w:t>
            </w:r>
          </w:p>
        </w:tc>
        <w:tc>
          <w:tcPr>
            <w:tcW w:w="667" w:type="pct"/>
            <w:vMerge w:val="continue"/>
            <w:tcBorders>
              <w:left w:val="single" w:color="000000" w:sz="4" w:space="0"/>
              <w:bottom w:val="single" w:color="000000" w:sz="4" w:space="0"/>
              <w:right w:val="single" w:color="000000" w:sz="4" w:space="0"/>
            </w:tcBorders>
            <w:shd w:val="clear" w:color="auto" w:fill="auto"/>
            <w:vAlign w:val="center"/>
          </w:tcPr>
          <w:p w14:paraId="0C6EA944">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CDC89">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配电网承载分布式新能源能力（万千瓦）</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4AF7B">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2039</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3242D">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3080</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DBB4A">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预期性</w:t>
            </w:r>
          </w:p>
        </w:tc>
      </w:tr>
      <w:tr w14:paraId="0D46E014">
        <w:tblPrEx>
          <w:tblCellMar>
            <w:top w:w="0" w:type="dxa"/>
            <w:left w:w="108" w:type="dxa"/>
            <w:bottom w:w="0" w:type="dxa"/>
            <w:right w:w="108" w:type="dxa"/>
          </w:tblCellMar>
        </w:tblPrEx>
        <w:trPr>
          <w:cantSplit/>
          <w:trHeight w:val="567" w:hRule="atLeast"/>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F697E">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9</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F2DDB">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用电协同</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04445">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需求侧削峰能力占最大负荷比重</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12966">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5%</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651EE">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&gt;5%</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A9FFC">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预期性</w:t>
            </w:r>
          </w:p>
        </w:tc>
      </w:tr>
      <w:tr w14:paraId="18E367FC">
        <w:tblPrEx>
          <w:tblCellMar>
            <w:top w:w="0" w:type="dxa"/>
            <w:left w:w="108" w:type="dxa"/>
            <w:bottom w:w="0" w:type="dxa"/>
            <w:right w:w="108" w:type="dxa"/>
          </w:tblCellMar>
        </w:tblPrEx>
        <w:trPr>
          <w:cantSplit/>
          <w:trHeight w:val="567" w:hRule="atLeast"/>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36EDB">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10</w:t>
            </w:r>
          </w:p>
        </w:tc>
        <w:tc>
          <w:tcPr>
            <w:tcW w:w="6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BCF81">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电力市场</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BF822">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市场交易电量占比</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BB1DB">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49%</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26918">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55%</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207BB">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预期性</w:t>
            </w:r>
          </w:p>
        </w:tc>
      </w:tr>
      <w:tr w14:paraId="0FACD779">
        <w:tblPrEx>
          <w:tblCellMar>
            <w:top w:w="0" w:type="dxa"/>
            <w:left w:w="108" w:type="dxa"/>
            <w:bottom w:w="0" w:type="dxa"/>
            <w:right w:w="108" w:type="dxa"/>
          </w:tblCellMar>
        </w:tblPrEx>
        <w:trPr>
          <w:cantSplit/>
          <w:trHeight w:val="567" w:hRule="atLeast"/>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9230F">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11</w:t>
            </w:r>
          </w:p>
        </w:tc>
        <w:tc>
          <w:tcPr>
            <w:tcW w:w="667" w:type="pct"/>
            <w:vMerge w:val="restart"/>
            <w:tcBorders>
              <w:top w:val="single" w:color="000000" w:sz="4" w:space="0"/>
              <w:left w:val="single" w:color="000000" w:sz="4" w:space="0"/>
              <w:right w:val="single" w:color="000000" w:sz="4" w:space="0"/>
            </w:tcBorders>
            <w:shd w:val="clear" w:color="auto" w:fill="auto"/>
            <w:vAlign w:val="center"/>
          </w:tcPr>
          <w:p w14:paraId="20475C0E">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hint="eastAsia" w:ascii="Times New Roman" w:hAnsi="Times New Roman" w:eastAsia="宋体" w:cs="Times New Roman"/>
                <w:kern w:val="0"/>
                <w:sz w:val="21"/>
                <w:szCs w:val="21"/>
                <w:lang w:bidi="ar"/>
              </w:rPr>
              <w:t>民生</w:t>
            </w:r>
          </w:p>
          <w:p w14:paraId="14299D76">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服务</w:t>
            </w: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223C5">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城市用户平均供电可靠性</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D2D2B">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99.95%</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0D427">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99.99%</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51D08">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预期性</w:t>
            </w:r>
          </w:p>
        </w:tc>
      </w:tr>
      <w:tr w14:paraId="03C51F90">
        <w:tblPrEx>
          <w:tblCellMar>
            <w:top w:w="0" w:type="dxa"/>
            <w:left w:w="108" w:type="dxa"/>
            <w:bottom w:w="0" w:type="dxa"/>
            <w:right w:w="108" w:type="dxa"/>
          </w:tblCellMar>
        </w:tblPrEx>
        <w:trPr>
          <w:cantSplit/>
          <w:trHeight w:val="567" w:hRule="atLeast"/>
          <w:jc w:val="center"/>
        </w:trPr>
        <w:tc>
          <w:tcPr>
            <w:tcW w:w="6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E078">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12</w:t>
            </w:r>
          </w:p>
        </w:tc>
        <w:tc>
          <w:tcPr>
            <w:tcW w:w="667" w:type="pct"/>
            <w:vMerge w:val="continue"/>
            <w:tcBorders>
              <w:left w:val="single" w:color="000000" w:sz="4" w:space="0"/>
              <w:bottom w:val="single" w:color="000000" w:sz="4" w:space="0"/>
              <w:right w:val="single" w:color="000000" w:sz="4" w:space="0"/>
            </w:tcBorders>
            <w:shd w:val="clear" w:color="auto" w:fill="auto"/>
            <w:vAlign w:val="center"/>
          </w:tcPr>
          <w:p w14:paraId="4DF8B204">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p>
        </w:tc>
        <w:tc>
          <w:tcPr>
            <w:tcW w:w="11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86188">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充电桩数量（万个）</w:t>
            </w:r>
          </w:p>
        </w:tc>
        <w:tc>
          <w:tcPr>
            <w:tcW w:w="8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3D962">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62.7</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0A660">
            <w:pPr>
              <w:widowControl/>
              <w:adjustRightInd w:val="0"/>
              <w:snapToGrid w:val="0"/>
              <w:spacing w:line="240" w:lineRule="auto"/>
              <w:ind w:firstLine="0" w:firstLineChars="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120</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E55D1">
            <w:pPr>
              <w:widowControl/>
              <w:adjustRightInd w:val="0"/>
              <w:snapToGrid w:val="0"/>
              <w:spacing w:line="240" w:lineRule="auto"/>
              <w:ind w:firstLine="0" w:firstLineChars="0"/>
              <w:jc w:val="center"/>
              <w:textAlignment w:val="center"/>
              <w:rPr>
                <w:rFonts w:ascii="Times New Roman" w:hAnsi="Times New Roman" w:eastAsia="宋体" w:cs="Times New Roman"/>
                <w:sz w:val="21"/>
                <w:szCs w:val="21"/>
              </w:rPr>
            </w:pPr>
            <w:r>
              <w:rPr>
                <w:rFonts w:hint="eastAsia" w:ascii="Times New Roman" w:hAnsi="Times New Roman" w:eastAsia="宋体" w:cs="Times New Roman"/>
                <w:kern w:val="0"/>
                <w:sz w:val="21"/>
                <w:szCs w:val="21"/>
                <w:lang w:bidi="ar"/>
              </w:rPr>
              <w:t>预期性</w:t>
            </w:r>
          </w:p>
        </w:tc>
      </w:tr>
    </w:tbl>
    <w:p w14:paraId="2535B7DA">
      <w:pPr>
        <w:spacing w:line="400" w:lineRule="exact"/>
        <w:ind w:firstLine="480"/>
        <w:rPr>
          <w:rFonts w:ascii="Times New Roman" w:hAnsi="Times New Roman" w:cs="Times New Roman"/>
        </w:rPr>
      </w:pPr>
      <w:r>
        <w:rPr>
          <w:rFonts w:hint="eastAsia" w:ascii="Times New Roman" w:hAnsi="Times New Roman"/>
          <w:sz w:val="24"/>
        </w:rPr>
        <w:t>注：</w:t>
      </w:r>
      <w:r>
        <w:rPr>
          <w:rFonts w:ascii="Times New Roman" w:hAnsi="Times New Roman"/>
          <w:sz w:val="24"/>
        </w:rPr>
        <w:t>1.</w:t>
      </w:r>
      <w:r>
        <w:rPr>
          <w:rFonts w:hint="eastAsia" w:ascii="Times New Roman" w:hAnsi="Times New Roman"/>
          <w:sz w:val="24"/>
        </w:rPr>
        <w:t>配电网接纳分布式新能源能力现状为</w:t>
      </w:r>
      <w:r>
        <w:rPr>
          <w:rFonts w:ascii="Times New Roman" w:hAnsi="Times New Roman"/>
          <w:sz w:val="24"/>
        </w:rPr>
        <w:t>2025</w:t>
      </w:r>
      <w:r>
        <w:rPr>
          <w:rFonts w:hint="eastAsia" w:ascii="Times New Roman" w:hAnsi="Times New Roman"/>
          <w:sz w:val="24"/>
        </w:rPr>
        <w:t>年接入湖南电网分布式新能源装机规模。</w:t>
      </w:r>
      <w:r>
        <w:rPr>
          <w:rFonts w:ascii="Times New Roman" w:hAnsi="Times New Roman"/>
          <w:sz w:val="24"/>
        </w:rPr>
        <w:t>2.</w:t>
      </w:r>
      <w:r>
        <w:rPr>
          <w:rFonts w:hint="eastAsia" w:ascii="Times New Roman" w:hAnsi="Times New Roman"/>
          <w:sz w:val="24"/>
        </w:rPr>
        <w:t>“区域间电力互济规模”指省间背靠背直流工程规模，截至目前我省暂未投产背靠背直流工程，</w:t>
      </w:r>
      <w:r>
        <w:rPr>
          <w:rFonts w:ascii="Times New Roman" w:hAnsi="Times New Roman"/>
          <w:sz w:val="24"/>
        </w:rPr>
        <w:t>2025</w:t>
      </w:r>
      <w:r>
        <w:rPr>
          <w:rFonts w:hint="eastAsia" w:ascii="Times New Roman" w:hAnsi="Times New Roman"/>
          <w:sz w:val="24"/>
        </w:rPr>
        <w:t>年规模填写“</w:t>
      </w:r>
      <w:r>
        <w:rPr>
          <w:rFonts w:ascii="Times New Roman" w:hAnsi="Times New Roman"/>
          <w:sz w:val="24"/>
        </w:rPr>
        <w:t>-</w:t>
      </w:r>
      <w:r>
        <w:rPr>
          <w:rFonts w:hint="eastAsia" w:ascii="Times New Roman" w:hAnsi="Times New Roman"/>
          <w:sz w:val="24"/>
        </w:rPr>
        <w:t>”。</w:t>
      </w:r>
      <w:r>
        <w:rPr>
          <w:rFonts w:ascii="Times New Roman" w:hAnsi="Times New Roman" w:cs="Times New Roman"/>
        </w:rPr>
        <w:br w:type="page"/>
      </w:r>
    </w:p>
    <w:bookmarkEnd w:id="46"/>
    <w:p w14:paraId="6C449ABC">
      <w:pPr>
        <w:ind w:firstLine="420" w:firstLineChars="0"/>
        <w:jc w:val="center"/>
        <w:rPr>
          <w:rFonts w:ascii="Times New Roman" w:hAnsi="Times New Roman" w:eastAsia="SimHei" w:cs="Times New Roman"/>
          <w:szCs w:val="32"/>
        </w:rPr>
      </w:pPr>
    </w:p>
    <w:p w14:paraId="730C36D9">
      <w:pPr>
        <w:pStyle w:val="3"/>
        <w:ind w:firstLine="0" w:firstLineChars="0"/>
        <w:jc w:val="center"/>
        <w:rPr>
          <w:rFonts w:ascii="Times New Roman" w:hAnsi="Times New Roman" w:cs="Times New Roman"/>
        </w:rPr>
      </w:pPr>
      <w:bookmarkStart w:id="47" w:name="_Toc12346"/>
      <w:r>
        <w:rPr>
          <w:rFonts w:ascii="Times New Roman" w:hAnsi="Times New Roman"/>
        </w:rPr>
        <w:fldChar w:fldCharType="begin"/>
      </w:r>
      <w:r>
        <w:rPr>
          <w:rFonts w:ascii="Times New Roman" w:hAnsi="Times New Roman"/>
        </w:rPr>
        <w:instrText xml:space="preserve"> HYPERLINK \l "_Toc433901738" </w:instrText>
      </w:r>
      <w:r>
        <w:rPr>
          <w:rFonts w:ascii="Times New Roman" w:hAnsi="Times New Roman"/>
        </w:rPr>
        <w:fldChar w:fldCharType="separate"/>
      </w:r>
      <w:bookmarkStart w:id="48" w:name="_Toc207728199"/>
      <w:r>
        <w:rPr>
          <w:rFonts w:hint="eastAsia" w:ascii="Times New Roman" w:hAnsi="Times New Roman" w:eastAsia="SimHei" w:cs="Times New Roman"/>
          <w:szCs w:val="32"/>
        </w:rPr>
        <w:t>第二章</w:t>
      </w:r>
      <w:r>
        <w:rPr>
          <w:rFonts w:ascii="Times New Roman" w:hAnsi="Times New Roman" w:eastAsia="SimHei" w:cs="Times New Roman"/>
          <w:szCs w:val="32"/>
        </w:rPr>
        <w:t xml:space="preserve">  </w:t>
      </w:r>
      <w:r>
        <w:rPr>
          <w:rFonts w:ascii="Times New Roman" w:hAnsi="Times New Roman" w:eastAsia="SimHei" w:cs="Times New Roman"/>
          <w:szCs w:val="32"/>
        </w:rPr>
        <w:fldChar w:fldCharType="end"/>
      </w:r>
      <w:r>
        <w:rPr>
          <w:rFonts w:hint="eastAsia" w:ascii="Times New Roman" w:hAnsi="Times New Roman" w:eastAsia="SimHei" w:cs="Times New Roman"/>
          <w:szCs w:val="32"/>
        </w:rPr>
        <w:t>重点任务</w:t>
      </w:r>
      <w:bookmarkEnd w:id="47"/>
      <w:bookmarkEnd w:id="48"/>
    </w:p>
    <w:p w14:paraId="24BDBBE4">
      <w:pPr>
        <w:ind w:firstLine="0" w:firstLineChars="0"/>
        <w:jc w:val="center"/>
        <w:rPr>
          <w:rFonts w:ascii="Times New Roman" w:hAnsi="Times New Roman" w:cs="Times New Roman"/>
        </w:rPr>
      </w:pPr>
    </w:p>
    <w:p w14:paraId="13CBC015">
      <w:pPr>
        <w:pStyle w:val="11"/>
        <w:adjustRightInd w:val="0"/>
        <w:snapToGrid w:val="0"/>
        <w:spacing w:after="0" w:line="560" w:lineRule="exact"/>
        <w:ind w:firstLine="640"/>
        <w:rPr>
          <w:rFonts w:ascii="Times New Roman" w:hAnsi="Times New Roman" w:cs="Times New Roman"/>
        </w:rPr>
      </w:pPr>
      <w:bookmarkStart w:id="49" w:name="OLE_LINK113"/>
      <w:r>
        <w:rPr>
          <w:rFonts w:ascii="Times New Roman" w:hAnsi="Times New Roman" w:cs="Times New Roman"/>
        </w:rPr>
        <w:t>“</w:t>
      </w:r>
      <w:r>
        <w:rPr>
          <w:rFonts w:hint="eastAsia" w:ascii="Times New Roman" w:hAnsi="Times New Roman" w:cs="Times New Roman"/>
        </w:rPr>
        <w:t>十五五</w:t>
      </w:r>
      <w:r>
        <w:rPr>
          <w:rFonts w:ascii="Times New Roman" w:hAnsi="Times New Roman" w:cs="Times New Roman"/>
        </w:rPr>
        <w:t>”</w:t>
      </w:r>
      <w:r>
        <w:rPr>
          <w:rFonts w:hint="eastAsia" w:ascii="Times New Roman" w:hAnsi="Times New Roman" w:cs="Times New Roman"/>
        </w:rPr>
        <w:t>期间，</w:t>
      </w:r>
      <w:r>
        <w:rPr>
          <w:rFonts w:hint="eastAsia" w:ascii="Times New Roman" w:hAnsi="Times New Roman" w:cs="Times New Roman"/>
          <w:lang w:val="en-US" w:eastAsia="zh-CN"/>
        </w:rPr>
        <w:t>围绕</w:t>
      </w:r>
      <w:r>
        <w:rPr>
          <w:rFonts w:hint="eastAsia" w:ascii="Times New Roman" w:hAnsi="Times New Roman" w:cs="Times New Roman"/>
        </w:rPr>
        <w:t>区域电力交换枢纽、清洁电力高质量发展、电力支撑能力提升、电力资源聚合互动、多元调节资源协同和创新引领与改革深化</w:t>
      </w:r>
      <w:r>
        <w:rPr>
          <w:rFonts w:hint="eastAsia" w:ascii="Times New Roman" w:hAnsi="Times New Roman" w:cs="Times New Roman"/>
          <w:lang w:val="en-US" w:eastAsia="zh-CN"/>
        </w:rPr>
        <w:t>六个方面</w:t>
      </w:r>
      <w:r>
        <w:rPr>
          <w:rFonts w:hint="eastAsia" w:ascii="Times New Roman" w:hAnsi="Times New Roman" w:cs="Times New Roman"/>
        </w:rPr>
        <w:t>，</w:t>
      </w:r>
      <w:r>
        <w:rPr>
          <w:rFonts w:hint="eastAsia" w:ascii="Times New Roman" w:hAnsi="Times New Roman" w:cs="Times New Roman"/>
          <w:lang w:val="en-US" w:eastAsia="zh-CN"/>
        </w:rPr>
        <w:t>着力构建具有</w:t>
      </w:r>
      <w:r>
        <w:rPr>
          <w:rFonts w:hint="eastAsia" w:ascii="Times New Roman" w:hAnsi="Times New Roman" w:cs="Times New Roman"/>
        </w:rPr>
        <w:t>湖南特色</w:t>
      </w:r>
      <w:r>
        <w:rPr>
          <w:rFonts w:hint="eastAsia" w:ascii="Times New Roman" w:hAnsi="Times New Roman" w:cs="Times New Roman"/>
          <w:lang w:val="en-US" w:eastAsia="zh-CN"/>
        </w:rPr>
        <w:t>的</w:t>
      </w:r>
      <w:r>
        <w:rPr>
          <w:rFonts w:hint="eastAsia" w:ascii="Times New Roman" w:hAnsi="Times New Roman" w:cs="Times New Roman"/>
        </w:rPr>
        <w:t>新型电力系统。</w:t>
      </w:r>
    </w:p>
    <w:bookmarkEnd w:id="49"/>
    <w:p w14:paraId="1089E5DE">
      <w:pPr>
        <w:pStyle w:val="4"/>
        <w:adjustRightInd w:val="0"/>
        <w:snapToGrid w:val="0"/>
        <w:spacing w:line="560" w:lineRule="exact"/>
        <w:ind w:firstLine="640"/>
        <w:rPr>
          <w:rFonts w:ascii="Times New Roman" w:hAnsi="Times New Roman" w:cs="Times New Roman"/>
        </w:rPr>
      </w:pPr>
      <w:bookmarkStart w:id="50" w:name="_Toc3711"/>
      <w:bookmarkStart w:id="51" w:name="_Toc207728200"/>
      <w:r>
        <w:rPr>
          <w:rFonts w:hint="eastAsia" w:ascii="Times New Roman" w:hAnsi="Times New Roman" w:cs="Times New Roman"/>
        </w:rPr>
        <w:t>一、</w:t>
      </w:r>
      <w:r>
        <w:rPr>
          <w:rFonts w:hint="eastAsia" w:ascii="Times New Roman" w:hAnsi="Times New Roman" w:eastAsia="SimHei" w:cs="Times New Roman"/>
          <w:i w:val="0"/>
          <w:iCs w:val="0"/>
          <w:caps w:val="0"/>
          <w:spacing w:val="0"/>
          <w:sz w:val="32"/>
          <w:szCs w:val="24"/>
          <w:shd w:val="clear" w:fill="auto"/>
        </w:rPr>
        <w:t>打造区域电力交换枢纽</w:t>
      </w:r>
      <w:bookmarkEnd w:id="50"/>
      <w:bookmarkEnd w:id="51"/>
    </w:p>
    <w:p w14:paraId="5B8F7920">
      <w:pPr>
        <w:adjustRightInd w:val="0"/>
        <w:snapToGrid w:val="0"/>
        <w:spacing w:line="560" w:lineRule="exact"/>
        <w:rPr>
          <w:rFonts w:ascii="Times New Roman" w:hAnsi="Times New Roman"/>
        </w:rPr>
      </w:pPr>
      <w:bookmarkStart w:id="52" w:name="OLE_LINK14"/>
      <w:r>
        <w:rPr>
          <w:rFonts w:ascii="Times New Roman" w:hAnsi="Times New Roman" w:eastAsia="Times New Roman"/>
          <w:b/>
        </w:rPr>
        <w:t>1.</w:t>
      </w:r>
      <w:r>
        <w:rPr>
          <w:rFonts w:hint="eastAsia" w:ascii="Times New Roman" w:hAnsi="Times New Roman"/>
          <w:b/>
        </w:rPr>
        <w:t>提升电力吞吐能力。</w:t>
      </w:r>
      <w:r>
        <w:rPr>
          <w:rFonts w:hint="eastAsia" w:ascii="Times New Roman" w:hAnsi="Times New Roman"/>
        </w:rPr>
        <w:t>建设湘南特高压变电站、潇湘特～湘南特线路、湘南特～赣南特线路等</w:t>
      </w:r>
      <w:r>
        <w:rPr>
          <w:rFonts w:ascii="Times New Roman" w:hAnsi="Times New Roman"/>
        </w:rPr>
        <w:t>1000</w:t>
      </w:r>
      <w:r>
        <w:rPr>
          <w:rFonts w:hint="eastAsia" w:ascii="Times New Roman" w:hAnsi="Times New Roman"/>
        </w:rPr>
        <w:t>千伏输变电工程，打造华中特高压“目”字型环网。不断提升既有电力流通道送湘电力水平，大力推进疆电入湘特高压直流工程建设。加快湘粤、湘黔直流背靠背联网工程建设投产，推进湘桂直流背靠背联网工程，进一步加强国网与南网异步互联。到</w:t>
      </w:r>
      <w:r>
        <w:rPr>
          <w:rFonts w:ascii="Times New Roman" w:hAnsi="Times New Roman"/>
        </w:rPr>
        <w:t>2030</w:t>
      </w:r>
      <w:r>
        <w:rPr>
          <w:rFonts w:hint="eastAsia" w:ascii="Times New Roman" w:hAnsi="Times New Roman"/>
        </w:rPr>
        <w:t>年，湖南跨省跨区电力优化配置中枢初具规模，外电入湘规模力争</w:t>
      </w:r>
      <w:r>
        <w:rPr>
          <w:rFonts w:hint="eastAsia" w:ascii="Times New Roman" w:hAnsi="Times New Roman"/>
          <w:lang w:val="en-US" w:eastAsia="zh-CN"/>
        </w:rPr>
        <w:t>达</w:t>
      </w:r>
      <w:r>
        <w:rPr>
          <w:rFonts w:hint="eastAsia" w:ascii="Times New Roman" w:hAnsi="Times New Roman"/>
        </w:rPr>
        <w:t>到</w:t>
      </w:r>
      <w:r>
        <w:rPr>
          <w:rFonts w:ascii="Times New Roman" w:hAnsi="Times New Roman"/>
        </w:rPr>
        <w:t>3000</w:t>
      </w:r>
      <w:r>
        <w:rPr>
          <w:rFonts w:hint="eastAsia" w:ascii="Times New Roman" w:hAnsi="Times New Roman"/>
        </w:rPr>
        <w:t>万千瓦，省间互补互济规模达到</w:t>
      </w:r>
      <w:r>
        <w:rPr>
          <w:rFonts w:ascii="Times New Roman" w:hAnsi="Times New Roman"/>
        </w:rPr>
        <w:t>600</w:t>
      </w:r>
      <w:r>
        <w:rPr>
          <w:rFonts w:hint="eastAsia" w:ascii="Times New Roman" w:hAnsi="Times New Roman"/>
        </w:rPr>
        <w:t>万千瓦。</w:t>
      </w:r>
    </w:p>
    <w:p w14:paraId="4200377F">
      <w:pPr>
        <w:adjustRightInd w:val="0"/>
        <w:snapToGrid w:val="0"/>
        <w:spacing w:line="560" w:lineRule="exact"/>
        <w:rPr>
          <w:rFonts w:ascii="Times New Roman" w:hAnsi="Times New Roman"/>
        </w:rPr>
      </w:pPr>
      <w:r>
        <w:rPr>
          <w:rFonts w:ascii="Times New Roman" w:hAnsi="Times New Roman" w:eastAsia="Times New Roman"/>
          <w:b/>
        </w:rPr>
        <w:t>2.</w:t>
      </w:r>
      <w:r>
        <w:rPr>
          <w:rFonts w:hint="eastAsia" w:ascii="Times New Roman" w:hAnsi="Times New Roman"/>
          <w:b/>
        </w:rPr>
        <w:t>完善省内主干网架。</w:t>
      </w:r>
      <w:r>
        <w:rPr>
          <w:rFonts w:hint="eastAsia" w:ascii="Times New Roman" w:hAnsi="Times New Roman"/>
        </w:rPr>
        <w:t>推动大托、</w:t>
      </w:r>
      <w:r>
        <w:rPr>
          <w:rFonts w:hint="eastAsia" w:ascii="Times New Roman" w:hAnsi="Times New Roman"/>
          <w:lang w:val="en-US" w:eastAsia="zh-CN"/>
        </w:rPr>
        <w:t>湘东南</w:t>
      </w:r>
      <w:r>
        <w:rPr>
          <w:rFonts w:hint="eastAsia" w:ascii="Times New Roman" w:hAnsi="Times New Roman"/>
        </w:rPr>
        <w:t>等一批</w:t>
      </w:r>
      <w:r>
        <w:rPr>
          <w:rFonts w:ascii="Times New Roman" w:hAnsi="Times New Roman"/>
        </w:rPr>
        <w:t>500</w:t>
      </w:r>
      <w:r>
        <w:rPr>
          <w:rFonts w:hint="eastAsia" w:ascii="Times New Roman" w:hAnsi="Times New Roman"/>
        </w:rPr>
        <w:t>千伏主网架项目建设，配套建设</w:t>
      </w:r>
      <w:r>
        <w:rPr>
          <w:rFonts w:hint="default" w:ascii="Times New Roman" w:hAnsi="Times New Roman"/>
          <w:lang w:val="en-US"/>
        </w:rPr>
        <w:t>汨罗电厂、岳州电厂、广寒坪抽蓄</w:t>
      </w:r>
      <w:r>
        <w:rPr>
          <w:rFonts w:hint="eastAsia" w:ascii="Times New Roman" w:hAnsi="Times New Roman"/>
        </w:rPr>
        <w:t>等一批电源送出工程，提升电网安全供电水平和大规模外来电疏散能力，适应疆电入湘、省内大型煤电和抽水蓄能电站大规模接网需求。优化</w:t>
      </w:r>
      <w:r>
        <w:rPr>
          <w:rFonts w:ascii="Times New Roman" w:hAnsi="Times New Roman"/>
        </w:rPr>
        <w:t>220</w:t>
      </w:r>
      <w:r>
        <w:rPr>
          <w:rFonts w:hint="eastAsia" w:ascii="Times New Roman" w:hAnsi="Times New Roman"/>
        </w:rPr>
        <w:t>千伏电网，以</w:t>
      </w:r>
      <w:r>
        <w:rPr>
          <w:rFonts w:ascii="Times New Roman" w:hAnsi="Times New Roman"/>
        </w:rPr>
        <w:t>500</w:t>
      </w:r>
      <w:r>
        <w:rPr>
          <w:rFonts w:hint="eastAsia" w:ascii="Times New Roman" w:hAnsi="Times New Roman"/>
        </w:rPr>
        <w:t>千伏站点开合环科学形成供电分区，推动</w:t>
      </w:r>
      <w:r>
        <w:rPr>
          <w:rFonts w:ascii="Times New Roman" w:hAnsi="Times New Roman"/>
        </w:rPr>
        <w:t>220</w:t>
      </w:r>
      <w:r>
        <w:rPr>
          <w:rFonts w:hint="eastAsia" w:ascii="Times New Roman" w:hAnsi="Times New Roman"/>
        </w:rPr>
        <w:t>千伏电网逐步向地市区域内部输电网转化，构建“安全可靠、承载力强、装备精良、运行高效</w:t>
      </w:r>
      <w:r>
        <w:rPr>
          <w:rFonts w:hint="eastAsia" w:ascii="Times New Roman" w:hAnsi="Times New Roman" w:eastAsia="宋体"/>
        </w:rPr>
        <w:t>”</w:t>
      </w:r>
      <w:r>
        <w:rPr>
          <w:rFonts w:hint="eastAsia" w:ascii="Times New Roman" w:hAnsi="Times New Roman"/>
        </w:rPr>
        <w:t>的坚强</w:t>
      </w:r>
      <w:r>
        <w:rPr>
          <w:rFonts w:ascii="Times New Roman" w:hAnsi="Times New Roman"/>
        </w:rPr>
        <w:t>220</w:t>
      </w:r>
      <w:r>
        <w:rPr>
          <w:rFonts w:hint="eastAsia" w:ascii="Times New Roman" w:hAnsi="Times New Roman"/>
        </w:rPr>
        <w:t>千伏电网，</w:t>
      </w:r>
      <w:r>
        <w:rPr>
          <w:rFonts w:hint="eastAsia" w:ascii="Times New Roman" w:hAnsi="Times New Roman"/>
          <w:kern w:val="0"/>
          <w:szCs w:val="28"/>
        </w:rPr>
        <w:t>满足地方电网负荷供电、新能源送出和消纳需求。</w:t>
      </w:r>
      <w:r>
        <w:rPr>
          <w:rFonts w:hint="eastAsia" w:ascii="Times New Roman" w:hAnsi="Times New Roman"/>
        </w:rPr>
        <w:t>到</w:t>
      </w:r>
      <w:r>
        <w:rPr>
          <w:rFonts w:ascii="Times New Roman" w:hAnsi="Times New Roman"/>
        </w:rPr>
        <w:t>2030</w:t>
      </w:r>
      <w:r>
        <w:rPr>
          <w:rFonts w:hint="eastAsia" w:ascii="Times New Roman" w:hAnsi="Times New Roman"/>
        </w:rPr>
        <w:t>年，形成“强结构、高灵活”的</w:t>
      </w:r>
      <w:r>
        <w:rPr>
          <w:rFonts w:ascii="Times New Roman" w:hAnsi="Times New Roman"/>
        </w:rPr>
        <w:t>500</w:t>
      </w:r>
      <w:r>
        <w:rPr>
          <w:rFonts w:hint="eastAsia" w:ascii="Times New Roman" w:hAnsi="Times New Roman"/>
        </w:rPr>
        <w:t>千伏主干网架和“分区供电、区内成环”</w:t>
      </w:r>
      <w:r>
        <w:rPr>
          <w:rFonts w:ascii="Times New Roman" w:hAnsi="Times New Roman"/>
        </w:rPr>
        <w:t>220</w:t>
      </w:r>
      <w:r>
        <w:rPr>
          <w:rFonts w:hint="eastAsia" w:ascii="Times New Roman" w:hAnsi="Times New Roman"/>
        </w:rPr>
        <w:t>千伏电网格局。</w:t>
      </w:r>
    </w:p>
    <w:p w14:paraId="4CEE312B">
      <w:pPr>
        <w:adjustRightInd w:val="0"/>
        <w:snapToGrid w:val="0"/>
        <w:spacing w:line="560" w:lineRule="exact"/>
        <w:rPr>
          <w:rFonts w:ascii="Times New Roman" w:hAnsi="Times New Roman"/>
        </w:rPr>
      </w:pPr>
      <w:r>
        <w:rPr>
          <w:rFonts w:ascii="Times New Roman" w:hAnsi="Times New Roman" w:eastAsia="Times New Roman"/>
          <w:b/>
        </w:rPr>
        <w:t>3.</w:t>
      </w:r>
      <w:r>
        <w:rPr>
          <w:rFonts w:hint="eastAsia" w:ascii="Times New Roman" w:hAnsi="Times New Roman"/>
          <w:b/>
        </w:rPr>
        <w:t>提升配电网品质</w:t>
      </w:r>
      <w:r>
        <w:rPr>
          <w:rFonts w:hint="eastAsia" w:ascii="Times New Roman" w:hAnsi="Times New Roman"/>
        </w:rPr>
        <w:t>。提升配电网运行效率效益，主动适应分布式新能源、用户侧储能、充电设施等多元负荷规模化发展趋势，高标准推进配电网转型发展，促进新能源就近开发消纳利用。推进城区标准化网格和农村“改必改好”供电所建设，加快实施老旧小区、高层单电源住宅小区、城中村配电设施更新改造。建设标准清晰、灵活坚强的</w:t>
      </w:r>
      <w:r>
        <w:rPr>
          <w:rFonts w:ascii="Times New Roman" w:hAnsi="Times New Roman"/>
        </w:rPr>
        <w:t>110</w:t>
      </w:r>
      <w:r>
        <w:rPr>
          <w:rFonts w:hint="eastAsia" w:ascii="Times New Roman" w:hAnsi="Times New Roman"/>
        </w:rPr>
        <w:t>千伏电网，按需适度发展</w:t>
      </w:r>
      <w:r>
        <w:rPr>
          <w:rFonts w:ascii="Times New Roman" w:hAnsi="Times New Roman"/>
        </w:rPr>
        <w:t>35</w:t>
      </w:r>
      <w:r>
        <w:rPr>
          <w:rFonts w:hint="eastAsia" w:ascii="Times New Roman" w:hAnsi="Times New Roman"/>
        </w:rPr>
        <w:t>千伏电网</w:t>
      </w:r>
      <w:r>
        <w:rPr>
          <w:rFonts w:hint="eastAsia" w:ascii="Times New Roman" w:hAnsi="Times New Roman"/>
          <w:szCs w:val="32"/>
          <w:lang w:bidi="ar"/>
        </w:rPr>
        <w:t>，补齐中低压配电网短板</w:t>
      </w:r>
      <w:r>
        <w:rPr>
          <w:rFonts w:hint="eastAsia" w:ascii="Times New Roman" w:hAnsi="Times New Roman"/>
        </w:rPr>
        <w:t>，推动配电网源网荷储协同、主配微协同、一二次协同发展。到</w:t>
      </w:r>
      <w:r>
        <w:rPr>
          <w:rFonts w:ascii="Times New Roman" w:hAnsi="Times New Roman"/>
        </w:rPr>
        <w:t>2030</w:t>
      </w:r>
      <w:r>
        <w:rPr>
          <w:rFonts w:hint="eastAsia" w:ascii="Times New Roman" w:hAnsi="Times New Roman"/>
        </w:rPr>
        <w:t>年，建成高承载力、高可靠性、高灵活性、高数智化配电网，户均配变容量提升至</w:t>
      </w:r>
      <w:r>
        <w:rPr>
          <w:rFonts w:ascii="Times New Roman" w:hAnsi="Times New Roman"/>
        </w:rPr>
        <w:t>3.0</w:t>
      </w:r>
      <w:r>
        <w:rPr>
          <w:rFonts w:hint="eastAsia" w:ascii="Times New Roman" w:hAnsi="Times New Roman"/>
        </w:rPr>
        <w:t>千伏安，配电自动化有效覆盖率达到</w:t>
      </w:r>
      <w:r>
        <w:rPr>
          <w:rFonts w:ascii="Times New Roman" w:hAnsi="Times New Roman"/>
        </w:rPr>
        <w:t>100%</w:t>
      </w:r>
      <w:r>
        <w:rPr>
          <w:rFonts w:hint="eastAsia" w:ascii="Times New Roman" w:hAnsi="Times New Roman"/>
        </w:rPr>
        <w:t>。</w:t>
      </w:r>
    </w:p>
    <w:bookmarkEnd w:id="52"/>
    <w:p w14:paraId="5126ED4C">
      <w:pPr>
        <w:pStyle w:val="4"/>
        <w:adjustRightInd w:val="0"/>
        <w:snapToGrid w:val="0"/>
        <w:spacing w:line="560" w:lineRule="exact"/>
        <w:ind w:firstLine="640"/>
        <w:rPr>
          <w:rFonts w:ascii="Times New Roman" w:hAnsi="Times New Roman" w:cs="Times New Roman"/>
        </w:rPr>
      </w:pPr>
      <w:bookmarkStart w:id="53" w:name="_Toc3784"/>
      <w:bookmarkStart w:id="54" w:name="_Toc207728201"/>
      <w:r>
        <w:rPr>
          <w:rFonts w:hint="eastAsia" w:ascii="Times New Roman" w:hAnsi="Times New Roman" w:cs="Times New Roman"/>
        </w:rPr>
        <w:t>二、</w:t>
      </w:r>
      <w:bookmarkStart w:id="55" w:name="OLE_LINK100"/>
      <w:r>
        <w:rPr>
          <w:rFonts w:hint="eastAsia" w:ascii="Times New Roman" w:hAnsi="Times New Roman" w:eastAsia="SimHei" w:cs="Times New Roman"/>
          <w:i w:val="0"/>
          <w:iCs w:val="0"/>
          <w:caps w:val="0"/>
          <w:spacing w:val="0"/>
          <w:sz w:val="32"/>
          <w:szCs w:val="24"/>
          <w:shd w:val="clear" w:fill="auto"/>
        </w:rPr>
        <w:t>推动清洁电力高质量发展</w:t>
      </w:r>
      <w:bookmarkEnd w:id="53"/>
      <w:bookmarkEnd w:id="54"/>
    </w:p>
    <w:bookmarkEnd w:id="55"/>
    <w:p w14:paraId="572BDC01">
      <w:pPr>
        <w:numPr>
          <w:ilvl w:val="1"/>
          <w:numId w:val="0"/>
        </w:numPr>
        <w:adjustRightInd w:val="0"/>
        <w:snapToGrid w:val="0"/>
        <w:spacing w:line="560" w:lineRule="exact"/>
        <w:ind w:firstLine="640" w:firstLineChars="200"/>
        <w:rPr>
          <w:rFonts w:ascii="Times New Roman" w:hAnsi="Times New Roman" w:cs="Times New Roman"/>
          <w:szCs w:val="36"/>
        </w:rPr>
      </w:pPr>
      <w:r>
        <w:rPr>
          <w:rFonts w:ascii="Times New Roman" w:hAnsi="Times New Roman" w:cs="Times New Roman"/>
          <w:szCs w:val="36"/>
        </w:rPr>
        <w:t>1.</w:t>
      </w:r>
      <w:r>
        <w:rPr>
          <w:rFonts w:hint="eastAsia" w:ascii="Times New Roman" w:hAnsi="Times New Roman" w:cs="Times New Roman"/>
          <w:b/>
          <w:bCs/>
        </w:rPr>
        <w:t>因地制宜推动风电和光伏高质量发展。</w:t>
      </w:r>
      <w:r>
        <w:rPr>
          <w:rFonts w:hint="eastAsia" w:ascii="Times New Roman" w:hAnsi="Times New Roman" w:cs="Times New Roman"/>
          <w:szCs w:val="36"/>
        </w:rPr>
        <w:t>统筹绿色发展与生态保护，深入挖掘资源潜力，建立新能源高质量发展管理体系。推进南部山地与北部平原风电并举开发，严格落实集中式风电开发时序管理，优先推动资源条件优良、消纳空间充裕、前期工作成熟的项目建设。以</w:t>
      </w:r>
      <w:r>
        <w:rPr>
          <w:rFonts w:ascii="Times New Roman" w:hAnsi="Times New Roman" w:cs="Times New Roman"/>
          <w:szCs w:val="36"/>
        </w:rPr>
        <w:t>“</w:t>
      </w:r>
      <w:r>
        <w:rPr>
          <w:rFonts w:hint="eastAsia" w:ascii="Times New Roman" w:hAnsi="Times New Roman" w:cs="Times New Roman"/>
          <w:szCs w:val="36"/>
        </w:rPr>
        <w:t>千乡万村驭风行动</w:t>
      </w:r>
      <w:r>
        <w:rPr>
          <w:rFonts w:ascii="Times New Roman" w:hAnsi="Times New Roman" w:cs="Times New Roman"/>
          <w:szCs w:val="36"/>
        </w:rPr>
        <w:t>”</w:t>
      </w:r>
      <w:r>
        <w:rPr>
          <w:rFonts w:hint="eastAsia" w:ascii="Times New Roman" w:hAnsi="Times New Roman" w:cs="Times New Roman"/>
          <w:szCs w:val="36"/>
        </w:rPr>
        <w:t>试点为抓手，加快乡村风电</w:t>
      </w:r>
      <w:r>
        <w:rPr>
          <w:rFonts w:ascii="Times New Roman" w:hAnsi="Times New Roman" w:cs="Times New Roman"/>
          <w:szCs w:val="36"/>
        </w:rPr>
        <w:t>“</w:t>
      </w:r>
      <w:r>
        <w:rPr>
          <w:rFonts w:hint="eastAsia" w:ascii="Times New Roman" w:hAnsi="Times New Roman" w:cs="Times New Roman"/>
          <w:szCs w:val="36"/>
        </w:rPr>
        <w:t>村企合作</w:t>
      </w:r>
      <w:r>
        <w:rPr>
          <w:rFonts w:ascii="Times New Roman" w:hAnsi="Times New Roman" w:cs="Times New Roman"/>
          <w:szCs w:val="36"/>
        </w:rPr>
        <w:t>”</w:t>
      </w:r>
      <w:r>
        <w:rPr>
          <w:rFonts w:hint="eastAsia" w:ascii="Times New Roman" w:hAnsi="Times New Roman" w:cs="Times New Roman"/>
          <w:szCs w:val="36"/>
        </w:rPr>
        <w:t>等模式创新。统筹集中式光伏布局，优先在太阳能资源和消纳送出条件较优区域建设项目。因地制宜发展农光、渔光互补等复合型光伏，推动分布式光伏与乡村振兴、交通、建筑等多元融合。充分释放存量资源潜力，推广应用高塔筒、长叶片等先进技术，有序推进易覆冰风电场抗冰改造。到</w:t>
      </w:r>
      <w:r>
        <w:rPr>
          <w:rFonts w:ascii="Times New Roman" w:hAnsi="Times New Roman" w:cs="Times New Roman"/>
          <w:szCs w:val="36"/>
        </w:rPr>
        <w:t>2030</w:t>
      </w:r>
      <w:r>
        <w:rPr>
          <w:rFonts w:hint="eastAsia" w:ascii="Times New Roman" w:hAnsi="Times New Roman" w:cs="Times New Roman"/>
          <w:szCs w:val="36"/>
        </w:rPr>
        <w:t>年，风电、光伏发电总装机超过</w:t>
      </w:r>
      <w:r>
        <w:rPr>
          <w:rFonts w:ascii="Times New Roman" w:hAnsi="Times New Roman" w:cs="Times New Roman"/>
          <w:szCs w:val="36"/>
        </w:rPr>
        <w:t>5900</w:t>
      </w:r>
      <w:r>
        <w:rPr>
          <w:rFonts w:hint="eastAsia" w:ascii="Times New Roman" w:hAnsi="Times New Roman" w:cs="Times New Roman"/>
          <w:szCs w:val="36"/>
        </w:rPr>
        <w:t>万千瓦，新能源利用率原则上不低于</w:t>
      </w:r>
      <w:r>
        <w:rPr>
          <w:rFonts w:ascii="Times New Roman" w:hAnsi="Times New Roman" w:cs="Times New Roman"/>
          <w:szCs w:val="36"/>
        </w:rPr>
        <w:t>90%</w:t>
      </w:r>
      <w:r>
        <w:rPr>
          <w:rFonts w:hint="eastAsia" w:ascii="Times New Roman" w:hAnsi="Times New Roman" w:cs="Times New Roman"/>
          <w:szCs w:val="36"/>
        </w:rPr>
        <w:t>。</w:t>
      </w:r>
    </w:p>
    <w:p w14:paraId="28ABEC3F">
      <w:pPr>
        <w:overflowPunct w:val="0"/>
        <w:adjustRightInd w:val="0"/>
        <w:snapToGrid w:val="0"/>
        <w:spacing w:line="560" w:lineRule="exact"/>
        <w:rPr>
          <w:rFonts w:ascii="Times New Roman" w:hAnsi="Times New Roman"/>
        </w:rPr>
      </w:pPr>
      <w:r>
        <w:rPr>
          <w:rFonts w:ascii="Times New Roman" w:hAnsi="Times New Roman" w:cs="Times New Roman"/>
          <w:b/>
          <w:bCs/>
        </w:rPr>
        <w:t>2.</w:t>
      </w:r>
      <w:r>
        <w:rPr>
          <w:rFonts w:hint="eastAsia" w:ascii="Times New Roman" w:hAnsi="Times New Roman" w:cs="Times New Roman"/>
          <w:b/>
          <w:bCs/>
        </w:rPr>
        <w:t>探索新能源发展新模式。</w:t>
      </w:r>
      <w:r>
        <w:rPr>
          <w:rFonts w:hint="eastAsia" w:ascii="Times New Roman" w:hAnsi="Times New Roman" w:cs="Times New Roman"/>
        </w:rPr>
        <w:t>推进构网型新能源、长时间尺度功率预测等新技术应用，推动新能源以聚合模式、虚拟电厂、微电网、多能互补等方式主动参与电网调度和系统调峰。</w:t>
      </w:r>
      <w:r>
        <w:rPr>
          <w:rFonts w:hint="eastAsia" w:ascii="Times New Roman" w:hAnsi="Times New Roman" w:cs="Times New Roman"/>
          <w:snapToGrid w:val="0"/>
          <w:szCs w:val="32"/>
          <w:lang w:bidi="zh-CN"/>
        </w:rPr>
        <w:t>有序推动绿电直连项目建设，鼓励有降碳刚性需求的出口外向型企业利用周边新能源资源探索开展存量负荷绿电直连，积极探索“绿电制氢”，拓宽氢能应用场景，支持产业园区积极发展绿电直连项目，打造零碳园区。</w:t>
      </w:r>
    </w:p>
    <w:p w14:paraId="21CCD4A4">
      <w:pPr>
        <w:adjustRightInd w:val="0"/>
        <w:snapToGrid w:val="0"/>
        <w:spacing w:line="560" w:lineRule="exact"/>
        <w:rPr>
          <w:rFonts w:ascii="Times New Roman" w:hAnsi="Times New Roman" w:cs="Times New Roman"/>
          <w:szCs w:val="36"/>
        </w:rPr>
      </w:pPr>
      <w:r>
        <w:rPr>
          <w:rFonts w:ascii="Times New Roman" w:hAnsi="Times New Roman" w:cs="Times New Roman"/>
          <w:b/>
          <w:bCs/>
        </w:rPr>
        <w:t>3.</w:t>
      </w:r>
      <w:bookmarkStart w:id="56" w:name="OLE_LINK96"/>
      <w:r>
        <w:rPr>
          <w:rFonts w:hint="eastAsia" w:ascii="Times New Roman" w:hAnsi="Times New Roman" w:cs="Times New Roman"/>
          <w:b/>
          <w:bCs/>
        </w:rPr>
        <w:t>着力推动水电挖潜发展</w:t>
      </w:r>
      <w:bookmarkEnd w:id="56"/>
      <w:r>
        <w:rPr>
          <w:rFonts w:hint="eastAsia" w:ascii="Times New Roman" w:hAnsi="Times New Roman" w:cs="Times New Roman"/>
          <w:b/>
          <w:bCs/>
        </w:rPr>
        <w:t>。</w:t>
      </w:r>
      <w:r>
        <w:rPr>
          <w:rFonts w:hint="eastAsia" w:ascii="Times New Roman" w:hAnsi="Times New Roman" w:cs="Times New Roman"/>
          <w:szCs w:val="36"/>
        </w:rPr>
        <w:t>全面摸底水电资源，进一步挖掘大型水电项目扩容潜力，加快推动有开发潜力的水电项目前期研究和核准开工。</w:t>
      </w:r>
      <w:bookmarkStart w:id="57" w:name="OLE_LINK149"/>
      <w:r>
        <w:rPr>
          <w:rFonts w:hint="eastAsia" w:ascii="Times New Roman" w:hAnsi="Times New Roman" w:cs="Times New Roman"/>
          <w:szCs w:val="36"/>
        </w:rPr>
        <w:t>积极利用</w:t>
      </w:r>
      <w:r>
        <w:rPr>
          <w:rFonts w:hint="eastAsia" w:ascii="Times New Roman" w:hAnsi="Times New Roman" w:cs="Times New Roman"/>
        </w:rPr>
        <w:t>超长期特别国债、绿色金融等相关</w:t>
      </w:r>
      <w:r>
        <w:rPr>
          <w:rFonts w:hint="eastAsia" w:ascii="Times New Roman" w:hAnsi="Times New Roman" w:cs="Times New Roman"/>
          <w:szCs w:val="36"/>
        </w:rPr>
        <w:t>政策，</w:t>
      </w:r>
      <w:bookmarkEnd w:id="57"/>
      <w:r>
        <w:rPr>
          <w:rFonts w:hint="eastAsia" w:ascii="Times New Roman" w:hAnsi="Times New Roman" w:cs="Times New Roman"/>
          <w:color w:val="000000"/>
          <w:kern w:val="0"/>
          <w:szCs w:val="32"/>
          <w:lang w:bidi="ar"/>
        </w:rPr>
        <w:t>鼓励水电站提质改造、扩机增容</w:t>
      </w:r>
      <w:r>
        <w:rPr>
          <w:rFonts w:hint="eastAsia" w:ascii="Times New Roman" w:hAnsi="Times New Roman" w:cs="Times New Roman"/>
          <w:szCs w:val="36"/>
        </w:rPr>
        <w:t>，提升全省水电发电能力和调节能力。运用人工智能等新技术持续优化完善现有水电站运行协同调度管理，推动电站调节能力提升改造和小水电集约化运营，有效提升主要流域水能利用率。</w:t>
      </w:r>
      <w:bookmarkStart w:id="58" w:name="OLE_LINK155"/>
      <w:r>
        <w:rPr>
          <w:rFonts w:hint="eastAsia" w:ascii="Times New Roman" w:hAnsi="Times New Roman" w:cs="Times New Roman"/>
          <w:szCs w:val="36"/>
        </w:rPr>
        <w:t>到</w:t>
      </w:r>
      <w:r>
        <w:rPr>
          <w:rFonts w:ascii="Times New Roman" w:hAnsi="Times New Roman" w:cs="Times New Roman"/>
          <w:szCs w:val="36"/>
        </w:rPr>
        <w:t>2030</w:t>
      </w:r>
      <w:r>
        <w:rPr>
          <w:rFonts w:hint="eastAsia" w:ascii="Times New Roman" w:hAnsi="Times New Roman" w:cs="Times New Roman"/>
          <w:szCs w:val="36"/>
        </w:rPr>
        <w:t>年，全省常规水电装机超过</w:t>
      </w:r>
      <w:r>
        <w:rPr>
          <w:rFonts w:ascii="Times New Roman" w:hAnsi="Times New Roman" w:cs="Times New Roman"/>
          <w:szCs w:val="36"/>
        </w:rPr>
        <w:t>1720</w:t>
      </w:r>
      <w:r>
        <w:rPr>
          <w:rFonts w:hint="eastAsia" w:ascii="Times New Roman" w:hAnsi="Times New Roman" w:cs="Times New Roman"/>
          <w:szCs w:val="36"/>
        </w:rPr>
        <w:t>万千瓦。</w:t>
      </w:r>
    </w:p>
    <w:p w14:paraId="0B679334">
      <w:pPr>
        <w:adjustRightInd w:val="0"/>
        <w:snapToGrid w:val="0"/>
        <w:spacing w:line="560" w:lineRule="exact"/>
        <w:rPr>
          <w:rFonts w:ascii="Times New Roman" w:hAnsi="Times New Roman" w:cs="Times New Roman"/>
        </w:rPr>
      </w:pPr>
      <w:r>
        <w:rPr>
          <w:rFonts w:ascii="Times New Roman" w:hAnsi="Times New Roman" w:cs="Times New Roman"/>
          <w:b/>
          <w:bCs/>
          <w:szCs w:val="36"/>
        </w:rPr>
        <w:t>4.</w:t>
      </w:r>
      <w:bookmarkStart w:id="59" w:name="OLE_LINK98"/>
      <w:r>
        <w:rPr>
          <w:rFonts w:hint="eastAsia" w:ascii="Times New Roman" w:hAnsi="Times New Roman" w:cs="Times New Roman"/>
          <w:b/>
          <w:bCs/>
          <w:szCs w:val="36"/>
        </w:rPr>
        <w:t>积极</w:t>
      </w:r>
      <w:bookmarkEnd w:id="59"/>
      <w:r>
        <w:rPr>
          <w:rFonts w:hint="eastAsia" w:ascii="Times New Roman" w:hAnsi="Times New Roman"/>
          <w:b/>
          <w:bCs/>
          <w:szCs w:val="32"/>
        </w:rPr>
        <w:t>推动生物质发电、做好核电厂址保护</w:t>
      </w:r>
      <w:r>
        <w:rPr>
          <w:rFonts w:hint="eastAsia" w:ascii="Times New Roman" w:hAnsi="Times New Roman" w:cs="Times New Roman"/>
          <w:b/>
          <w:bCs/>
          <w:szCs w:val="36"/>
        </w:rPr>
        <w:t>。</w:t>
      </w:r>
      <w:r>
        <w:rPr>
          <w:rFonts w:hint="eastAsia" w:ascii="Times New Roman" w:hAnsi="Times New Roman" w:cs="Times New Roman"/>
          <w:snapToGrid w:val="0"/>
          <w:color w:val="000000" w:themeColor="text1"/>
          <w:szCs w:val="32"/>
          <w:lang w:bidi="zh-CN"/>
          <w14:textFill>
            <w14:solidFill>
              <w14:schemeClr w14:val="tx1"/>
            </w14:solidFill>
          </w14:textFill>
        </w:rPr>
        <w:t>因地制宜推动生物质发电转型升级，</w:t>
      </w:r>
      <w:bookmarkEnd w:id="58"/>
      <w:r>
        <w:rPr>
          <w:rFonts w:hint="eastAsia" w:ascii="Times New Roman" w:hAnsi="Times New Roman" w:cs="Times New Roman"/>
          <w:szCs w:val="36"/>
        </w:rPr>
        <w:t>鼓励生物质电厂实施供热、供汽改造，探索生物质发电与风电、光伏集成发展，鼓励生物质发电在绿电直连、智能微电网、源网荷储一体化、零碳工业园区等新模式应用。到</w:t>
      </w:r>
      <w:r>
        <w:rPr>
          <w:rFonts w:ascii="Times New Roman" w:hAnsi="Times New Roman" w:cs="Times New Roman"/>
          <w:szCs w:val="36"/>
        </w:rPr>
        <w:t>2030</w:t>
      </w:r>
      <w:r>
        <w:rPr>
          <w:rFonts w:hint="eastAsia" w:ascii="Times New Roman" w:hAnsi="Times New Roman" w:cs="Times New Roman"/>
          <w:szCs w:val="36"/>
        </w:rPr>
        <w:t>年，生物质发电总装机达到</w:t>
      </w:r>
      <w:r>
        <w:rPr>
          <w:rFonts w:ascii="Times New Roman" w:hAnsi="Times New Roman" w:cs="Times New Roman"/>
          <w:szCs w:val="36"/>
        </w:rPr>
        <w:t>170</w:t>
      </w:r>
      <w:r>
        <w:rPr>
          <w:rFonts w:hint="eastAsia" w:ascii="Times New Roman" w:hAnsi="Times New Roman" w:cs="Times New Roman"/>
          <w:szCs w:val="36"/>
        </w:rPr>
        <w:t>万千瓦。跟踪国家内陆核电政策，继续做好桃花江、小墨山等优质核电厂址保护。</w:t>
      </w:r>
    </w:p>
    <w:p w14:paraId="198C4C55">
      <w:pPr>
        <w:overflowPunct w:val="0"/>
        <w:adjustRightInd w:val="0"/>
        <w:snapToGrid w:val="0"/>
        <w:spacing w:line="560" w:lineRule="exact"/>
        <w:rPr>
          <w:rFonts w:ascii="Times New Roman" w:hAnsi="Times New Roman" w:cs="Times New Roman"/>
        </w:rPr>
      </w:pPr>
      <w:r>
        <w:rPr>
          <w:rFonts w:ascii="Times New Roman" w:hAnsi="Times New Roman" w:cs="Times New Roman"/>
          <w:b/>
          <w:bCs/>
        </w:rPr>
        <w:t>5.</w:t>
      </w:r>
      <w:r>
        <w:rPr>
          <w:rFonts w:hint="eastAsia" w:ascii="Times New Roman" w:hAnsi="Times New Roman" w:cs="Times New Roman"/>
          <w:b/>
          <w:bCs/>
        </w:rPr>
        <w:t>加强绿色交通与清洁能源融合发展。</w:t>
      </w:r>
      <w:r>
        <w:rPr>
          <w:rFonts w:hint="eastAsia" w:ascii="Times New Roman" w:hAnsi="Times New Roman" w:cs="Times New Roman"/>
        </w:rPr>
        <w:t>构建绿色低碳交通运输体系，大力推广电动汽车、液化天然气船舶等新能源和清洁能源运输工具，完善城际、城市和农村电动汽车充换电网络，加快城市、公路、乡村等场景新能源汽车公共充电基础设施和货运通道、物流园区等新能源重卡充换电设施建设，加强交通能源需求与电网规划协同衔接，推进交能融合发展，打造零碳货运通道。因地制宜发展光储充换一体、油气氢电融合的绿色交通新业态新模式。加快推进“电化洞庭”项目实施和应用推广，积极布局大功率充电设施，实现湖南水路交通的高质量、绿色、可持续发展。到</w:t>
      </w:r>
      <w:r>
        <w:rPr>
          <w:rFonts w:ascii="Times New Roman" w:hAnsi="Times New Roman" w:cs="Times New Roman"/>
        </w:rPr>
        <w:t>2030</w:t>
      </w:r>
      <w:r>
        <w:rPr>
          <w:rFonts w:hint="eastAsia" w:ascii="Times New Roman" w:hAnsi="Times New Roman" w:cs="Times New Roman"/>
        </w:rPr>
        <w:t>年，全省累计建成充电桩数量达到</w:t>
      </w:r>
      <w:r>
        <w:rPr>
          <w:rFonts w:ascii="Times New Roman" w:hAnsi="Times New Roman" w:cs="Times New Roman"/>
        </w:rPr>
        <w:t>120</w:t>
      </w:r>
      <w:r>
        <w:rPr>
          <w:rFonts w:hint="eastAsia" w:ascii="Times New Roman" w:hAnsi="Times New Roman" w:cs="Times New Roman"/>
        </w:rPr>
        <w:t>万个</w:t>
      </w:r>
      <w:r>
        <w:rPr>
          <w:rFonts w:hint="eastAsia" w:ascii="Times New Roman" w:hAnsi="Times New Roman" w:cs="Times New Roman"/>
          <w:szCs w:val="36"/>
        </w:rPr>
        <w:t>。</w:t>
      </w:r>
    </w:p>
    <w:p w14:paraId="6C26254D">
      <w:pPr>
        <w:pStyle w:val="4"/>
        <w:adjustRightInd w:val="0"/>
        <w:snapToGrid w:val="0"/>
        <w:spacing w:line="560" w:lineRule="exact"/>
        <w:ind w:firstLine="640"/>
        <w:rPr>
          <w:rFonts w:ascii="Times New Roman" w:hAnsi="Times New Roman" w:cs="Times New Roman"/>
        </w:rPr>
      </w:pPr>
      <w:bookmarkStart w:id="60" w:name="_Toc17364"/>
      <w:bookmarkStart w:id="61" w:name="_Toc207728202"/>
      <w:r>
        <w:rPr>
          <w:rFonts w:hint="eastAsia" w:ascii="Times New Roman" w:hAnsi="Times New Roman" w:cs="Times New Roman"/>
        </w:rPr>
        <w:t>三、</w:t>
      </w:r>
      <w:r>
        <w:rPr>
          <w:rFonts w:hint="eastAsia" w:ascii="Times New Roman" w:hAnsi="Times New Roman" w:eastAsia="SimHei" w:cs="Times New Roman"/>
          <w:i w:val="0"/>
          <w:iCs w:val="0"/>
          <w:caps w:val="0"/>
          <w:spacing w:val="0"/>
          <w:sz w:val="32"/>
          <w:szCs w:val="24"/>
          <w:shd w:val="clear" w:fill="auto"/>
        </w:rPr>
        <w:t>增强电力支撑保障能力</w:t>
      </w:r>
      <w:bookmarkEnd w:id="60"/>
      <w:bookmarkEnd w:id="61"/>
    </w:p>
    <w:p w14:paraId="3034EDDD">
      <w:pPr>
        <w:pStyle w:val="11"/>
        <w:numPr>
          <w:ilvl w:val="255"/>
          <w:numId w:val="0"/>
        </w:numPr>
        <w:overflowPunct w:val="0"/>
        <w:adjustRightInd w:val="0"/>
        <w:snapToGrid w:val="0"/>
        <w:spacing w:after="0" w:line="560" w:lineRule="exact"/>
        <w:ind w:firstLine="643" w:firstLineChars="200"/>
        <w:textAlignment w:val="baseline"/>
        <w:rPr>
          <w:rFonts w:ascii="Times New Roman" w:hAnsi="Times New Roman"/>
        </w:rPr>
      </w:pPr>
      <w:r>
        <w:rPr>
          <w:rFonts w:ascii="Times New Roman" w:hAnsi="Times New Roman" w:cs="Times New Roman"/>
          <w:b/>
          <w:bCs/>
        </w:rPr>
        <w:t>1.</w:t>
      </w:r>
      <w:r>
        <w:rPr>
          <w:rFonts w:hint="eastAsia" w:ascii="Times New Roman" w:hAnsi="Times New Roman" w:cs="Times New Roman"/>
          <w:b/>
          <w:bCs/>
        </w:rPr>
        <w:t>夯实保障性电源基础。</w:t>
      </w:r>
      <w:r>
        <w:rPr>
          <w:rFonts w:hint="eastAsia" w:ascii="Times New Roman" w:hAnsi="Times New Roman" w:cs="Times New Roman"/>
        </w:rPr>
        <w:t>充分发挥煤电作为电力安全保障</w:t>
      </w:r>
      <w:r>
        <w:rPr>
          <w:rFonts w:ascii="Times New Roman" w:hAnsi="Times New Roman" w:cs="Times New Roman"/>
        </w:rPr>
        <w:t>“</w:t>
      </w:r>
      <w:r>
        <w:rPr>
          <w:rFonts w:hint="eastAsia" w:ascii="Times New Roman" w:hAnsi="Times New Roman" w:cs="Times New Roman"/>
        </w:rPr>
        <w:t>压舱石</w:t>
      </w:r>
      <w:r>
        <w:rPr>
          <w:rFonts w:ascii="Times New Roman" w:hAnsi="Times New Roman" w:cs="Times New Roman"/>
        </w:rPr>
        <w:t>”</w:t>
      </w:r>
      <w:r>
        <w:rPr>
          <w:rFonts w:hint="eastAsia" w:ascii="Times New Roman" w:hAnsi="Times New Roman" w:cs="Times New Roman"/>
        </w:rPr>
        <w:t>作用，按照“增容控量减碳”的原则，推动煤电向</w:t>
      </w:r>
      <w:r>
        <w:rPr>
          <w:rFonts w:hint="eastAsia" w:ascii="Times New Roman" w:hAnsi="Times New Roman"/>
          <w:szCs w:val="36"/>
        </w:rPr>
        <w:t>基础保障性和系统调节性电源</w:t>
      </w:r>
      <w:r>
        <w:rPr>
          <w:rFonts w:hint="eastAsia" w:ascii="Times New Roman" w:hAnsi="Times New Roman" w:cs="Times New Roman"/>
        </w:rPr>
        <w:t>转变。加快建设省内清洁煤电项目，探索新一代煤电试点示范。加速石门一期、湘潭一期等服役到期的</w:t>
      </w:r>
      <w:r>
        <w:rPr>
          <w:rFonts w:ascii="Times New Roman" w:hAnsi="Times New Roman" w:cs="Times New Roman"/>
        </w:rPr>
        <w:t>30</w:t>
      </w:r>
      <w:r>
        <w:rPr>
          <w:rFonts w:hint="eastAsia" w:ascii="Times New Roman" w:hAnsi="Times New Roman" w:cs="Times New Roman"/>
        </w:rPr>
        <w:t>万千瓦老旧低效机组等容量替代，探索涟源等在役</w:t>
      </w:r>
      <w:r>
        <w:rPr>
          <w:rFonts w:ascii="Times New Roman" w:hAnsi="Times New Roman" w:cs="Times New Roman"/>
        </w:rPr>
        <w:t>30</w:t>
      </w:r>
      <w:r>
        <w:rPr>
          <w:rFonts w:hint="eastAsia" w:ascii="Times New Roman" w:hAnsi="Times New Roman" w:cs="Times New Roman"/>
        </w:rPr>
        <w:t>万千瓦煤电机组调相机改造试点示范</w:t>
      </w:r>
      <w:r>
        <w:rPr>
          <w:rFonts w:hint="eastAsia" w:ascii="Times New Roman" w:hAnsi="Times New Roman" w:cs="Times New Roman"/>
          <w:szCs w:val="36"/>
        </w:rPr>
        <w:t>，持续推进煤电节能降碳改造和供热改造。</w:t>
      </w:r>
      <w:r>
        <w:rPr>
          <w:rFonts w:hint="eastAsia" w:ascii="Times New Roman" w:hAnsi="Times New Roman"/>
          <w:szCs w:val="36"/>
        </w:rPr>
        <w:t>积极推进煤电低碳化改造，探索生物质燃料掺烧、绿氨掺烧和碳捕集利用与封存等技术应用。</w:t>
      </w:r>
      <w:r>
        <w:rPr>
          <w:rFonts w:hint="eastAsia" w:ascii="Times New Roman" w:hAnsi="Times New Roman" w:cs="Times New Roman"/>
        </w:rPr>
        <w:t>到</w:t>
      </w:r>
      <w:r>
        <w:rPr>
          <w:rFonts w:ascii="Times New Roman" w:hAnsi="Times New Roman" w:cs="Times New Roman"/>
        </w:rPr>
        <w:t>2030</w:t>
      </w:r>
      <w:r>
        <w:rPr>
          <w:rFonts w:hint="eastAsia" w:ascii="Times New Roman" w:hAnsi="Times New Roman" w:cs="Times New Roman"/>
        </w:rPr>
        <w:t>年，全省煤电</w:t>
      </w:r>
      <w:r>
        <w:rPr>
          <w:rFonts w:hint="eastAsia" w:ascii="Times New Roman" w:hAnsi="Times New Roman"/>
          <w:szCs w:val="36"/>
        </w:rPr>
        <w:t>（含余热余压余气发电机组）</w:t>
      </w:r>
      <w:r>
        <w:rPr>
          <w:rFonts w:hint="eastAsia" w:ascii="Times New Roman" w:hAnsi="Times New Roman" w:cs="Times New Roman"/>
        </w:rPr>
        <w:t>装机控制在</w:t>
      </w:r>
      <w:r>
        <w:rPr>
          <w:rFonts w:ascii="Times New Roman" w:hAnsi="Times New Roman" w:cs="Times New Roman"/>
        </w:rPr>
        <w:t>3660</w:t>
      </w:r>
      <w:r>
        <w:rPr>
          <w:rFonts w:hint="eastAsia" w:ascii="Times New Roman" w:hAnsi="Times New Roman" w:cs="Times New Roman"/>
        </w:rPr>
        <w:t>万千瓦左右。</w:t>
      </w:r>
    </w:p>
    <w:p w14:paraId="6704ED51">
      <w:pPr>
        <w:pStyle w:val="11"/>
        <w:overflowPunct w:val="0"/>
        <w:adjustRightInd w:val="0"/>
        <w:snapToGrid w:val="0"/>
        <w:spacing w:line="560" w:lineRule="exact"/>
        <w:textAlignment w:val="baseline"/>
        <w:rPr>
          <w:rFonts w:ascii="Times New Roman" w:hAnsi="Times New Roman" w:cs="Times New Roman"/>
        </w:rPr>
      </w:pPr>
      <w:r>
        <w:rPr>
          <w:rFonts w:ascii="Times New Roman" w:hAnsi="Times New Roman" w:cs="Times New Roman"/>
          <w:b/>
          <w:bCs/>
        </w:rPr>
        <w:t>2.</w:t>
      </w:r>
      <w:r>
        <w:rPr>
          <w:rFonts w:hint="eastAsia" w:ascii="Times New Roman" w:hAnsi="Times New Roman" w:cs="Times New Roman"/>
          <w:b/>
          <w:bCs/>
        </w:rPr>
        <w:t>提升电力应急备用能力。</w:t>
      </w:r>
      <w:r>
        <w:rPr>
          <w:rFonts w:hint="eastAsia" w:ascii="Times New Roman" w:hAnsi="Times New Roman" w:cs="Times New Roman"/>
        </w:rPr>
        <w:t>科学合理地配置应急备用电源与调峰电源规模，适度提升水电、风电、光伏发电以及不可中断用户占比较高地区的应急备用电源配置比例。强化应急备用电源管理工作，科学认定和退出应急备用机组。大力加强抽水蓄能电站应急备用能力建设，推动抽水蓄能电站具备黑启动功能。切实做好一次能源监测预警和供应协调工作，有效提升电源发电能力。进一步完善电力应急响应体系和</w:t>
      </w:r>
      <w:r>
        <w:rPr>
          <w:rFonts w:hint="eastAsia" w:ascii="Times New Roman" w:hAnsi="Times New Roman" w:cs="Times New Roman"/>
          <w:szCs w:val="36"/>
        </w:rPr>
        <w:t>防灾减灾监测预警体系，做好应对高温干旱、暴雨洪涝、雨雪冰冻等极端情况能源应急保供预案，提高防灾、减灾、抗灾、应急救灾能力和极端条件下快速恢复能力。</w:t>
      </w:r>
    </w:p>
    <w:p w14:paraId="20C536C8">
      <w:pPr>
        <w:overflowPunct w:val="0"/>
        <w:adjustRightInd w:val="0"/>
        <w:snapToGrid w:val="0"/>
        <w:spacing w:line="560" w:lineRule="exact"/>
        <w:rPr>
          <w:rFonts w:ascii="Times New Roman" w:hAnsi="Times New Roman" w:cs="Times New Roman"/>
        </w:rPr>
      </w:pPr>
      <w:r>
        <w:rPr>
          <w:rFonts w:ascii="Times New Roman" w:hAnsi="Times New Roman" w:cs="Times New Roman"/>
          <w:b/>
          <w:bCs/>
        </w:rPr>
        <w:t>3.</w:t>
      </w:r>
      <w:r>
        <w:rPr>
          <w:rFonts w:hint="eastAsia" w:ascii="Times New Roman" w:hAnsi="Times New Roman" w:cs="Times New Roman"/>
          <w:b/>
          <w:bCs/>
        </w:rPr>
        <w:t>提升电网主动防御和智慧自愈能力。</w:t>
      </w:r>
      <w:r>
        <w:rPr>
          <w:rFonts w:hint="eastAsia" w:ascii="Times New Roman" w:hAnsi="Times New Roman" w:cs="Times New Roman"/>
          <w:szCs w:val="36"/>
        </w:rPr>
        <w:t>完善电力安全治理体系，针对性补强系统安全评估、新型并网主体涉网安全等监督管理措施，</w:t>
      </w:r>
      <w:r>
        <w:rPr>
          <w:rFonts w:hint="eastAsia" w:ascii="Times New Roman" w:hAnsi="Times New Roman" w:cs="Times New Roman"/>
        </w:rPr>
        <w:t>深入开展新型电力系统的安全稳定机理研究，建设以多时间尺度、平台化、智能化为特征的大电网仿真分析平台，加强适应低惯量和高比例电力电子系统的保护新原理和稳定控制新技术研究与应用。优化新型电力系统三道防线配置，全面升级继电保护、自动化等二次系统配置，推广构网型</w:t>
      </w:r>
      <w:r>
        <w:rPr>
          <w:rFonts w:ascii="Times New Roman" w:hAnsi="Times New Roman" w:cs="Times New Roman"/>
        </w:rPr>
        <w:t>SVG</w:t>
      </w:r>
      <w:r>
        <w:rPr>
          <w:rFonts w:hint="eastAsia" w:ascii="Times New Roman" w:hAnsi="Times New Roman" w:cs="Times New Roman"/>
        </w:rPr>
        <w:t>、构网型储能等电力电子设备主动支撑技术及应用，推进规模化新型储能系统主动支撑与协同控制技术示范工程建设，加强电网全局感知和风险识别能力，深化故障处置智能辅助决策，提升故障研判与应急指挥能力，加强暂态过电压、振荡等风险管控，提升电网动态无功支撑能力。</w:t>
      </w:r>
    </w:p>
    <w:p w14:paraId="6CD8F29C">
      <w:pPr>
        <w:overflowPunct w:val="0"/>
        <w:adjustRightInd w:val="0"/>
        <w:snapToGrid w:val="0"/>
        <w:spacing w:line="560" w:lineRule="exact"/>
        <w:rPr>
          <w:rFonts w:ascii="Times New Roman" w:hAnsi="Times New Roman" w:cs="Times New Roman"/>
        </w:rPr>
      </w:pPr>
      <w:r>
        <w:rPr>
          <w:rFonts w:ascii="Times New Roman" w:hAnsi="Times New Roman" w:cs="Times New Roman"/>
          <w:b/>
          <w:bCs/>
        </w:rPr>
        <w:t>4.</w:t>
      </w:r>
      <w:r>
        <w:rPr>
          <w:rFonts w:hint="eastAsia" w:ascii="Times New Roman" w:hAnsi="Times New Roman" w:cs="Times New Roman"/>
          <w:b/>
          <w:bCs/>
        </w:rPr>
        <w:t>构建新型电力系统智慧调度体系。</w:t>
      </w:r>
      <w:r>
        <w:rPr>
          <w:rFonts w:hint="eastAsia" w:ascii="Times New Roman" w:hAnsi="Times New Roman" w:cs="Times New Roman"/>
        </w:rPr>
        <w:t>建设新一代调度运行技术支持系统，依托全国统一电力市场和大电网资源配置能力，统筹全系统电力资源，构建全景观测、精准控制、主配协同的新型有源配电网调度模式，推进省域主配网多元储能资源管理及多时间尺度优化调度提升示范项目建设，提升电网海量资源聚合控制能力，保障系统全局综合动态平衡，保障电力供应安全。运用人工智能技术，不断提升调度系统智慧化水平，逐步实现实时和未来态电力系统安全稳定分析，综合考虑经济高效运行与安全稳定运行，为调度运行方式提供智能决策支持，实现电力系统故障过程推演与电网快速恢复处理方案建议，逐步建立人机融合、群智开放的高智慧调度平台。</w:t>
      </w:r>
    </w:p>
    <w:p w14:paraId="773E85C7">
      <w:pPr>
        <w:overflowPunct w:val="0"/>
        <w:adjustRightInd w:val="0"/>
        <w:snapToGrid w:val="0"/>
        <w:spacing w:line="560" w:lineRule="exact"/>
        <w:rPr>
          <w:rFonts w:ascii="Times New Roman" w:hAnsi="Times New Roman" w:cs="Times New Roman"/>
        </w:rPr>
      </w:pPr>
      <w:r>
        <w:rPr>
          <w:rFonts w:ascii="Times New Roman" w:hAnsi="Times New Roman" w:cs="Times New Roman"/>
          <w:b/>
          <w:bCs/>
        </w:rPr>
        <w:t>5.</w:t>
      </w:r>
      <w:r>
        <w:rPr>
          <w:rFonts w:hint="eastAsia" w:ascii="Times New Roman" w:hAnsi="Times New Roman" w:cs="Times New Roman"/>
          <w:b/>
          <w:bCs/>
        </w:rPr>
        <w:t>提升电力系统运维管理智能化水平。</w:t>
      </w:r>
      <w:r>
        <w:rPr>
          <w:rFonts w:hint="eastAsia" w:ascii="Times New Roman" w:hAnsi="Times New Roman" w:cs="Times New Roman"/>
        </w:rPr>
        <w:t>推进“智慧电厂”建设，实现火电全流程智能化生产管控，整合全省小水电资源，推进小水电智能化集约化标准化建设，提升精准预报、调洪增发、优化调度等数字化能力。推进“智慧光伏”“智慧风电”建设，实现“光伏</w:t>
      </w:r>
      <w:r>
        <w:rPr>
          <w:rFonts w:ascii="Times New Roman" w:hAnsi="Times New Roman" w:cs="Times New Roman"/>
        </w:rPr>
        <w:t>+</w:t>
      </w:r>
      <w:r>
        <w:rPr>
          <w:rFonts w:hint="eastAsia" w:ascii="Times New Roman" w:hAnsi="Times New Roman" w:cs="Times New Roman"/>
        </w:rPr>
        <w:t>生态</w:t>
      </w:r>
      <w:r>
        <w:rPr>
          <w:rFonts w:ascii="Times New Roman" w:hAnsi="Times New Roman" w:cs="Times New Roman"/>
        </w:rPr>
        <w:t>+</w:t>
      </w:r>
      <w:r>
        <w:rPr>
          <w:rFonts w:hint="eastAsia" w:ascii="Times New Roman" w:hAnsi="Times New Roman" w:cs="Times New Roman"/>
        </w:rPr>
        <w:t>储能”模式应用及风电预测性维护、精准发电预测，建设覆盖新能源运行、维护、管理的一体化平台。推进智慧变电站、数字换流站、智慧线路、透明配电网建设，全面提升设备智能化水平。全面推进分布式电源、储能及负荷控制终端部署，实现配变、分布式能源等关键节点智能识别和感知。通过北斗卫星系统、无人机巡查、布控点视频监控等技术手段实时跟踪电力工程施工进度，提升基建作业智能化水平。推动变电站智能运检、输电线路智能巡检、配电智能运维体系建设，发展电网灾害智能感知体系，提高供电可靠性和恶劣环境适应性。大力推进地方供电营业区、小水电供区电网建设改造，因地制宜完善农村电力管理体制，提升电力普遍服务水平。</w:t>
      </w:r>
    </w:p>
    <w:p w14:paraId="430D13DC">
      <w:pPr>
        <w:pStyle w:val="4"/>
        <w:adjustRightInd w:val="0"/>
        <w:snapToGrid w:val="0"/>
        <w:spacing w:line="560" w:lineRule="exact"/>
        <w:ind w:firstLine="640"/>
        <w:rPr>
          <w:rFonts w:ascii="Times New Roman" w:hAnsi="Times New Roman" w:cs="Times New Roman"/>
        </w:rPr>
      </w:pPr>
      <w:bookmarkStart w:id="62" w:name="_Toc207728203"/>
      <w:bookmarkStart w:id="63" w:name="_Toc11624"/>
      <w:r>
        <w:rPr>
          <w:rFonts w:hint="eastAsia" w:ascii="Times New Roman" w:hAnsi="Times New Roman" w:cs="Times New Roman"/>
        </w:rPr>
        <w:t>四、</w:t>
      </w:r>
      <w:r>
        <w:rPr>
          <w:rFonts w:hint="eastAsia" w:ascii="Times New Roman" w:hAnsi="Times New Roman" w:eastAsia="SimHei" w:cs="Times New Roman"/>
          <w:i w:val="0"/>
          <w:iCs w:val="0"/>
          <w:caps w:val="0"/>
          <w:spacing w:val="0"/>
          <w:sz w:val="32"/>
          <w:szCs w:val="24"/>
          <w:shd w:val="clear" w:fill="auto"/>
        </w:rPr>
        <w:t>深化电力资源聚合互动</w:t>
      </w:r>
      <w:bookmarkEnd w:id="62"/>
      <w:bookmarkEnd w:id="63"/>
    </w:p>
    <w:p w14:paraId="0FF3E211">
      <w:pPr>
        <w:pStyle w:val="11"/>
        <w:overflowPunct w:val="0"/>
        <w:adjustRightInd w:val="0"/>
        <w:snapToGrid w:val="0"/>
        <w:spacing w:after="0" w:line="560" w:lineRule="exact"/>
        <w:ind w:firstLine="634"/>
        <w:textAlignment w:val="baseline"/>
        <w:rPr>
          <w:rFonts w:ascii="Times New Roman" w:hAnsi="Times New Roman" w:cs="Times New Roman"/>
        </w:rPr>
      </w:pPr>
      <w:r>
        <w:rPr>
          <w:rFonts w:ascii="Times New Roman" w:hAnsi="Times New Roman" w:cs="Times New Roman"/>
          <w:b/>
          <w:bCs/>
          <w:spacing w:val="-2"/>
          <w:szCs w:val="36"/>
        </w:rPr>
        <w:t>1.</w:t>
      </w:r>
      <w:r>
        <w:rPr>
          <w:rFonts w:hint="eastAsia" w:ascii="Times New Roman" w:hAnsi="Times New Roman" w:cs="Times New Roman"/>
          <w:b/>
          <w:bCs/>
          <w:spacing w:val="-2"/>
          <w:szCs w:val="36"/>
        </w:rPr>
        <w:t>提升终端用能电气化水平。</w:t>
      </w:r>
      <w:r>
        <w:rPr>
          <w:rFonts w:hint="eastAsia" w:ascii="Times New Roman" w:hAnsi="Times New Roman" w:cs="Times New Roman"/>
          <w:spacing w:val="-2"/>
          <w:szCs w:val="36"/>
        </w:rPr>
        <w:t>深入拓展电能替代，加快发展新能源汽车、电动船舶，</w:t>
      </w:r>
      <w:r>
        <w:rPr>
          <w:rFonts w:hint="eastAsia" w:ascii="Times New Roman" w:hAnsi="Times New Roman"/>
          <w:szCs w:val="36"/>
        </w:rPr>
        <w:t>推进电烤烟、电制茶工艺，</w:t>
      </w:r>
      <w:r>
        <w:rPr>
          <w:rFonts w:hint="eastAsia" w:ascii="Times New Roman" w:hAnsi="Times New Roman" w:cs="Times New Roman"/>
          <w:spacing w:val="-2"/>
          <w:szCs w:val="36"/>
        </w:rPr>
        <w:t>持续推进交通、工业、建筑、农业及生活领域电能替代。在冶金、建材、陶瓷、石化等行业推动以电代煤、代油。加快钢铁、石化、有色等传统高耗能产业转型升级，强化产业链韧性，推动</w:t>
      </w:r>
      <w:r>
        <w:rPr>
          <w:rFonts w:hint="eastAsia" w:ascii="Times New Roman" w:hAnsi="Times New Roman" w:cs="Times New Roman"/>
          <w:szCs w:val="32"/>
        </w:rPr>
        <w:t>传统产业</w:t>
      </w:r>
      <w:r>
        <w:rPr>
          <w:rFonts w:hint="eastAsia" w:ascii="Times New Roman" w:hAnsi="Times New Roman" w:cs="Times New Roman"/>
          <w:spacing w:val="-2"/>
          <w:szCs w:val="36"/>
        </w:rPr>
        <w:t>向中高端延伸，优化产品结构，实现高质量、智能化、绿色化发展。聚焦电子信息、航空航天等核心优势产业，打造工业用电增长新引擎。持续推动农村能源革命，加快居民炊事、采暖、出行等方面电能替代。到</w:t>
      </w:r>
      <w:r>
        <w:rPr>
          <w:rFonts w:ascii="Times New Roman" w:hAnsi="Times New Roman" w:cs="Times New Roman"/>
          <w:spacing w:val="-2"/>
          <w:szCs w:val="36"/>
        </w:rPr>
        <w:t>2030</w:t>
      </w:r>
      <w:r>
        <w:rPr>
          <w:rFonts w:hint="eastAsia" w:ascii="Times New Roman" w:hAnsi="Times New Roman" w:cs="Times New Roman"/>
          <w:spacing w:val="-2"/>
          <w:szCs w:val="36"/>
        </w:rPr>
        <w:t>年，全省电能占终端能源消费比重达到</w:t>
      </w:r>
      <w:r>
        <w:rPr>
          <w:rFonts w:ascii="Times New Roman" w:hAnsi="Times New Roman" w:cs="Times New Roman"/>
          <w:spacing w:val="-2"/>
          <w:szCs w:val="36"/>
        </w:rPr>
        <w:t>31%</w:t>
      </w:r>
      <w:r>
        <w:rPr>
          <w:rFonts w:hint="eastAsia" w:ascii="Times New Roman" w:hAnsi="Times New Roman" w:cs="Times New Roman"/>
          <w:spacing w:val="-2"/>
          <w:szCs w:val="36"/>
        </w:rPr>
        <w:t>。</w:t>
      </w:r>
    </w:p>
    <w:p w14:paraId="5984650F">
      <w:pPr>
        <w:pStyle w:val="11"/>
        <w:overflowPunct w:val="0"/>
        <w:adjustRightInd w:val="0"/>
        <w:snapToGrid w:val="0"/>
        <w:spacing w:after="0" w:line="560" w:lineRule="exact"/>
        <w:textAlignment w:val="baseline"/>
        <w:rPr>
          <w:rFonts w:ascii="Times New Roman" w:hAnsi="Times New Roman" w:cs="Times New Roman"/>
        </w:rPr>
      </w:pPr>
      <w:r>
        <w:rPr>
          <w:rFonts w:ascii="Times New Roman" w:hAnsi="Times New Roman" w:cs="Times New Roman"/>
          <w:b/>
          <w:bCs/>
        </w:rPr>
        <w:t>2.</w:t>
      </w:r>
      <w:r>
        <w:rPr>
          <w:rFonts w:hint="eastAsia" w:ascii="Times New Roman" w:hAnsi="Times New Roman" w:cs="Times New Roman"/>
          <w:b/>
          <w:bCs/>
        </w:rPr>
        <w:t>深入挖掘负荷柔性互动能力。</w:t>
      </w:r>
      <w:r>
        <w:rPr>
          <w:rFonts w:hint="eastAsia" w:ascii="Times New Roman" w:hAnsi="Times New Roman" w:cs="Times New Roman"/>
        </w:rPr>
        <w:t>采用数字化技术和先进控制技术，深挖蓄冷、蓄热、建筑楼宇、工商业等多类可调节负荷柔性互动潜力。加快新型电力负荷管理系统建设，完善源网荷储分类聚合平台，提升负荷精准控制和监测指挥能力，推动需求侧资源分层分级聚合参与系统调节。积极培育负荷聚合商、虚拟电厂运营商等新型</w:t>
      </w:r>
      <w:r>
        <w:rPr>
          <w:rFonts w:hint="eastAsia" w:ascii="Times New Roman" w:hAnsi="Times New Roman" w:cs="Times New Roman"/>
          <w:lang w:val="en-US" w:eastAsia="zh-CN"/>
        </w:rPr>
        <w:t>主体</w:t>
      </w:r>
      <w:r>
        <w:rPr>
          <w:rFonts w:hint="eastAsia" w:ascii="Times New Roman" w:hAnsi="Times New Roman" w:cs="Times New Roman"/>
        </w:rPr>
        <w:t>，鼓励参与现货、辅助服务市场交易。开展电力需求侧管理，加强新能源与智能电网、储能、充电桩信息交互，大力推广用户侧储能、大数据中心负荷、电动汽车智能有序充电、车网互动等新模式，做大、做优可调节负荷资源池建设。</w:t>
      </w:r>
      <w:r>
        <w:rPr>
          <w:rFonts w:hint="eastAsia" w:ascii="Times New Roman" w:hAnsi="Times New Roman" w:cs="Times New Roman"/>
          <w:szCs w:val="36"/>
        </w:rPr>
        <w:t>到</w:t>
      </w:r>
      <w:r>
        <w:rPr>
          <w:rFonts w:ascii="Times New Roman" w:hAnsi="Times New Roman" w:cs="Times New Roman"/>
          <w:szCs w:val="36"/>
        </w:rPr>
        <w:t>2030</w:t>
      </w:r>
      <w:r>
        <w:rPr>
          <w:rFonts w:hint="eastAsia" w:ascii="Times New Roman" w:hAnsi="Times New Roman" w:cs="Times New Roman"/>
          <w:szCs w:val="36"/>
        </w:rPr>
        <w:t>年，全省需求侧削峰能力达到最大用电负荷的</w:t>
      </w:r>
      <w:r>
        <w:rPr>
          <w:rFonts w:ascii="Times New Roman" w:hAnsi="Times New Roman" w:cs="Times New Roman"/>
          <w:szCs w:val="36"/>
        </w:rPr>
        <w:t>5%</w:t>
      </w:r>
      <w:r>
        <w:rPr>
          <w:rFonts w:hint="eastAsia" w:ascii="Times New Roman" w:hAnsi="Times New Roman" w:cs="Times New Roman"/>
          <w:szCs w:val="36"/>
        </w:rPr>
        <w:t>以上。</w:t>
      </w:r>
    </w:p>
    <w:p w14:paraId="0799F867">
      <w:pPr>
        <w:pStyle w:val="11"/>
        <w:overflowPunct w:val="0"/>
        <w:adjustRightInd w:val="0"/>
        <w:snapToGrid w:val="0"/>
        <w:spacing w:after="0" w:line="560" w:lineRule="exact"/>
        <w:textAlignment w:val="baseline"/>
        <w:rPr>
          <w:rFonts w:ascii="Times New Roman" w:hAnsi="Times New Roman" w:cs="Times New Roman"/>
        </w:rPr>
      </w:pPr>
      <w:r>
        <w:rPr>
          <w:rFonts w:ascii="Times New Roman" w:hAnsi="Times New Roman" w:cs="Times New Roman"/>
          <w:b/>
          <w:bCs/>
        </w:rPr>
        <w:t>3.</w:t>
      </w:r>
      <w:r>
        <w:rPr>
          <w:rFonts w:hint="eastAsia" w:ascii="Times New Roman" w:hAnsi="Times New Roman" w:cs="Times New Roman"/>
          <w:b/>
          <w:bCs/>
        </w:rPr>
        <w:t>推动电力系统数字基础设施转型升级</w:t>
      </w:r>
      <w:r>
        <w:rPr>
          <w:rFonts w:hint="eastAsia" w:ascii="Times New Roman" w:hAnsi="Times New Roman" w:cs="Times New Roman"/>
        </w:rPr>
        <w:t>。以“试点先行、量身铺开”为原则开展配电光纤专网建设，强化一、二次规划统筹，推动新、改建电缆线路</w:t>
      </w:r>
      <w:r>
        <w:rPr>
          <w:rFonts w:ascii="Times New Roman" w:hAnsi="Times New Roman" w:cs="Times New Roman"/>
        </w:rPr>
        <w:t>100%</w:t>
      </w:r>
      <w:r>
        <w:rPr>
          <w:rFonts w:hint="eastAsia" w:ascii="Times New Roman" w:hAnsi="Times New Roman" w:cs="Times New Roman"/>
        </w:rPr>
        <w:t>同步建设光缆，稳步提升业务通信覆盖率。建设安全可靠、绿色低碳、智能高效的第二数据中心，提高业务流量处置能力和业务容灾能力。探索电网数字孪生技术，通过部署先进量测、</w:t>
      </w:r>
      <w:r>
        <w:rPr>
          <w:rFonts w:ascii="Times New Roman" w:hAnsi="Times New Roman" w:cs="Times New Roman"/>
        </w:rPr>
        <w:t>5G</w:t>
      </w:r>
      <w:r>
        <w:rPr>
          <w:rFonts w:hint="eastAsia" w:ascii="Times New Roman" w:hAnsi="Times New Roman" w:cs="Times New Roman"/>
        </w:rPr>
        <w:t>通信等技术，强化电力系统全环节智能感知能力，并基于卫星遥感技术构建高精度数字电力系统底座，实现物理电网在数字空间的动态映射与全景呈现。打造</w:t>
      </w:r>
      <w:r>
        <w:rPr>
          <w:rFonts w:ascii="Times New Roman" w:hAnsi="Times New Roman" w:cs="Times New Roman"/>
        </w:rPr>
        <w:t>“</w:t>
      </w:r>
      <w:r>
        <w:rPr>
          <w:rFonts w:hint="eastAsia" w:ascii="Times New Roman" w:hAnsi="Times New Roman" w:cs="Times New Roman"/>
        </w:rPr>
        <w:t>云上新型电力系统</w:t>
      </w:r>
      <w:r>
        <w:rPr>
          <w:rFonts w:ascii="Times New Roman" w:hAnsi="Times New Roman" w:cs="Times New Roman"/>
        </w:rPr>
        <w:t>”</w:t>
      </w:r>
      <w:r>
        <w:rPr>
          <w:rFonts w:hint="eastAsia" w:ascii="Times New Roman" w:hAnsi="Times New Roman" w:cs="Times New Roman"/>
        </w:rPr>
        <w:t>，建立省级能源数据服务体系，实现能耗与碳排放数据一体化管理。</w:t>
      </w:r>
    </w:p>
    <w:p w14:paraId="7E30BB81">
      <w:pPr>
        <w:overflowPunct w:val="0"/>
        <w:adjustRightInd w:val="0"/>
        <w:snapToGrid w:val="0"/>
        <w:spacing w:line="560" w:lineRule="exact"/>
        <w:rPr>
          <w:rFonts w:ascii="Times New Roman" w:hAnsi="Times New Roman" w:cs="Times New Roman"/>
        </w:rPr>
      </w:pPr>
      <w:r>
        <w:rPr>
          <w:rFonts w:ascii="Times New Roman" w:hAnsi="Times New Roman" w:cs="Times New Roman"/>
          <w:b/>
          <w:bCs/>
        </w:rPr>
        <w:t>4.</w:t>
      </w:r>
      <w:r>
        <w:rPr>
          <w:rFonts w:hint="eastAsia" w:ascii="Times New Roman" w:hAnsi="Times New Roman" w:cs="Times New Roman"/>
          <w:b/>
          <w:bCs/>
        </w:rPr>
        <w:t>推动源网荷储电力资源分类分级聚合</w:t>
      </w:r>
      <w:r>
        <w:rPr>
          <w:rFonts w:hint="eastAsia" w:ascii="Times New Roman" w:hAnsi="Times New Roman" w:cs="Times New Roman"/>
        </w:rPr>
        <w:t>。</w:t>
      </w:r>
      <w:r>
        <w:rPr>
          <w:rFonts w:hint="eastAsia" w:ascii="Times New Roman" w:hAnsi="Times New Roman"/>
        </w:rPr>
        <w:t>筑牢分布式资源“四可”基础，加快存量分布式资源柔性“四可”改造。</w:t>
      </w:r>
      <w:r>
        <w:rPr>
          <w:rFonts w:hint="eastAsia" w:ascii="Times New Roman" w:hAnsi="Times New Roman" w:cs="Times New Roman"/>
        </w:rPr>
        <w:t>建设省级聚合平台，优化分布式电源、可调负荷及用户侧储能等电力资源的聚合应用。完善低压分布式资源接入聚合平台的省地县三级分级管理机制，明确调度管辖范围，建立各类聚合商参与分类聚合的调度管理体系。完善新型负荷管理平台，建立适配资源聚合特性的调度模式与交易机制。依托</w:t>
      </w:r>
      <w:r>
        <w:rPr>
          <w:rFonts w:ascii="Times New Roman" w:hAnsi="Times New Roman" w:cs="Times New Roman"/>
        </w:rPr>
        <w:t>“</w:t>
      </w:r>
      <w:r>
        <w:rPr>
          <w:rFonts w:hint="eastAsia" w:ascii="Times New Roman" w:hAnsi="Times New Roman" w:cs="Times New Roman"/>
        </w:rPr>
        <w:t>电网一张图</w:t>
      </w:r>
      <w:r>
        <w:rPr>
          <w:rFonts w:ascii="Times New Roman" w:hAnsi="Times New Roman" w:cs="Times New Roman"/>
        </w:rPr>
        <w:t>”</w:t>
      </w:r>
      <w:r>
        <w:rPr>
          <w:rFonts w:hint="eastAsia" w:ascii="Times New Roman" w:hAnsi="Times New Roman" w:cs="Times New Roman"/>
        </w:rPr>
        <w:t>构建新型电力系统核心数字底座，显著提升分布式资源消纳能力，实现电力系统的高效互动、供需协同与动态平衡。</w:t>
      </w:r>
    </w:p>
    <w:p w14:paraId="7764ADCB">
      <w:pPr>
        <w:pStyle w:val="4"/>
        <w:adjustRightInd w:val="0"/>
        <w:snapToGrid w:val="0"/>
        <w:spacing w:line="560" w:lineRule="exact"/>
        <w:ind w:firstLine="640"/>
        <w:rPr>
          <w:rFonts w:ascii="Times New Roman" w:hAnsi="Times New Roman" w:cs="Times New Roman"/>
        </w:rPr>
      </w:pPr>
      <w:bookmarkStart w:id="64" w:name="_Toc207728204"/>
      <w:bookmarkStart w:id="65" w:name="_Toc5939"/>
      <w:r>
        <w:rPr>
          <w:rFonts w:hint="eastAsia" w:ascii="Times New Roman" w:hAnsi="Times New Roman" w:cs="Times New Roman"/>
        </w:rPr>
        <w:t>五、</w:t>
      </w:r>
      <w:bookmarkEnd w:id="64"/>
      <w:bookmarkStart w:id="66" w:name="OLE_LINK125"/>
      <w:r>
        <w:rPr>
          <w:rFonts w:hint="eastAsia" w:ascii="Times New Roman" w:hAnsi="Times New Roman" w:eastAsia="SimHei" w:cs="Times New Roman"/>
          <w:i w:val="0"/>
          <w:iCs w:val="0"/>
          <w:caps w:val="0"/>
          <w:spacing w:val="0"/>
          <w:sz w:val="32"/>
          <w:szCs w:val="24"/>
          <w:shd w:val="clear" w:fill="auto"/>
        </w:rPr>
        <w:t>提升多元调节资源协同水平</w:t>
      </w:r>
      <w:bookmarkEnd w:id="65"/>
    </w:p>
    <w:bookmarkEnd w:id="66"/>
    <w:p w14:paraId="568EBB35">
      <w:pPr>
        <w:pStyle w:val="11"/>
        <w:overflowPunct w:val="0"/>
        <w:adjustRightInd w:val="0"/>
        <w:snapToGrid w:val="0"/>
        <w:spacing w:after="0" w:line="560" w:lineRule="exact"/>
        <w:textAlignment w:val="baseline"/>
        <w:rPr>
          <w:rFonts w:ascii="Times New Roman" w:hAnsi="Times New Roman"/>
        </w:rPr>
      </w:pPr>
      <w:r>
        <w:rPr>
          <w:rFonts w:ascii="Times New Roman" w:hAnsi="Times New Roman" w:cs="Times New Roman"/>
          <w:b/>
          <w:bCs/>
        </w:rPr>
        <w:t>1.</w:t>
      </w:r>
      <w:r>
        <w:rPr>
          <w:rFonts w:hint="eastAsia" w:ascii="Times New Roman" w:hAnsi="Times New Roman" w:cs="Times New Roman"/>
          <w:b/>
          <w:bCs/>
        </w:rPr>
        <w:t>全面提升煤电调节能力。</w:t>
      </w:r>
      <w:r>
        <w:rPr>
          <w:rFonts w:hint="eastAsia" w:ascii="Times New Roman" w:hAnsi="Times New Roman" w:cs="Times New Roman"/>
        </w:rPr>
        <w:t>加快推进煤电灵活性改造、节能降碳改造和供热改造，落实新一代煤电升级专项行动要求，提升煤电深调、快调、高效调节能力，推动全省煤电机组平均最小出力达</w:t>
      </w:r>
      <w:r>
        <w:rPr>
          <w:rFonts w:ascii="Times New Roman" w:hAnsi="Times New Roman" w:cs="Times New Roman"/>
        </w:rPr>
        <w:t>30%</w:t>
      </w:r>
      <w:r>
        <w:rPr>
          <w:rFonts w:hint="eastAsia" w:ascii="Times New Roman" w:hAnsi="Times New Roman" w:cs="Times New Roman"/>
        </w:rPr>
        <w:t>额定负荷及以下。加强与山西、陕西、内蒙古等煤源主产地和贵州等周边省份的衔接，完善与国铁集团、广铁集团的煤炭运力保障机制。推动</w:t>
      </w:r>
      <w:r>
        <w:rPr>
          <w:rFonts w:ascii="Times New Roman" w:hAnsi="Times New Roman" w:cs="Times New Roman"/>
        </w:rPr>
        <w:t>“</w:t>
      </w:r>
      <w:r>
        <w:rPr>
          <w:rFonts w:hint="eastAsia" w:ascii="Times New Roman" w:hAnsi="Times New Roman" w:cs="Times New Roman"/>
        </w:rPr>
        <w:t>煤炭与煤电”“煤电与新能源</w:t>
      </w:r>
      <w:r>
        <w:rPr>
          <w:rFonts w:ascii="Times New Roman" w:hAnsi="Times New Roman" w:cs="Times New Roman"/>
        </w:rPr>
        <w:t>”</w:t>
      </w:r>
      <w:r>
        <w:rPr>
          <w:rFonts w:hint="eastAsia" w:ascii="Times New Roman" w:hAnsi="Times New Roman" w:cs="Times New Roman"/>
        </w:rPr>
        <w:t>联营发展，积极探索煤电与可再生能源、储能的一体化开发、运行模式。充分发挥气电机组灵活调峰优势。到</w:t>
      </w:r>
      <w:r>
        <w:rPr>
          <w:rFonts w:ascii="Times New Roman" w:hAnsi="Times New Roman" w:cs="Times New Roman"/>
        </w:rPr>
        <w:t>2030</w:t>
      </w:r>
      <w:r>
        <w:rPr>
          <w:rFonts w:hint="eastAsia" w:ascii="Times New Roman" w:hAnsi="Times New Roman" w:cs="Times New Roman"/>
        </w:rPr>
        <w:t>年，全省煤电综合调节能力达到</w:t>
      </w:r>
      <w:r>
        <w:rPr>
          <w:rFonts w:ascii="Times New Roman" w:hAnsi="Times New Roman" w:cs="Times New Roman"/>
        </w:rPr>
        <w:t>70%</w:t>
      </w:r>
      <w:r>
        <w:rPr>
          <w:rFonts w:hint="eastAsia" w:ascii="Times New Roman" w:hAnsi="Times New Roman" w:cs="Times New Roman"/>
        </w:rPr>
        <w:t>以上</w:t>
      </w:r>
      <w:r>
        <w:rPr>
          <w:rFonts w:hint="eastAsia" w:ascii="Times New Roman" w:hAnsi="Times New Roman"/>
        </w:rPr>
        <w:t>。</w:t>
      </w:r>
    </w:p>
    <w:p w14:paraId="64C4D61F">
      <w:pPr>
        <w:pStyle w:val="11"/>
        <w:overflowPunct w:val="0"/>
        <w:adjustRightInd w:val="0"/>
        <w:snapToGrid w:val="0"/>
        <w:spacing w:after="0" w:line="560" w:lineRule="exact"/>
        <w:textAlignment w:val="baseline"/>
        <w:rPr>
          <w:rFonts w:ascii="Times New Roman" w:hAnsi="Times New Roman" w:cs="Times New Roman"/>
        </w:rPr>
      </w:pPr>
      <w:r>
        <w:rPr>
          <w:rFonts w:ascii="Times New Roman" w:hAnsi="Times New Roman" w:cs="Times New Roman"/>
          <w:b/>
          <w:bCs/>
        </w:rPr>
        <w:t>2.</w:t>
      </w:r>
      <w:r>
        <w:rPr>
          <w:rFonts w:hint="eastAsia" w:ascii="Times New Roman" w:hAnsi="Times New Roman" w:cs="Times New Roman"/>
          <w:b/>
          <w:bCs/>
        </w:rPr>
        <w:t>科学有序推进抽水蓄能电站建设。</w:t>
      </w:r>
      <w:r>
        <w:rPr>
          <w:rFonts w:hint="eastAsia" w:ascii="Times New Roman" w:hAnsi="Times New Roman" w:cs="Times New Roman"/>
        </w:rPr>
        <w:t>加快</w:t>
      </w:r>
      <w:r>
        <w:rPr>
          <w:rFonts w:hint="eastAsia" w:ascii="Times New Roman" w:hAnsi="Times New Roman" w:cs="Times New Roman"/>
          <w:snapToGrid w:val="0"/>
          <w:color w:val="000000" w:themeColor="text1"/>
          <w:szCs w:val="32"/>
          <w:lang w:bidi="zh-CN"/>
          <w14:textFill>
            <w14:solidFill>
              <w14:schemeClr w14:val="tx1"/>
            </w14:solidFill>
          </w14:textFill>
        </w:rPr>
        <w:t>安化、汨罗、炎陵、桃源、攸县、江华、辰溪、双牌等抽水蓄能项目建设，</w:t>
      </w:r>
      <w:r>
        <w:rPr>
          <w:rFonts w:hint="eastAsia" w:ascii="Times New Roman" w:hAnsi="Times New Roman" w:cs="Times New Roman"/>
        </w:rPr>
        <w:t>到</w:t>
      </w:r>
      <w:r>
        <w:rPr>
          <w:rFonts w:ascii="Times New Roman" w:hAnsi="Times New Roman" w:cs="Times New Roman"/>
        </w:rPr>
        <w:t>2030</w:t>
      </w:r>
      <w:r>
        <w:rPr>
          <w:rFonts w:hint="eastAsia" w:ascii="Times New Roman" w:hAnsi="Times New Roman" w:cs="Times New Roman"/>
        </w:rPr>
        <w:t>年，全省抽水蓄能装机达到</w:t>
      </w:r>
      <w:r>
        <w:rPr>
          <w:rFonts w:ascii="Times New Roman" w:hAnsi="Times New Roman" w:cs="Times New Roman"/>
        </w:rPr>
        <w:t>800</w:t>
      </w:r>
      <w:r>
        <w:rPr>
          <w:rFonts w:hint="eastAsia" w:ascii="Times New Roman" w:hAnsi="Times New Roman" w:cs="Times New Roman"/>
        </w:rPr>
        <w:t>万千瓦。统筹抽水蓄能电站与电网协调发展，优化调度运行方式，探索抽水蓄能电站调相运行技术，最大限度发挥其在电网调峰、调频、调相、事故备用和黑启动等方面的综合效益。</w:t>
      </w:r>
    </w:p>
    <w:p w14:paraId="5A75DC3D">
      <w:pPr>
        <w:pStyle w:val="11"/>
        <w:adjustRightInd w:val="0"/>
        <w:snapToGrid w:val="0"/>
        <w:spacing w:after="0"/>
        <w:rPr>
          <w:rFonts w:ascii="Times New Roman" w:hAnsi="Times New Roman"/>
          <w:szCs w:val="36"/>
        </w:rPr>
      </w:pPr>
      <w:r>
        <w:rPr>
          <w:rFonts w:ascii="Times New Roman" w:hAnsi="Times New Roman" w:cs="Times New Roman"/>
          <w:b/>
          <w:bCs/>
          <w:szCs w:val="32"/>
        </w:rPr>
        <w:t>3.</w:t>
      </w:r>
      <w:r>
        <w:rPr>
          <w:rFonts w:hint="eastAsia" w:ascii="Times New Roman" w:hAnsi="Times New Roman" w:cs="Times New Roman"/>
          <w:b/>
          <w:bCs/>
          <w:szCs w:val="32"/>
        </w:rPr>
        <w:t>加快新型储能多元化发展。</w:t>
      </w:r>
      <w:r>
        <w:rPr>
          <w:rFonts w:hint="eastAsia" w:ascii="Times New Roman" w:hAnsi="Times New Roman" w:cs="Times New Roman"/>
        </w:rPr>
        <w:t>推动电化学、</w:t>
      </w:r>
      <w:r>
        <w:rPr>
          <w:rFonts w:hint="eastAsia" w:ascii="Times New Roman" w:hAnsi="Times New Roman" w:cs="Times New Roman"/>
          <w:lang w:val="en-US" w:eastAsia="zh-CN"/>
        </w:rPr>
        <w:t>飞轮、</w:t>
      </w:r>
      <w:r>
        <w:rPr>
          <w:rFonts w:hint="eastAsia" w:ascii="Times New Roman" w:hAnsi="Times New Roman" w:cs="Times New Roman"/>
        </w:rPr>
        <w:t>压缩空气、氢（氨）、热（冷）等储能在电源侧、电网侧和用户侧多场景应用。支持负荷中心、工业园区建设储能替代输变电改造，鼓励共享储能等商业模式创新。探索储能在调峰、调频、系统支撑等多场景应用。鼓励工商业用户自建储能，降低用能成本。支持通信、金融、互联网等对供电可靠性、电能质量要求高的电力用户配置新型储能，提升用户电力自平衡能力。“十五五”期间源储调节能力增长</w:t>
      </w:r>
      <w:r>
        <w:rPr>
          <w:rFonts w:ascii="Times New Roman" w:hAnsi="Times New Roman" w:cs="Times New Roman"/>
        </w:rPr>
        <w:t>40%</w:t>
      </w:r>
      <w:r>
        <w:rPr>
          <w:rFonts w:hint="eastAsia" w:ascii="Times New Roman" w:hAnsi="Times New Roman" w:cs="Times New Roman"/>
        </w:rPr>
        <w:t>以上。</w:t>
      </w:r>
    </w:p>
    <w:p w14:paraId="7883A5FD">
      <w:pPr>
        <w:pStyle w:val="4"/>
        <w:adjustRightInd w:val="0"/>
        <w:snapToGrid w:val="0"/>
        <w:spacing w:line="560" w:lineRule="exact"/>
        <w:ind w:firstLine="640"/>
        <w:rPr>
          <w:rFonts w:ascii="Times New Roman" w:hAnsi="Times New Roman" w:cs="Times New Roman"/>
        </w:rPr>
      </w:pPr>
      <w:bookmarkStart w:id="67" w:name="_Toc207728205"/>
      <w:bookmarkStart w:id="68" w:name="_Toc25647"/>
      <w:r>
        <w:rPr>
          <w:rFonts w:hint="eastAsia" w:ascii="Times New Roman" w:hAnsi="Times New Roman" w:cs="Times New Roman"/>
        </w:rPr>
        <w:t>六、</w:t>
      </w:r>
      <w:bookmarkEnd w:id="67"/>
      <w:r>
        <w:rPr>
          <w:rFonts w:hint="eastAsia" w:ascii="Times New Roman" w:hAnsi="Times New Roman" w:eastAsia="SimHei" w:cs="Times New Roman"/>
          <w:i w:val="0"/>
          <w:iCs w:val="0"/>
          <w:caps w:val="0"/>
          <w:spacing w:val="0"/>
          <w:sz w:val="32"/>
          <w:szCs w:val="24"/>
          <w:shd w:val="clear" w:fill="auto"/>
        </w:rPr>
        <w:t>强化创新引领与改革深化</w:t>
      </w:r>
      <w:bookmarkEnd w:id="68"/>
    </w:p>
    <w:p w14:paraId="392FC153">
      <w:pPr>
        <w:overflowPunct w:val="0"/>
        <w:adjustRightInd w:val="0"/>
        <w:snapToGrid w:val="0"/>
        <w:spacing w:line="560" w:lineRule="exact"/>
        <w:textAlignment w:val="baseline"/>
        <w:rPr>
          <w:rFonts w:ascii="Times New Roman" w:hAnsi="Times New Roman" w:cs="Times New Roman"/>
          <w:szCs w:val="32"/>
        </w:rPr>
      </w:pPr>
      <w:r>
        <w:rPr>
          <w:rFonts w:ascii="Times New Roman" w:hAnsi="Times New Roman" w:cs="Times New Roman"/>
          <w:b/>
          <w:bCs/>
        </w:rPr>
        <w:t>1.</w:t>
      </w:r>
      <w:r>
        <w:rPr>
          <w:rFonts w:hint="eastAsia" w:ascii="Times New Roman" w:hAnsi="Times New Roman" w:cs="Times New Roman"/>
          <w:b/>
          <w:bCs/>
        </w:rPr>
        <w:t>推动新型电力系统研发平台建设。</w:t>
      </w:r>
      <w:r>
        <w:rPr>
          <w:rFonts w:hint="eastAsia" w:ascii="Times New Roman" w:hAnsi="Times New Roman" w:cs="Times New Roman"/>
          <w:szCs w:val="32"/>
        </w:rPr>
        <w:t>高质量构建全国重点实验室、国家能源研发创新平台，全面融入国家实验室体系。积极创建怀柔实验室湖南基地，推进湖南能源装备研究院建设，联合开展关键技术研究、产品试制及工程示范。建立多部门协同创新机制，推行“揭榜挂帅”模式，针对高比例外来电安全运行、清洁能源消纳、源荷双侧协同、电网地质灾害等典型场景，吸引省内外高校、企业联合攻关。结合“芙蓉计划”，深化产教融合，培育电力人才。加强技术成果转化，完善技术要素市场，推动重大技术装备示范应用。探索“人工智能</w:t>
      </w:r>
      <w:r>
        <w:rPr>
          <w:rFonts w:ascii="Times New Roman" w:hAnsi="Times New Roman" w:cs="Times New Roman"/>
          <w:szCs w:val="32"/>
        </w:rPr>
        <w:t>+</w:t>
      </w:r>
      <w:r>
        <w:rPr>
          <w:rFonts w:hint="eastAsia" w:ascii="Times New Roman" w:hAnsi="Times New Roman" w:cs="Times New Roman"/>
          <w:szCs w:val="32"/>
        </w:rPr>
        <w:t>电力”创新模式，提升电力系统智能化水平。</w:t>
      </w:r>
    </w:p>
    <w:p w14:paraId="5BD9A10D">
      <w:pPr>
        <w:pStyle w:val="11"/>
        <w:overflowPunct w:val="0"/>
        <w:adjustRightInd w:val="0"/>
        <w:snapToGrid w:val="0"/>
        <w:spacing w:line="560" w:lineRule="exact"/>
        <w:textAlignment w:val="baseline"/>
        <w:rPr>
          <w:rFonts w:ascii="Times New Roman" w:hAnsi="Times New Roman" w:cs="Times New Roman"/>
          <w:szCs w:val="32"/>
        </w:rPr>
      </w:pPr>
      <w:r>
        <w:rPr>
          <w:rFonts w:ascii="Times New Roman" w:hAnsi="Times New Roman" w:cs="Times New Roman"/>
          <w:b/>
          <w:bCs/>
        </w:rPr>
        <w:t>2.</w:t>
      </w:r>
      <w:r>
        <w:rPr>
          <w:rFonts w:hint="eastAsia" w:ascii="Times New Roman" w:hAnsi="Times New Roman" w:cs="Times New Roman"/>
          <w:b/>
          <w:bCs/>
        </w:rPr>
        <w:t>强化核心技术装备攻关。</w:t>
      </w:r>
      <w:r>
        <w:rPr>
          <w:rFonts w:hint="eastAsia" w:ascii="Times New Roman" w:hAnsi="Times New Roman" w:cs="Times New Roman"/>
          <w:spacing w:val="-2"/>
          <w:szCs w:val="32"/>
        </w:rPr>
        <w:t>推进新型电力系统技术全链条发展，强化电源侧、输配电侧、负荷侧、储能侧协同创新。电源侧巩固风电产业集群优势，提升省内装备企业市场份额，完善光伏电池装备及逆变器研发制造，夯实细分领域地位。输配电侧依托重点企业研发优势，加强特高压及智能化输变电</w:t>
      </w:r>
      <w:r>
        <w:rPr>
          <w:rFonts w:hint="eastAsia" w:ascii="Times New Roman" w:hAnsi="Times New Roman" w:cs="Times New Roman"/>
          <w:spacing w:val="-2"/>
        </w:rPr>
        <w:t>设备</w:t>
      </w:r>
      <w:r>
        <w:rPr>
          <w:rFonts w:hint="eastAsia" w:ascii="Times New Roman" w:hAnsi="Times New Roman" w:cs="Times New Roman"/>
          <w:spacing w:val="-2"/>
          <w:szCs w:val="32"/>
        </w:rPr>
        <w:t>攻关，突破柔性输电技术，支持北斗技术在输电巡检、微电网、新能源出力预测等场景融合示范。负荷侧聚焦电气化交通装备及智能充电系统研发，包括城市智能轨道交通、长续航电动汽车、大功率充电装置。储能侧打造“一核多点”储能产业集群，构建电池核心产业</w:t>
      </w:r>
      <w:r>
        <w:rPr>
          <w:rFonts w:ascii="Times New Roman" w:hAnsi="Times New Roman" w:cs="Times New Roman"/>
          <w:spacing w:val="-2"/>
          <w:szCs w:val="32"/>
        </w:rPr>
        <w:t>-</w:t>
      </w:r>
      <w:r>
        <w:rPr>
          <w:rFonts w:hint="eastAsia" w:ascii="Times New Roman" w:hAnsi="Times New Roman" w:cs="Times New Roman"/>
          <w:spacing w:val="-2"/>
          <w:szCs w:val="32"/>
        </w:rPr>
        <w:t>装备</w:t>
      </w:r>
      <w:r>
        <w:rPr>
          <w:rFonts w:ascii="Times New Roman" w:hAnsi="Times New Roman" w:cs="Times New Roman"/>
          <w:spacing w:val="-2"/>
          <w:szCs w:val="32"/>
        </w:rPr>
        <w:t>-</w:t>
      </w:r>
      <w:r>
        <w:rPr>
          <w:rFonts w:hint="eastAsia" w:ascii="Times New Roman" w:hAnsi="Times New Roman" w:cs="Times New Roman"/>
          <w:spacing w:val="-2"/>
          <w:szCs w:val="32"/>
        </w:rPr>
        <w:t>应用</w:t>
      </w:r>
      <w:r>
        <w:rPr>
          <w:rFonts w:ascii="Times New Roman" w:hAnsi="Times New Roman" w:cs="Times New Roman"/>
          <w:spacing w:val="-2"/>
          <w:szCs w:val="32"/>
        </w:rPr>
        <w:t>-</w:t>
      </w:r>
      <w:r>
        <w:rPr>
          <w:rFonts w:hint="eastAsia" w:ascii="Times New Roman" w:hAnsi="Times New Roman" w:cs="Times New Roman"/>
          <w:spacing w:val="-2"/>
          <w:szCs w:val="32"/>
        </w:rPr>
        <w:t>回收全产业链。氢能领域重点攻关燃料电池、制储运氢技术，发展“三电”系统核心部件及整车制造，推动氢能工程机械多场景示范应用，形成特色产业优势。</w:t>
      </w:r>
    </w:p>
    <w:p w14:paraId="72BDC4AA">
      <w:pPr>
        <w:pStyle w:val="11"/>
        <w:overflowPunct w:val="0"/>
        <w:adjustRightInd w:val="0"/>
        <w:snapToGrid w:val="0"/>
        <w:spacing w:line="560" w:lineRule="exact"/>
        <w:textAlignment w:val="baseline"/>
        <w:rPr>
          <w:rFonts w:ascii="Times New Roman" w:hAnsi="Times New Roman" w:cs="Times New Roman"/>
        </w:rPr>
      </w:pPr>
      <w:r>
        <w:rPr>
          <w:rFonts w:ascii="Times New Roman" w:hAnsi="Times New Roman" w:cs="Times New Roman"/>
          <w:b/>
          <w:bCs/>
        </w:rPr>
        <w:t>3.</w:t>
      </w:r>
      <w:r>
        <w:rPr>
          <w:rFonts w:hint="eastAsia" w:ascii="Times New Roman" w:hAnsi="Times New Roman" w:cs="Times New Roman"/>
          <w:b/>
          <w:bCs/>
        </w:rPr>
        <w:t>加快推进电力市场体系建设。</w:t>
      </w:r>
      <w:r>
        <w:rPr>
          <w:rFonts w:hint="eastAsia" w:ascii="Times New Roman" w:hAnsi="Times New Roman" w:cs="Times New Roman"/>
          <w:szCs w:val="36"/>
        </w:rPr>
        <w:t>积极融入全国统一电力市场，加强省内市场与区域、全国市场的协同运行，抓好“市场功能、经营主体、保障机制”三类要素。统筹计划与市场衔接，推动代理购电用户直接参与市场化交易，构建体系完善的湖南电力市场。理顺地方电网输配电价机制，因地制宜推动地方电网融入全省统一电力市场。做好省间中长期和现货交易衔接，丰富调频、备用等辅助服务品种，探索建立容量市场交易机制。加强分布式光伏、分散式风电、虚拟电厂及智能微电网等灵活资源规范化管理，积极引导聚合商参与市场交易。完善绿电绿证交易机制，推动电力市场与碳市场协同发展，引导企业利用绿色电力制造产品和服务，鼓励用户购买绿色电力产品。完善电力市场运行保障机制体系，加强市场监管，健全特殊情况应急管理机制。</w:t>
      </w:r>
    </w:p>
    <w:p w14:paraId="36BD181A">
      <w:pPr>
        <w:overflowPunct w:val="0"/>
        <w:adjustRightInd w:val="0"/>
        <w:snapToGrid w:val="0"/>
        <w:spacing w:line="560" w:lineRule="exact"/>
        <w:rPr>
          <w:rFonts w:ascii="Times New Roman" w:hAnsi="Times New Roman" w:cs="Times New Roman"/>
        </w:rPr>
      </w:pPr>
      <w:r>
        <w:rPr>
          <w:rFonts w:ascii="Times New Roman" w:hAnsi="Times New Roman" w:cs="Times New Roman"/>
          <w:b/>
          <w:bCs/>
        </w:rPr>
        <w:t>4.</w:t>
      </w:r>
      <w:r>
        <w:rPr>
          <w:rFonts w:hint="eastAsia" w:ascii="Times New Roman" w:hAnsi="Times New Roman" w:cs="Times New Roman"/>
          <w:b/>
          <w:bCs/>
        </w:rPr>
        <w:t>健全适应新型电力系统的价格机制。</w:t>
      </w:r>
      <w:r>
        <w:rPr>
          <w:rFonts w:hint="eastAsia" w:ascii="Times New Roman" w:hAnsi="Times New Roman" w:cs="Times New Roman"/>
        </w:rPr>
        <w:t>持续深化</w:t>
      </w:r>
      <w:r>
        <w:rPr>
          <w:rFonts w:hint="eastAsia" w:ascii="Times New Roman" w:hAnsi="Times New Roman" w:cs="Times New Roman"/>
          <w:szCs w:val="36"/>
        </w:rPr>
        <w:t>煤电、</w:t>
      </w:r>
      <w:r>
        <w:rPr>
          <w:rFonts w:hint="eastAsia" w:ascii="Times New Roman" w:hAnsi="Times New Roman"/>
          <w:szCs w:val="36"/>
        </w:rPr>
        <w:t>新能源上网电价市场化改革，完善</w:t>
      </w:r>
      <w:r>
        <w:rPr>
          <w:rFonts w:hint="eastAsia" w:ascii="Times New Roman" w:hAnsi="Times New Roman" w:cs="Times New Roman"/>
          <w:snapToGrid w:val="0"/>
          <w:color w:val="000000" w:themeColor="text1"/>
          <w:szCs w:val="32"/>
          <w:lang w:bidi="zh-CN"/>
          <w14:textFill>
            <w14:solidFill>
              <w14:schemeClr w14:val="tx1"/>
            </w14:solidFill>
          </w14:textFill>
        </w:rPr>
        <w:t>新能源可持续发展价格结算机制</w:t>
      </w:r>
      <w:r>
        <w:rPr>
          <w:rFonts w:hint="eastAsia" w:ascii="Times New Roman" w:hAnsi="Times New Roman"/>
          <w:szCs w:val="36"/>
        </w:rPr>
        <w:t>电价政策，</w:t>
      </w:r>
      <w:r>
        <w:rPr>
          <w:rFonts w:hint="eastAsia" w:ascii="Times New Roman" w:hAnsi="Times New Roman" w:cs="Times New Roman"/>
        </w:rPr>
        <w:t>完善气电两部制电价、抽水蓄能和新型储能价格形成机制</w:t>
      </w:r>
      <w:r>
        <w:rPr>
          <w:rFonts w:hint="eastAsia" w:ascii="Times New Roman" w:hAnsi="Times New Roman" w:cs="Times New Roman"/>
          <w:szCs w:val="36"/>
        </w:rPr>
        <w:t>。</w:t>
      </w:r>
      <w:r>
        <w:rPr>
          <w:rFonts w:hint="eastAsia" w:ascii="Times New Roman" w:hAnsi="Times New Roman" w:cs="Times New Roman"/>
        </w:rPr>
        <w:t>健全差别化电价制度，强化对高耗能、高排放企业的电价约束，促进能效提升和绿色转型，</w:t>
      </w:r>
      <w:r>
        <w:rPr>
          <w:rFonts w:hint="eastAsia" w:ascii="Times New Roman" w:hAnsi="Times New Roman" w:cs="Times New Roman"/>
          <w:szCs w:val="36"/>
        </w:rPr>
        <w:t>有效降低用能成本和碳排放成本</w:t>
      </w:r>
      <w:r>
        <w:rPr>
          <w:rFonts w:hint="eastAsia" w:ascii="Times New Roman" w:hAnsi="Times New Roman" w:cs="Times New Roman"/>
        </w:rPr>
        <w:t>。完善用电侧分时电价机制，有效引导错峰用电，实现</w:t>
      </w:r>
      <w:r>
        <w:rPr>
          <w:rFonts w:hint="eastAsia" w:ascii="Times New Roman" w:hAnsi="Times New Roman" w:cs="Times New Roman"/>
          <w:szCs w:val="32"/>
        </w:rPr>
        <w:t>用电负荷削峰填谷。</w:t>
      </w:r>
      <w:r>
        <w:rPr>
          <w:rFonts w:hint="eastAsia" w:ascii="Times New Roman" w:hAnsi="Times New Roman" w:cs="Times New Roman"/>
        </w:rPr>
        <w:t>强化价格政策与市场机制协同，形成支撑新型电力系统安全、经济、绿色转型的完整价格体系</w:t>
      </w:r>
      <w:r>
        <w:rPr>
          <w:rFonts w:hint="eastAsia" w:ascii="Times New Roman" w:hAnsi="Times New Roman" w:cs="Times New Roman"/>
          <w:szCs w:val="36"/>
        </w:rPr>
        <w:t>。</w:t>
      </w:r>
      <w:bookmarkStart w:id="69" w:name="_Toc12287"/>
      <w:bookmarkStart w:id="70" w:name="OLE_LINK20"/>
      <w:r>
        <w:rPr>
          <w:rFonts w:ascii="Times New Roman" w:hAnsi="Times New Roman" w:cs="Times New Roman"/>
        </w:rPr>
        <w:br w:type="page"/>
      </w:r>
    </w:p>
    <w:bookmarkEnd w:id="69"/>
    <w:bookmarkEnd w:id="70"/>
    <w:p w14:paraId="4EDAA1DA">
      <w:pPr>
        <w:pStyle w:val="3"/>
        <w:ind w:firstLine="0" w:firstLineChars="0"/>
        <w:jc w:val="center"/>
        <w:rPr>
          <w:rFonts w:ascii="Times New Roman" w:hAnsi="Times New Roman" w:eastAsia="SimHei" w:cs="Times New Roman"/>
          <w:szCs w:val="32"/>
        </w:rPr>
      </w:pPr>
      <w:bookmarkStart w:id="71" w:name="_Toc23980"/>
      <w:bookmarkStart w:id="72" w:name="_Toc9302"/>
    </w:p>
    <w:p w14:paraId="73D60E2E">
      <w:pPr>
        <w:pStyle w:val="3"/>
        <w:ind w:firstLine="0" w:firstLineChars="0"/>
        <w:jc w:val="center"/>
        <w:rPr>
          <w:rFonts w:ascii="Times New Roman" w:hAnsi="Times New Roman" w:eastAsia="SimHei" w:cs="Times New Roman"/>
          <w:szCs w:val="32"/>
        </w:rPr>
      </w:pPr>
      <w:r>
        <w:fldChar w:fldCharType="begin"/>
      </w:r>
      <w:r>
        <w:instrText xml:space="preserve"> HYPERLINK \l "_Toc433901788" </w:instrText>
      </w:r>
      <w:r>
        <w:fldChar w:fldCharType="separate"/>
      </w:r>
      <w:bookmarkStart w:id="73" w:name="_Toc207728207"/>
      <w:r>
        <w:rPr>
          <w:rFonts w:hint="eastAsia" w:ascii="Times New Roman" w:hAnsi="Times New Roman" w:eastAsia="SimHei" w:cs="Times New Roman"/>
          <w:szCs w:val="32"/>
        </w:rPr>
        <w:t>第三章</w:t>
      </w:r>
      <w:r>
        <w:rPr>
          <w:rFonts w:ascii="Times New Roman" w:hAnsi="Times New Roman" w:eastAsia="SimHei" w:cs="Times New Roman"/>
          <w:szCs w:val="32"/>
        </w:rPr>
        <w:t xml:space="preserve">  </w:t>
      </w:r>
      <w:r>
        <w:rPr>
          <w:rFonts w:hint="eastAsia" w:ascii="Times New Roman" w:hAnsi="Times New Roman"/>
        </w:rPr>
        <w:t>组织实施</w:t>
      </w:r>
      <w:bookmarkEnd w:id="73"/>
      <w:r>
        <w:rPr>
          <w:rFonts w:hint="eastAsia" w:ascii="Times New Roman" w:hAnsi="Times New Roman"/>
        </w:rPr>
        <w:fldChar w:fldCharType="end"/>
      </w:r>
      <w:bookmarkEnd w:id="71"/>
      <w:bookmarkEnd w:id="72"/>
    </w:p>
    <w:p w14:paraId="761E9E10">
      <w:pPr>
        <w:ind w:firstLine="0" w:firstLineChars="0"/>
        <w:jc w:val="center"/>
        <w:rPr>
          <w:rFonts w:ascii="Times New Roman" w:hAnsi="Times New Roman" w:cs="Times New Roman"/>
        </w:rPr>
      </w:pPr>
    </w:p>
    <w:p w14:paraId="7857BA3F">
      <w:pPr>
        <w:pStyle w:val="11"/>
        <w:overflowPunct w:val="0"/>
        <w:autoSpaceDE w:val="0"/>
        <w:autoSpaceDN w:val="0"/>
        <w:adjustRightInd w:val="0"/>
        <w:snapToGrid w:val="0"/>
        <w:spacing w:after="0" w:line="560" w:lineRule="exact"/>
        <w:ind w:firstLine="640"/>
        <w:textAlignment w:val="baseline"/>
        <w:rPr>
          <w:rFonts w:ascii="Times New Roman" w:hAnsi="Times New Roman" w:cs="Times New Roman"/>
          <w:szCs w:val="32"/>
        </w:rPr>
      </w:pPr>
      <w:bookmarkStart w:id="74" w:name="_Toc26063"/>
      <w:bookmarkStart w:id="75" w:name="_Toc8970"/>
      <w:r>
        <w:rPr>
          <w:rFonts w:hint="eastAsia" w:ascii="Times New Roman" w:hAnsi="Times New Roman" w:cs="Times New Roman"/>
          <w:szCs w:val="32"/>
        </w:rPr>
        <w:t>建立分级规划管理体系，加强与国家相关规划衔接协调，推动本规划与国民经济、国土空间及新型能源体系规划有效协同，衔接生态环境分区管控要求。建立健全主管部门牵头、各部门分工配合、各级政府和企业细化落实的工作机制；加大政策支持，落实财政、税收、土地等扶持政策，完善可再生能源政策体系，深化电力体制改革，完善电力市场体系，构建科学电价形成机制。加强人才引育与产教融合，集聚战略科学家、科技领军人才和卓越工程师，结合“芙蓉计划”完善青年创新人才选拔培养机制。做好评估调整，建立年度审查、中期评估和动态修编机制，完善评估考核体系，依据评估结果动态优化规划项目，确需重大调整的按法定程序修订并向社会公开。完善监督考核，构建覆盖电力全环节的统计指标体系和动态监测评估制度，强化电网公平开放监管，保障各类电源项目平等接入权益。</w:t>
      </w:r>
    </w:p>
    <w:bookmarkEnd w:id="74"/>
    <w:bookmarkEnd w:id="75"/>
    <w:p w14:paraId="45F0642F">
      <w:pPr>
        <w:ind w:firstLine="640"/>
        <w:rPr>
          <w:rFonts w:ascii="Times New Roman" w:hAnsi="Times New Roman" w:cs="Times New Roman"/>
          <w:szCs w:val="32"/>
        </w:rPr>
      </w:pPr>
      <w:r>
        <w:rPr>
          <w:rFonts w:ascii="Times New Roman" w:hAnsi="Times New Roman" w:cs="Times New Roman"/>
          <w:szCs w:val="32"/>
        </w:rPr>
        <w:br w:type="page"/>
      </w:r>
    </w:p>
    <w:p w14:paraId="2E45C5AE">
      <w:pPr>
        <w:pStyle w:val="35"/>
        <w:rPr>
          <w:rFonts w:ascii="Times New Roman" w:hAnsi="Times New Roman"/>
        </w:rPr>
        <w:sectPr>
          <w:headerReference r:id="rId9" w:type="default"/>
          <w:footerReference r:id="rId10" w:type="default"/>
          <w:footerReference r:id="rId11" w:type="even"/>
          <w:pgSz w:w="11906" w:h="16838"/>
          <w:pgMar w:top="1871" w:right="1531" w:bottom="1531" w:left="1588" w:header="851" w:footer="1304" w:gutter="0"/>
          <w:cols w:space="425" w:num="1"/>
          <w:docGrid w:type="lines" w:linePitch="312" w:charSpace="0"/>
        </w:sectPr>
      </w:pPr>
    </w:p>
    <w:p w14:paraId="069F66EC">
      <w:pPr>
        <w:ind w:firstLine="0" w:firstLineChars="0"/>
        <w:rPr>
          <w:rFonts w:ascii="SimHei" w:hAnsi="SimHei" w:eastAsia="SimHei" w:cs="Times New Roman"/>
          <w:szCs w:val="32"/>
        </w:rPr>
      </w:pPr>
      <w:bookmarkStart w:id="76" w:name="OLE_LINK1"/>
      <w:bookmarkStart w:id="77" w:name="OLE_LINK3"/>
      <w:r>
        <w:rPr>
          <w:rFonts w:hint="eastAsia" w:ascii="SimHei" w:hAnsi="SimHei" w:eastAsia="SimHei" w:cs="Times New Roman"/>
          <w:szCs w:val="32"/>
        </w:rPr>
        <w:t>附表</w:t>
      </w:r>
    </w:p>
    <w:bookmarkEnd w:id="76"/>
    <w:p w14:paraId="2C425486">
      <w:pPr>
        <w:pStyle w:val="3"/>
        <w:ind w:firstLine="0" w:firstLineChars="0"/>
        <w:jc w:val="center"/>
        <w:rPr>
          <w:rFonts w:ascii="FZXiaoBiaoSong-B05" w:hAnsi="Times New Roman" w:eastAsia="FZXiaoBiaoSong-B05" w:cs="Times New Roman"/>
          <w:sz w:val="36"/>
          <w:szCs w:val="36"/>
        </w:rPr>
      </w:pPr>
      <w:bookmarkStart w:id="78" w:name="_Toc207728214"/>
      <w:bookmarkStart w:id="79" w:name="_Toc23547"/>
      <w:bookmarkStart w:id="80" w:name="_Toc30600"/>
      <w:r>
        <w:rPr>
          <w:rFonts w:hint="eastAsia" w:ascii="FZXiaoBiaoSong-B05" w:hAnsi="Times New Roman" w:eastAsia="FZXiaoBiaoSong-B05" w:cs="Times New Roman"/>
          <w:sz w:val="36"/>
          <w:szCs w:val="36"/>
        </w:rPr>
        <w:t>湖南省“十五五”电力发展规划重大项目表</w:t>
      </w:r>
      <w:bookmarkEnd w:id="78"/>
      <w:bookmarkEnd w:id="79"/>
      <w:bookmarkEnd w:id="80"/>
    </w:p>
    <w:tbl>
      <w:tblPr>
        <w:tblStyle w:val="25"/>
        <w:tblW w:w="147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8"/>
        <w:gridCol w:w="2231"/>
        <w:gridCol w:w="2196"/>
        <w:gridCol w:w="8688"/>
      </w:tblGrid>
      <w:tr w14:paraId="3380D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6" w:hRule="atLeast"/>
          <w:tblHeader/>
          <w:jc w:val="center"/>
        </w:trPr>
        <w:tc>
          <w:tcPr>
            <w:tcW w:w="6055" w:type="dxa"/>
            <w:gridSpan w:val="3"/>
            <w:shd w:val="clear" w:color="auto" w:fill="auto"/>
            <w:noWrap/>
            <w:vAlign w:val="center"/>
          </w:tcPr>
          <w:p w14:paraId="1859D3BE">
            <w:pPr>
              <w:widowControl/>
              <w:adjustRightInd w:val="0"/>
              <w:snapToGrid w:val="0"/>
              <w:spacing w:line="240" w:lineRule="auto"/>
              <w:ind w:firstLine="0" w:firstLineChars="0"/>
              <w:jc w:val="center"/>
              <w:textAlignment w:val="center"/>
              <w:rPr>
                <w:rFonts w:ascii="Times New Roman" w:hAnsi="Times New Roman" w:eastAsia="SimHei" w:cs="SimHei"/>
                <w:bCs/>
                <w:color w:val="000000"/>
                <w:kern w:val="0"/>
                <w:sz w:val="22"/>
                <w:szCs w:val="22"/>
                <w:lang w:bidi="ar"/>
              </w:rPr>
            </w:pPr>
            <w:r>
              <w:rPr>
                <w:rFonts w:hint="eastAsia" w:ascii="Times New Roman" w:hAnsi="Times New Roman" w:eastAsia="SimHei" w:cs="SimHei"/>
                <w:bCs/>
                <w:color w:val="000000"/>
                <w:kern w:val="0"/>
                <w:sz w:val="22"/>
                <w:szCs w:val="22"/>
                <w:lang w:bidi="ar"/>
              </w:rPr>
              <w:t>类型</w:t>
            </w:r>
          </w:p>
        </w:tc>
        <w:tc>
          <w:tcPr>
            <w:tcW w:w="8688" w:type="dxa"/>
            <w:shd w:val="clear" w:color="auto" w:fill="auto"/>
            <w:noWrap/>
            <w:vAlign w:val="center"/>
          </w:tcPr>
          <w:p w14:paraId="1B3AAF3F">
            <w:pPr>
              <w:widowControl/>
              <w:adjustRightInd w:val="0"/>
              <w:snapToGrid w:val="0"/>
              <w:spacing w:line="240" w:lineRule="auto"/>
              <w:ind w:firstLine="0" w:firstLineChars="0"/>
              <w:jc w:val="center"/>
              <w:textAlignment w:val="center"/>
              <w:rPr>
                <w:rFonts w:ascii="Times New Roman" w:hAnsi="Times New Roman" w:eastAsia="SimHei" w:cs="SimHei"/>
                <w:bCs/>
                <w:color w:val="000000"/>
                <w:kern w:val="0"/>
                <w:sz w:val="22"/>
                <w:szCs w:val="22"/>
                <w:lang w:bidi="ar"/>
              </w:rPr>
            </w:pPr>
            <w:r>
              <w:rPr>
                <w:rFonts w:hint="eastAsia" w:ascii="Times New Roman" w:hAnsi="Times New Roman" w:eastAsia="SimHei" w:cs="SimHei"/>
                <w:bCs/>
                <w:color w:val="000000"/>
                <w:kern w:val="0"/>
                <w:sz w:val="22"/>
                <w:szCs w:val="22"/>
                <w:lang w:bidi="ar"/>
              </w:rPr>
              <w:t>工程项目</w:t>
            </w:r>
          </w:p>
        </w:tc>
      </w:tr>
      <w:tr w14:paraId="10FB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atLeast"/>
          <w:jc w:val="center"/>
        </w:trPr>
        <w:tc>
          <w:tcPr>
            <w:tcW w:w="1628" w:type="dxa"/>
            <w:vMerge w:val="restart"/>
            <w:shd w:val="clear" w:color="auto" w:fill="auto"/>
            <w:noWrap/>
            <w:vAlign w:val="center"/>
          </w:tcPr>
          <w:p w14:paraId="12863E5B">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电源（</w:t>
            </w:r>
            <w:r>
              <w:rPr>
                <w:rFonts w:ascii="Times New Roman" w:hAnsi="Times New Roman" w:eastAsia="宋体" w:cs="宋体"/>
                <w:color w:val="000000"/>
                <w:kern w:val="0"/>
                <w:sz w:val="22"/>
                <w:szCs w:val="22"/>
                <w:lang w:bidi="ar"/>
              </w:rPr>
              <w:t>23项）</w:t>
            </w:r>
          </w:p>
        </w:tc>
        <w:tc>
          <w:tcPr>
            <w:tcW w:w="2231" w:type="dxa"/>
            <w:vMerge w:val="restart"/>
            <w:shd w:val="clear" w:color="auto" w:fill="auto"/>
            <w:noWrap/>
            <w:vAlign w:val="center"/>
          </w:tcPr>
          <w:p w14:paraId="141DAF8C">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火电（</w:t>
            </w:r>
            <w:r>
              <w:rPr>
                <w:rFonts w:ascii="Times New Roman" w:hAnsi="Times New Roman" w:eastAsia="宋体" w:cs="宋体"/>
                <w:color w:val="000000"/>
                <w:kern w:val="0"/>
                <w:sz w:val="22"/>
                <w:szCs w:val="22"/>
                <w:lang w:bidi="ar"/>
              </w:rPr>
              <w:t>12项）</w:t>
            </w:r>
          </w:p>
        </w:tc>
        <w:tc>
          <w:tcPr>
            <w:tcW w:w="2196" w:type="dxa"/>
            <w:shd w:val="clear" w:color="auto" w:fill="auto"/>
            <w:noWrap/>
            <w:vAlign w:val="center"/>
          </w:tcPr>
          <w:p w14:paraId="750C63DF">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建成投产</w:t>
            </w:r>
          </w:p>
        </w:tc>
        <w:tc>
          <w:tcPr>
            <w:tcW w:w="8688" w:type="dxa"/>
            <w:shd w:val="clear" w:color="auto" w:fill="auto"/>
            <w:noWrap/>
            <w:vAlign w:val="center"/>
          </w:tcPr>
          <w:p w14:paraId="0909B6B3">
            <w:pPr>
              <w:widowControl/>
              <w:adjustRightInd w:val="0"/>
              <w:snapToGrid w:val="0"/>
              <w:spacing w:line="240" w:lineRule="auto"/>
              <w:ind w:firstLine="0" w:firstLineChars="0"/>
              <w:jc w:val="left"/>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株洲扩能升级改造项目、石门扩能升级改造项目、汨罗电厂、岳州电厂</w:t>
            </w:r>
          </w:p>
        </w:tc>
      </w:tr>
      <w:tr w14:paraId="0A37A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jc w:val="center"/>
        </w:trPr>
        <w:tc>
          <w:tcPr>
            <w:tcW w:w="1628" w:type="dxa"/>
            <w:vMerge w:val="continue"/>
            <w:shd w:val="clear" w:color="auto" w:fill="auto"/>
            <w:noWrap/>
            <w:vAlign w:val="center"/>
          </w:tcPr>
          <w:p w14:paraId="229FED90">
            <w:pPr>
              <w:adjustRightInd w:val="0"/>
              <w:snapToGrid w:val="0"/>
              <w:ind w:firstLineChars="0"/>
              <w:jc w:val="center"/>
              <w:textAlignment w:val="center"/>
              <w:rPr>
                <w:rFonts w:ascii="Times New Roman" w:hAnsi="Times New Roman" w:eastAsia="宋体" w:cs="宋体"/>
                <w:color w:val="000000"/>
                <w:kern w:val="0"/>
                <w:sz w:val="22"/>
                <w:szCs w:val="22"/>
                <w:lang w:bidi="ar"/>
              </w:rPr>
            </w:pPr>
          </w:p>
        </w:tc>
        <w:tc>
          <w:tcPr>
            <w:tcW w:w="2231" w:type="dxa"/>
            <w:vMerge w:val="continue"/>
            <w:shd w:val="clear" w:color="auto" w:fill="auto"/>
            <w:noWrap/>
            <w:vAlign w:val="center"/>
          </w:tcPr>
          <w:p w14:paraId="719972F6">
            <w:pPr>
              <w:adjustRightInd w:val="0"/>
              <w:snapToGrid w:val="0"/>
              <w:ind w:firstLineChars="0"/>
              <w:jc w:val="center"/>
              <w:textAlignment w:val="center"/>
              <w:rPr>
                <w:rFonts w:ascii="Times New Roman" w:hAnsi="Times New Roman" w:eastAsia="宋体" w:cs="宋体"/>
                <w:color w:val="000000"/>
                <w:kern w:val="0"/>
                <w:sz w:val="22"/>
                <w:szCs w:val="22"/>
                <w:lang w:bidi="ar"/>
              </w:rPr>
            </w:pPr>
          </w:p>
        </w:tc>
        <w:tc>
          <w:tcPr>
            <w:tcW w:w="2196" w:type="dxa"/>
            <w:shd w:val="clear" w:color="auto" w:fill="auto"/>
            <w:noWrap/>
            <w:vAlign w:val="center"/>
          </w:tcPr>
          <w:p w14:paraId="3F6CA1B6">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开展前期</w:t>
            </w:r>
          </w:p>
        </w:tc>
        <w:tc>
          <w:tcPr>
            <w:tcW w:w="8688" w:type="dxa"/>
            <w:shd w:val="clear" w:color="auto" w:fill="auto"/>
            <w:vAlign w:val="center"/>
          </w:tcPr>
          <w:p w14:paraId="45F32911">
            <w:pPr>
              <w:widowControl/>
              <w:adjustRightInd w:val="0"/>
              <w:snapToGrid w:val="0"/>
              <w:spacing w:line="240" w:lineRule="auto"/>
              <w:ind w:firstLine="0" w:firstLineChars="0"/>
              <w:jc w:val="left"/>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湘潭电厂三期、华岳电厂四期、益阳电厂四期、浏阳电厂、石门电厂四期、株洲电厂二期；永州、湘阴天然气调峰电厂</w:t>
            </w:r>
          </w:p>
        </w:tc>
      </w:tr>
      <w:tr w14:paraId="6A13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28" w:type="dxa"/>
            <w:vMerge w:val="continue"/>
            <w:shd w:val="clear" w:color="auto" w:fill="auto"/>
            <w:noWrap/>
            <w:vAlign w:val="center"/>
          </w:tcPr>
          <w:p w14:paraId="4B7F9BCC">
            <w:pPr>
              <w:adjustRightInd w:val="0"/>
              <w:snapToGrid w:val="0"/>
              <w:ind w:firstLineChars="0"/>
              <w:jc w:val="center"/>
              <w:textAlignment w:val="center"/>
              <w:rPr>
                <w:rFonts w:ascii="Times New Roman" w:hAnsi="Times New Roman" w:eastAsia="宋体" w:cs="宋体"/>
                <w:color w:val="000000"/>
                <w:kern w:val="0"/>
                <w:sz w:val="22"/>
                <w:szCs w:val="22"/>
                <w:lang w:bidi="ar"/>
              </w:rPr>
            </w:pPr>
          </w:p>
        </w:tc>
        <w:tc>
          <w:tcPr>
            <w:tcW w:w="2231" w:type="dxa"/>
            <w:vMerge w:val="restart"/>
            <w:shd w:val="clear" w:color="auto" w:fill="auto"/>
            <w:noWrap/>
            <w:vAlign w:val="center"/>
          </w:tcPr>
          <w:p w14:paraId="4F7B9173">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水电（</w:t>
            </w:r>
            <w:r>
              <w:rPr>
                <w:rFonts w:ascii="Times New Roman" w:hAnsi="Times New Roman" w:eastAsia="宋体" w:cs="宋体"/>
                <w:color w:val="000000"/>
                <w:kern w:val="0"/>
                <w:sz w:val="22"/>
                <w:szCs w:val="22"/>
                <w:lang w:bidi="ar"/>
              </w:rPr>
              <w:t>9项）</w:t>
            </w:r>
          </w:p>
        </w:tc>
        <w:tc>
          <w:tcPr>
            <w:tcW w:w="2196" w:type="dxa"/>
            <w:shd w:val="clear" w:color="auto" w:fill="auto"/>
            <w:noWrap/>
            <w:vAlign w:val="center"/>
          </w:tcPr>
          <w:p w14:paraId="34854F77">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建成投产</w:t>
            </w:r>
          </w:p>
        </w:tc>
        <w:tc>
          <w:tcPr>
            <w:tcW w:w="8688" w:type="dxa"/>
            <w:shd w:val="clear" w:color="auto" w:fill="auto"/>
            <w:vAlign w:val="center"/>
          </w:tcPr>
          <w:p w14:paraId="6EF071A4">
            <w:pPr>
              <w:widowControl/>
              <w:adjustRightInd w:val="0"/>
              <w:snapToGrid w:val="0"/>
              <w:spacing w:line="240" w:lineRule="auto"/>
              <w:ind w:firstLine="0" w:firstLineChars="0"/>
              <w:jc w:val="left"/>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平江、</w:t>
            </w:r>
            <w:r>
              <w:rPr>
                <w:rFonts w:hint="eastAsia" w:ascii="Times New Roman" w:hAnsi="Times New Roman" w:eastAsia="宋体" w:cs="宋体"/>
                <w:kern w:val="0"/>
                <w:sz w:val="22"/>
                <w:szCs w:val="22"/>
                <w:lang w:bidi="ar"/>
              </w:rPr>
              <w:t>攸县</w:t>
            </w:r>
            <w:r>
              <w:rPr>
                <w:rFonts w:hint="eastAsia" w:ascii="Times New Roman" w:hAnsi="Times New Roman" w:eastAsia="宋体" w:cs="宋体"/>
                <w:color w:val="000000"/>
                <w:kern w:val="0"/>
                <w:sz w:val="22"/>
                <w:szCs w:val="22"/>
                <w:lang w:bidi="ar"/>
              </w:rPr>
              <w:t>广寒坪、</w:t>
            </w:r>
            <w:r>
              <w:rPr>
                <w:rFonts w:hint="eastAsia" w:ascii="Times New Roman" w:hAnsi="Times New Roman" w:eastAsia="宋体" w:cs="宋体"/>
                <w:kern w:val="0"/>
                <w:sz w:val="22"/>
                <w:szCs w:val="22"/>
                <w:lang w:bidi="ar"/>
              </w:rPr>
              <w:t>炎陵</w:t>
            </w:r>
            <w:r>
              <w:rPr>
                <w:rFonts w:hint="eastAsia" w:ascii="Times New Roman" w:hAnsi="Times New Roman" w:eastAsia="宋体" w:cs="宋体"/>
                <w:color w:val="000000"/>
                <w:kern w:val="0"/>
                <w:sz w:val="22"/>
                <w:szCs w:val="22"/>
                <w:lang w:bidi="ar"/>
              </w:rPr>
              <w:t>罗萍江、</w:t>
            </w:r>
            <w:r>
              <w:rPr>
                <w:rFonts w:hint="eastAsia" w:ascii="Times New Roman" w:hAnsi="Times New Roman" w:eastAsia="宋体" w:cs="宋体"/>
                <w:kern w:val="0"/>
                <w:sz w:val="22"/>
                <w:szCs w:val="22"/>
                <w:lang w:bidi="ar"/>
              </w:rPr>
              <w:t>桃源</w:t>
            </w:r>
            <w:r>
              <w:rPr>
                <w:rFonts w:hint="eastAsia" w:ascii="Times New Roman" w:hAnsi="Times New Roman" w:eastAsia="宋体" w:cs="宋体"/>
                <w:color w:val="000000"/>
                <w:kern w:val="0"/>
                <w:sz w:val="22"/>
                <w:szCs w:val="22"/>
                <w:lang w:bidi="ar"/>
              </w:rPr>
              <w:t>木旺溪、辰溪抽水蓄能电站</w:t>
            </w:r>
          </w:p>
        </w:tc>
      </w:tr>
      <w:tr w14:paraId="4E46D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28" w:type="dxa"/>
            <w:vMerge w:val="continue"/>
            <w:shd w:val="clear" w:color="auto" w:fill="auto"/>
            <w:noWrap/>
            <w:vAlign w:val="center"/>
          </w:tcPr>
          <w:p w14:paraId="2480E204">
            <w:pPr>
              <w:adjustRightInd w:val="0"/>
              <w:snapToGrid w:val="0"/>
              <w:ind w:firstLineChars="0"/>
              <w:jc w:val="center"/>
              <w:textAlignment w:val="center"/>
              <w:rPr>
                <w:rFonts w:ascii="Times New Roman" w:hAnsi="Times New Roman" w:eastAsia="宋体" w:cs="宋体"/>
                <w:color w:val="000000"/>
                <w:kern w:val="0"/>
                <w:sz w:val="22"/>
                <w:szCs w:val="22"/>
                <w:lang w:bidi="ar"/>
              </w:rPr>
            </w:pPr>
          </w:p>
        </w:tc>
        <w:tc>
          <w:tcPr>
            <w:tcW w:w="2231" w:type="dxa"/>
            <w:vMerge w:val="continue"/>
            <w:shd w:val="clear" w:color="auto" w:fill="auto"/>
            <w:noWrap/>
            <w:vAlign w:val="center"/>
          </w:tcPr>
          <w:p w14:paraId="437DA0B5">
            <w:pPr>
              <w:adjustRightInd w:val="0"/>
              <w:snapToGrid w:val="0"/>
              <w:ind w:firstLineChars="0"/>
              <w:jc w:val="center"/>
              <w:textAlignment w:val="center"/>
              <w:rPr>
                <w:rFonts w:ascii="Times New Roman" w:hAnsi="Times New Roman" w:eastAsia="宋体" w:cs="宋体"/>
                <w:color w:val="000000"/>
                <w:kern w:val="0"/>
                <w:sz w:val="22"/>
                <w:szCs w:val="22"/>
                <w:lang w:bidi="ar"/>
              </w:rPr>
            </w:pPr>
          </w:p>
        </w:tc>
        <w:tc>
          <w:tcPr>
            <w:tcW w:w="2196" w:type="dxa"/>
            <w:shd w:val="clear" w:color="auto" w:fill="auto"/>
            <w:noWrap/>
            <w:vAlign w:val="center"/>
          </w:tcPr>
          <w:p w14:paraId="7C9832F6">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在建续建</w:t>
            </w:r>
          </w:p>
        </w:tc>
        <w:tc>
          <w:tcPr>
            <w:tcW w:w="8688" w:type="dxa"/>
            <w:shd w:val="clear" w:color="auto" w:fill="auto"/>
            <w:vAlign w:val="center"/>
          </w:tcPr>
          <w:p w14:paraId="116A123E">
            <w:pPr>
              <w:widowControl/>
              <w:adjustRightInd w:val="0"/>
              <w:snapToGrid w:val="0"/>
              <w:spacing w:line="240" w:lineRule="auto"/>
              <w:ind w:firstLine="0" w:firstLineChars="0"/>
              <w:jc w:val="left"/>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安化、</w:t>
            </w:r>
            <w:r>
              <w:rPr>
                <w:rFonts w:hint="eastAsia" w:ascii="Times New Roman" w:hAnsi="Times New Roman" w:eastAsia="宋体" w:cs="宋体"/>
                <w:kern w:val="0"/>
                <w:sz w:val="22"/>
                <w:szCs w:val="22"/>
                <w:lang w:bidi="ar"/>
              </w:rPr>
              <w:t>汨罗</w:t>
            </w:r>
            <w:r>
              <w:rPr>
                <w:rFonts w:hint="eastAsia" w:ascii="Times New Roman" w:hAnsi="Times New Roman" w:eastAsia="宋体" w:cs="宋体"/>
                <w:color w:val="000000"/>
                <w:kern w:val="0"/>
                <w:sz w:val="22"/>
                <w:szCs w:val="22"/>
                <w:lang w:bidi="ar"/>
              </w:rPr>
              <w:t>玉池、</w:t>
            </w:r>
            <w:r>
              <w:rPr>
                <w:rFonts w:hint="eastAsia" w:ascii="Times New Roman" w:hAnsi="Times New Roman" w:eastAsia="宋体" w:cs="宋体"/>
                <w:kern w:val="0"/>
                <w:sz w:val="22"/>
                <w:szCs w:val="22"/>
                <w:lang w:bidi="ar"/>
              </w:rPr>
              <w:t>江华</w:t>
            </w:r>
            <w:r>
              <w:rPr>
                <w:rFonts w:hint="eastAsia" w:ascii="Times New Roman" w:hAnsi="Times New Roman" w:eastAsia="宋体" w:cs="宋体"/>
                <w:color w:val="000000"/>
                <w:kern w:val="0"/>
                <w:sz w:val="22"/>
                <w:szCs w:val="22"/>
                <w:lang w:bidi="ar"/>
              </w:rPr>
              <w:t>湾水源、</w:t>
            </w:r>
            <w:r>
              <w:rPr>
                <w:rFonts w:hint="eastAsia" w:ascii="Times New Roman" w:hAnsi="Times New Roman" w:eastAsia="宋体" w:cs="宋体"/>
                <w:kern w:val="0"/>
                <w:sz w:val="22"/>
                <w:szCs w:val="22"/>
                <w:lang w:bidi="ar"/>
              </w:rPr>
              <w:t>双牌</w:t>
            </w:r>
            <w:r>
              <w:rPr>
                <w:rFonts w:hint="eastAsia" w:ascii="Times New Roman" w:hAnsi="Times New Roman" w:eastAsia="宋体" w:cs="宋体"/>
                <w:color w:val="000000"/>
                <w:kern w:val="0"/>
                <w:sz w:val="22"/>
                <w:szCs w:val="22"/>
                <w:lang w:bidi="ar"/>
              </w:rPr>
              <w:t>天子山抽水蓄能电站</w:t>
            </w:r>
          </w:p>
        </w:tc>
      </w:tr>
      <w:tr w14:paraId="340F2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28" w:type="dxa"/>
            <w:vMerge w:val="continue"/>
            <w:shd w:val="clear" w:color="auto" w:fill="auto"/>
            <w:noWrap/>
            <w:vAlign w:val="center"/>
          </w:tcPr>
          <w:p w14:paraId="4B8B15BD">
            <w:pPr>
              <w:adjustRightInd w:val="0"/>
              <w:snapToGrid w:val="0"/>
              <w:ind w:firstLineChars="0"/>
              <w:jc w:val="center"/>
              <w:textAlignment w:val="center"/>
              <w:rPr>
                <w:rFonts w:ascii="Times New Roman" w:hAnsi="Times New Roman" w:eastAsia="宋体" w:cs="宋体"/>
                <w:color w:val="000000"/>
                <w:kern w:val="0"/>
                <w:sz w:val="22"/>
                <w:szCs w:val="22"/>
                <w:lang w:bidi="ar"/>
              </w:rPr>
            </w:pPr>
          </w:p>
        </w:tc>
        <w:tc>
          <w:tcPr>
            <w:tcW w:w="2231" w:type="dxa"/>
            <w:shd w:val="clear" w:color="auto" w:fill="auto"/>
            <w:noWrap/>
            <w:vAlign w:val="center"/>
          </w:tcPr>
          <w:p w14:paraId="3F7BEE14">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新型储能（</w:t>
            </w:r>
            <w:r>
              <w:rPr>
                <w:rFonts w:ascii="Times New Roman" w:hAnsi="Times New Roman" w:eastAsia="宋体" w:cs="宋体"/>
                <w:color w:val="000000"/>
                <w:kern w:val="0"/>
                <w:sz w:val="22"/>
                <w:szCs w:val="22"/>
                <w:lang w:bidi="ar"/>
              </w:rPr>
              <w:t>1项）</w:t>
            </w:r>
          </w:p>
        </w:tc>
        <w:tc>
          <w:tcPr>
            <w:tcW w:w="2196" w:type="dxa"/>
            <w:shd w:val="clear" w:color="auto" w:fill="auto"/>
            <w:noWrap/>
            <w:vAlign w:val="center"/>
          </w:tcPr>
          <w:p w14:paraId="100573E8">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开工建设</w:t>
            </w:r>
          </w:p>
        </w:tc>
        <w:tc>
          <w:tcPr>
            <w:tcW w:w="8688" w:type="dxa"/>
            <w:shd w:val="clear" w:color="auto" w:fill="auto"/>
            <w:noWrap/>
            <w:vAlign w:val="center"/>
          </w:tcPr>
          <w:p w14:paraId="3582C1A6">
            <w:pPr>
              <w:widowControl/>
              <w:adjustRightInd w:val="0"/>
              <w:snapToGrid w:val="0"/>
              <w:spacing w:line="240" w:lineRule="auto"/>
              <w:ind w:firstLine="0" w:firstLineChars="0"/>
              <w:jc w:val="left"/>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岳阳龙泉山压缩空气储能</w:t>
            </w:r>
          </w:p>
        </w:tc>
      </w:tr>
      <w:tr w14:paraId="1C3E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28" w:type="dxa"/>
            <w:vMerge w:val="continue"/>
            <w:shd w:val="clear" w:color="auto" w:fill="auto"/>
            <w:noWrap/>
            <w:vAlign w:val="center"/>
          </w:tcPr>
          <w:p w14:paraId="69F39E21">
            <w:pPr>
              <w:adjustRightInd w:val="0"/>
              <w:snapToGrid w:val="0"/>
              <w:ind w:firstLineChars="0"/>
              <w:jc w:val="center"/>
              <w:textAlignment w:val="center"/>
              <w:rPr>
                <w:rFonts w:ascii="Times New Roman" w:hAnsi="Times New Roman" w:eastAsia="宋体" w:cs="宋体"/>
                <w:color w:val="000000"/>
                <w:kern w:val="0"/>
                <w:sz w:val="22"/>
                <w:szCs w:val="22"/>
                <w:lang w:bidi="ar"/>
              </w:rPr>
            </w:pPr>
          </w:p>
        </w:tc>
        <w:tc>
          <w:tcPr>
            <w:tcW w:w="2231" w:type="dxa"/>
            <w:shd w:val="clear" w:color="auto" w:fill="auto"/>
            <w:noWrap/>
            <w:vAlign w:val="center"/>
          </w:tcPr>
          <w:p w14:paraId="332D56E0">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新能源（</w:t>
            </w:r>
            <w:r>
              <w:rPr>
                <w:rFonts w:ascii="Times New Roman" w:hAnsi="Times New Roman" w:eastAsia="宋体" w:cs="宋体"/>
                <w:color w:val="000000"/>
                <w:kern w:val="0"/>
                <w:sz w:val="22"/>
                <w:szCs w:val="22"/>
                <w:lang w:bidi="ar"/>
              </w:rPr>
              <w:t>1项）</w:t>
            </w:r>
          </w:p>
        </w:tc>
        <w:tc>
          <w:tcPr>
            <w:tcW w:w="2196" w:type="dxa"/>
            <w:shd w:val="clear" w:color="auto" w:fill="auto"/>
            <w:noWrap/>
            <w:vAlign w:val="center"/>
          </w:tcPr>
          <w:p w14:paraId="4F86F148">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开工建设</w:t>
            </w:r>
          </w:p>
        </w:tc>
        <w:tc>
          <w:tcPr>
            <w:tcW w:w="8688" w:type="dxa"/>
            <w:shd w:val="clear" w:color="auto" w:fill="auto"/>
            <w:noWrap/>
            <w:vAlign w:val="center"/>
          </w:tcPr>
          <w:p w14:paraId="7C8C69AE">
            <w:pPr>
              <w:widowControl/>
              <w:adjustRightInd w:val="0"/>
              <w:snapToGrid w:val="0"/>
              <w:spacing w:line="240" w:lineRule="auto"/>
              <w:ind w:firstLine="0" w:firstLineChars="0"/>
              <w:jc w:val="left"/>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相关风电、光伏发电项目</w:t>
            </w:r>
          </w:p>
        </w:tc>
      </w:tr>
      <w:tr w14:paraId="27DA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8" w:hRule="atLeast"/>
          <w:jc w:val="center"/>
        </w:trPr>
        <w:tc>
          <w:tcPr>
            <w:tcW w:w="1628" w:type="dxa"/>
            <w:vMerge w:val="restart"/>
            <w:shd w:val="clear" w:color="auto" w:fill="auto"/>
            <w:noWrap/>
            <w:vAlign w:val="center"/>
          </w:tcPr>
          <w:p w14:paraId="4A089942">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电网</w:t>
            </w:r>
            <w:r>
              <w:rPr>
                <w:rFonts w:ascii="Times New Roman" w:hAnsi="Times New Roman" w:eastAsia="宋体" w:cs="宋体"/>
                <w:color w:val="000000"/>
                <w:kern w:val="0"/>
                <w:sz w:val="22"/>
                <w:szCs w:val="22"/>
                <w:lang w:bidi="ar"/>
              </w:rPr>
              <w:t>（45项）</w:t>
            </w:r>
          </w:p>
        </w:tc>
        <w:tc>
          <w:tcPr>
            <w:tcW w:w="2231" w:type="dxa"/>
            <w:vMerge w:val="restart"/>
            <w:shd w:val="clear" w:color="auto" w:fill="auto"/>
            <w:noWrap/>
            <w:vAlign w:val="center"/>
          </w:tcPr>
          <w:p w14:paraId="2CF31101">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特高压项目（</w:t>
            </w:r>
            <w:r>
              <w:rPr>
                <w:rFonts w:ascii="Times New Roman" w:hAnsi="Times New Roman" w:eastAsia="宋体" w:cs="宋体"/>
                <w:color w:val="000000"/>
                <w:kern w:val="0"/>
                <w:sz w:val="22"/>
                <w:szCs w:val="22"/>
                <w:lang w:bidi="ar"/>
              </w:rPr>
              <w:t>7项）</w:t>
            </w:r>
          </w:p>
        </w:tc>
        <w:tc>
          <w:tcPr>
            <w:tcW w:w="2196" w:type="dxa"/>
            <w:shd w:val="clear" w:color="auto" w:fill="auto"/>
            <w:noWrap/>
            <w:vAlign w:val="center"/>
          </w:tcPr>
          <w:p w14:paraId="15447304">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提前储备</w:t>
            </w:r>
          </w:p>
        </w:tc>
        <w:tc>
          <w:tcPr>
            <w:tcW w:w="8688" w:type="dxa"/>
            <w:shd w:val="clear" w:color="auto" w:fill="auto"/>
            <w:noWrap/>
            <w:vAlign w:val="center"/>
          </w:tcPr>
          <w:p w14:paraId="4646C20A">
            <w:pPr>
              <w:widowControl/>
              <w:adjustRightInd w:val="0"/>
              <w:snapToGrid w:val="0"/>
              <w:spacing w:line="240" w:lineRule="auto"/>
              <w:ind w:firstLine="0" w:firstLineChars="0"/>
              <w:jc w:val="left"/>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湖南</w:t>
            </w:r>
            <w:r>
              <w:rPr>
                <w:rFonts w:ascii="Times New Roman" w:hAnsi="Times New Roman" w:eastAsia="宋体" w:cs="宋体"/>
                <w:color w:val="000000"/>
                <w:kern w:val="0"/>
                <w:sz w:val="22"/>
                <w:szCs w:val="22"/>
                <w:lang w:bidi="ar"/>
              </w:rPr>
              <w:t>-广西直流背靠背联网工程</w:t>
            </w:r>
          </w:p>
        </w:tc>
      </w:tr>
      <w:tr w14:paraId="06472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jc w:val="center"/>
        </w:trPr>
        <w:tc>
          <w:tcPr>
            <w:tcW w:w="1628" w:type="dxa"/>
            <w:vMerge w:val="continue"/>
            <w:shd w:val="clear" w:color="auto" w:fill="auto"/>
            <w:noWrap/>
            <w:vAlign w:val="center"/>
          </w:tcPr>
          <w:p w14:paraId="7DD18537">
            <w:pPr>
              <w:adjustRightInd w:val="0"/>
              <w:snapToGrid w:val="0"/>
              <w:ind w:firstLineChars="0"/>
              <w:jc w:val="center"/>
              <w:textAlignment w:val="center"/>
              <w:rPr>
                <w:rFonts w:ascii="Times New Roman" w:hAnsi="Times New Roman" w:eastAsia="宋体" w:cs="宋体"/>
                <w:color w:val="000000"/>
                <w:kern w:val="0"/>
                <w:sz w:val="22"/>
                <w:szCs w:val="22"/>
                <w:lang w:bidi="ar"/>
              </w:rPr>
            </w:pPr>
          </w:p>
        </w:tc>
        <w:tc>
          <w:tcPr>
            <w:tcW w:w="2231" w:type="dxa"/>
            <w:vMerge w:val="continue"/>
            <w:shd w:val="clear" w:color="auto" w:fill="auto"/>
            <w:noWrap/>
            <w:vAlign w:val="center"/>
          </w:tcPr>
          <w:p w14:paraId="039588E6">
            <w:pPr>
              <w:adjustRightInd w:val="0"/>
              <w:snapToGrid w:val="0"/>
              <w:ind w:firstLineChars="0"/>
              <w:jc w:val="center"/>
              <w:textAlignment w:val="center"/>
              <w:rPr>
                <w:rFonts w:ascii="Times New Roman" w:hAnsi="Times New Roman" w:eastAsia="宋体" w:cs="宋体"/>
                <w:color w:val="000000"/>
                <w:kern w:val="0"/>
                <w:sz w:val="22"/>
                <w:szCs w:val="22"/>
                <w:lang w:bidi="ar"/>
              </w:rPr>
            </w:pPr>
          </w:p>
        </w:tc>
        <w:tc>
          <w:tcPr>
            <w:tcW w:w="2196" w:type="dxa"/>
            <w:shd w:val="clear" w:color="auto" w:fill="auto"/>
            <w:noWrap/>
            <w:vAlign w:val="center"/>
          </w:tcPr>
          <w:p w14:paraId="421F2977">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开工建设</w:t>
            </w:r>
          </w:p>
        </w:tc>
        <w:tc>
          <w:tcPr>
            <w:tcW w:w="8688" w:type="dxa"/>
            <w:shd w:val="clear" w:color="auto" w:fill="auto"/>
            <w:noWrap/>
            <w:vAlign w:val="center"/>
          </w:tcPr>
          <w:p w14:paraId="1A7F973C">
            <w:pPr>
              <w:widowControl/>
              <w:adjustRightInd w:val="0"/>
              <w:snapToGrid w:val="0"/>
              <w:spacing w:line="240" w:lineRule="auto"/>
              <w:ind w:firstLine="0" w:firstLineChars="0"/>
              <w:jc w:val="left"/>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新疆</w:t>
            </w:r>
            <w:r>
              <w:rPr>
                <w:rFonts w:ascii="Times New Roman" w:hAnsi="Times New Roman" w:eastAsia="宋体" w:cs="宋体"/>
                <w:color w:val="000000"/>
                <w:kern w:val="0"/>
                <w:sz w:val="22"/>
                <w:szCs w:val="22"/>
                <w:lang w:bidi="ar"/>
              </w:rPr>
              <w:t>-湖南特高压直流工程</w:t>
            </w:r>
          </w:p>
        </w:tc>
      </w:tr>
      <w:tr w14:paraId="042A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5" w:hRule="atLeast"/>
          <w:jc w:val="center"/>
        </w:trPr>
        <w:tc>
          <w:tcPr>
            <w:tcW w:w="1628" w:type="dxa"/>
            <w:vMerge w:val="continue"/>
            <w:shd w:val="clear" w:color="auto" w:fill="auto"/>
            <w:noWrap/>
            <w:vAlign w:val="center"/>
          </w:tcPr>
          <w:p w14:paraId="38B28DEB">
            <w:pPr>
              <w:adjustRightInd w:val="0"/>
              <w:snapToGrid w:val="0"/>
              <w:ind w:firstLineChars="0"/>
              <w:jc w:val="center"/>
              <w:textAlignment w:val="center"/>
              <w:rPr>
                <w:rFonts w:ascii="Times New Roman" w:hAnsi="Times New Roman" w:eastAsia="宋体" w:cs="宋体"/>
                <w:color w:val="000000"/>
                <w:kern w:val="0"/>
                <w:sz w:val="22"/>
                <w:szCs w:val="22"/>
                <w:lang w:bidi="ar"/>
              </w:rPr>
            </w:pPr>
          </w:p>
        </w:tc>
        <w:tc>
          <w:tcPr>
            <w:tcW w:w="2231" w:type="dxa"/>
            <w:vMerge w:val="continue"/>
            <w:shd w:val="clear" w:color="auto" w:fill="auto"/>
            <w:noWrap/>
            <w:vAlign w:val="center"/>
          </w:tcPr>
          <w:p w14:paraId="31EB90C8">
            <w:pPr>
              <w:adjustRightInd w:val="0"/>
              <w:snapToGrid w:val="0"/>
              <w:ind w:firstLineChars="0"/>
              <w:jc w:val="center"/>
              <w:textAlignment w:val="center"/>
              <w:rPr>
                <w:rFonts w:ascii="Times New Roman" w:hAnsi="Times New Roman" w:eastAsia="宋体" w:cs="宋体"/>
                <w:color w:val="000000"/>
                <w:kern w:val="0"/>
                <w:sz w:val="22"/>
                <w:szCs w:val="22"/>
                <w:lang w:bidi="ar"/>
              </w:rPr>
            </w:pPr>
          </w:p>
        </w:tc>
        <w:tc>
          <w:tcPr>
            <w:tcW w:w="2196" w:type="dxa"/>
            <w:shd w:val="clear" w:color="auto" w:fill="auto"/>
            <w:noWrap/>
            <w:vAlign w:val="center"/>
          </w:tcPr>
          <w:p w14:paraId="7C856757">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明确工程方案</w:t>
            </w:r>
          </w:p>
        </w:tc>
        <w:tc>
          <w:tcPr>
            <w:tcW w:w="8688" w:type="dxa"/>
            <w:shd w:val="clear" w:color="auto" w:fill="auto"/>
            <w:vAlign w:val="center"/>
          </w:tcPr>
          <w:p w14:paraId="01E58928">
            <w:pPr>
              <w:widowControl/>
              <w:adjustRightInd w:val="0"/>
              <w:snapToGrid w:val="0"/>
              <w:spacing w:line="240" w:lineRule="auto"/>
              <w:ind w:firstLine="0" w:firstLineChars="0"/>
              <w:jc w:val="left"/>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长沙</w:t>
            </w:r>
            <w:r>
              <w:rPr>
                <w:rFonts w:ascii="Times New Roman" w:hAnsi="Times New Roman" w:eastAsia="宋体" w:cs="宋体"/>
                <w:color w:val="000000"/>
                <w:kern w:val="0"/>
                <w:sz w:val="22"/>
                <w:szCs w:val="22"/>
                <w:lang w:bidi="ar"/>
              </w:rPr>
              <w:t>1000千伏变电站主变扩建工程、湘南1000千伏特高压交流输变电工程、湘南—赣南1000千伏特高压交流通道工程、湘粤直流背靠背联网工程、湘黔直流背靠背联网工程。</w:t>
            </w:r>
          </w:p>
        </w:tc>
      </w:tr>
      <w:tr w14:paraId="55DF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5" w:hRule="atLeast"/>
          <w:jc w:val="center"/>
        </w:trPr>
        <w:tc>
          <w:tcPr>
            <w:tcW w:w="1628" w:type="dxa"/>
            <w:vMerge w:val="continue"/>
            <w:shd w:val="clear" w:color="auto" w:fill="auto"/>
            <w:noWrap/>
            <w:vAlign w:val="center"/>
          </w:tcPr>
          <w:p w14:paraId="5ECA9B53">
            <w:pPr>
              <w:adjustRightInd w:val="0"/>
              <w:snapToGrid w:val="0"/>
              <w:ind w:firstLineChars="0"/>
              <w:jc w:val="center"/>
              <w:textAlignment w:val="center"/>
              <w:rPr>
                <w:rFonts w:ascii="Times New Roman" w:hAnsi="Times New Roman" w:eastAsia="宋体" w:cs="宋体"/>
                <w:color w:val="000000"/>
                <w:kern w:val="0"/>
                <w:sz w:val="22"/>
                <w:szCs w:val="22"/>
                <w:lang w:bidi="ar"/>
              </w:rPr>
            </w:pPr>
          </w:p>
        </w:tc>
        <w:tc>
          <w:tcPr>
            <w:tcW w:w="2231" w:type="dxa"/>
            <w:vMerge w:val="restart"/>
            <w:shd w:val="clear" w:color="auto" w:fill="auto"/>
            <w:noWrap/>
            <w:vAlign w:val="center"/>
          </w:tcPr>
          <w:p w14:paraId="22CCEFE2">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ascii="Times New Roman" w:hAnsi="Times New Roman" w:eastAsia="宋体" w:cs="宋体"/>
                <w:color w:val="000000"/>
                <w:kern w:val="0"/>
                <w:sz w:val="22"/>
                <w:szCs w:val="22"/>
                <w:lang w:bidi="ar"/>
              </w:rPr>
              <w:t>500千伏主网架项目（36项）</w:t>
            </w:r>
          </w:p>
        </w:tc>
        <w:tc>
          <w:tcPr>
            <w:tcW w:w="2196" w:type="dxa"/>
            <w:shd w:val="clear" w:color="auto" w:fill="auto"/>
            <w:noWrap/>
            <w:vAlign w:val="center"/>
          </w:tcPr>
          <w:p w14:paraId="3FBF1A7A">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明确工程方案</w:t>
            </w:r>
          </w:p>
        </w:tc>
        <w:tc>
          <w:tcPr>
            <w:tcW w:w="8688" w:type="dxa"/>
            <w:shd w:val="clear" w:color="auto" w:fill="auto"/>
            <w:vAlign w:val="center"/>
          </w:tcPr>
          <w:p w14:paraId="1E0429D5">
            <w:pPr>
              <w:widowControl/>
              <w:adjustRightInd w:val="0"/>
              <w:snapToGrid w:val="0"/>
              <w:spacing w:line="240" w:lineRule="auto"/>
              <w:ind w:firstLine="0" w:firstLineChars="0"/>
              <w:jc w:val="left"/>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长沙县、邵阳西、岳麓、永州南、长沙北、大托</w:t>
            </w:r>
            <w:r>
              <w:rPr>
                <w:rFonts w:ascii="Times New Roman" w:hAnsi="Times New Roman" w:eastAsia="宋体" w:cs="宋体"/>
                <w:color w:val="000000"/>
                <w:kern w:val="0"/>
                <w:sz w:val="22"/>
                <w:szCs w:val="22"/>
                <w:lang w:bidi="ar"/>
              </w:rPr>
              <w:t>500千伏输变电工程，牌楼、自治州、民丰、长沙县、安宁、楚湖、连云、洞庭、雁城500千伏主变（改）扩建工程，鹤岭500千伏主变更换工程，韶山换近区500千伏短路电流控制工程，船山—鹤岭第二回500千伏线路，汨罗电厂、岳州电厂、平江抽蓄、罗萍江抽蓄、辰溪抽蓄、玉池抽蓄500千伏送出工程，东府—长沙北—沙坪双回、古亭—星城双回500千伏线路增容工程。</w:t>
            </w:r>
          </w:p>
        </w:tc>
      </w:tr>
      <w:tr w14:paraId="35D73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1628" w:type="dxa"/>
            <w:vMerge w:val="continue"/>
            <w:shd w:val="clear" w:color="auto" w:fill="auto"/>
            <w:noWrap/>
            <w:vAlign w:val="center"/>
          </w:tcPr>
          <w:p w14:paraId="60C89605">
            <w:pPr>
              <w:ind w:firstLine="0" w:firstLineChars="0"/>
              <w:jc w:val="center"/>
              <w:rPr>
                <w:rFonts w:ascii="Times New Roman" w:hAnsi="Times New Roman" w:eastAsia="宋体" w:cs="宋体"/>
                <w:color w:val="000000"/>
                <w:sz w:val="22"/>
                <w:szCs w:val="22"/>
              </w:rPr>
            </w:pPr>
          </w:p>
        </w:tc>
        <w:tc>
          <w:tcPr>
            <w:tcW w:w="2231" w:type="dxa"/>
            <w:vMerge w:val="continue"/>
            <w:shd w:val="clear" w:color="auto" w:fill="auto"/>
            <w:noWrap/>
            <w:vAlign w:val="center"/>
          </w:tcPr>
          <w:p w14:paraId="66A4D0BE">
            <w:pPr>
              <w:ind w:firstLine="0" w:firstLineChars="0"/>
              <w:jc w:val="center"/>
              <w:rPr>
                <w:rFonts w:ascii="Times New Roman" w:hAnsi="Times New Roman" w:eastAsia="宋体" w:cs="宋体"/>
                <w:color w:val="000000"/>
                <w:sz w:val="22"/>
                <w:szCs w:val="22"/>
              </w:rPr>
            </w:pPr>
          </w:p>
        </w:tc>
        <w:tc>
          <w:tcPr>
            <w:tcW w:w="2196" w:type="dxa"/>
            <w:shd w:val="clear" w:color="auto" w:fill="auto"/>
            <w:vAlign w:val="center"/>
          </w:tcPr>
          <w:p w14:paraId="1212396A">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进一步优化工程方案</w:t>
            </w:r>
          </w:p>
        </w:tc>
        <w:tc>
          <w:tcPr>
            <w:tcW w:w="8688" w:type="dxa"/>
            <w:shd w:val="clear" w:color="auto" w:fill="auto"/>
            <w:vAlign w:val="center"/>
          </w:tcPr>
          <w:p w14:paraId="159A4FA2">
            <w:pPr>
              <w:widowControl/>
              <w:adjustRightInd w:val="0"/>
              <w:snapToGrid w:val="0"/>
              <w:spacing w:line="240" w:lineRule="auto"/>
              <w:ind w:firstLine="0" w:firstLineChars="0"/>
              <w:jc w:val="left"/>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湘南</w:t>
            </w:r>
            <w:r>
              <w:rPr>
                <w:rFonts w:ascii="Times New Roman" w:hAnsi="Times New Roman" w:eastAsia="宋体" w:cs="宋体"/>
                <w:color w:val="000000"/>
                <w:kern w:val="0"/>
                <w:sz w:val="22"/>
                <w:szCs w:val="22"/>
                <w:lang w:bidi="ar"/>
              </w:rPr>
              <w:t>1000千伏特高压变电站500千伏送出工程，新疆—湖南特高压直流工程配套500千伏送出工程，常德东、娄底南、浏阳南、湘东南500千伏输变电工程，潇湘特近区短路电流控制工程，安化抽蓄、广寒坪抽蓄、木旺溪抽蓄500千伏送出工程。</w:t>
            </w:r>
          </w:p>
        </w:tc>
      </w:tr>
      <w:tr w14:paraId="7BE5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1628" w:type="dxa"/>
            <w:vMerge w:val="continue"/>
            <w:shd w:val="clear" w:color="auto" w:fill="auto"/>
            <w:noWrap/>
            <w:vAlign w:val="center"/>
          </w:tcPr>
          <w:p w14:paraId="66AFF4DF">
            <w:pPr>
              <w:ind w:firstLine="0" w:firstLineChars="0"/>
              <w:jc w:val="center"/>
              <w:rPr>
                <w:rFonts w:ascii="Times New Roman" w:hAnsi="Times New Roman" w:eastAsia="宋体" w:cs="宋体"/>
                <w:color w:val="000000"/>
                <w:sz w:val="22"/>
                <w:szCs w:val="22"/>
              </w:rPr>
            </w:pPr>
          </w:p>
        </w:tc>
        <w:tc>
          <w:tcPr>
            <w:tcW w:w="4427" w:type="dxa"/>
            <w:gridSpan w:val="2"/>
            <w:shd w:val="clear" w:color="auto" w:fill="auto"/>
            <w:noWrap/>
            <w:vAlign w:val="center"/>
          </w:tcPr>
          <w:p w14:paraId="15D3C357">
            <w:pPr>
              <w:widowControl/>
              <w:adjustRightInd w:val="0"/>
              <w:snapToGrid w:val="0"/>
              <w:spacing w:line="240" w:lineRule="auto"/>
              <w:ind w:firstLine="0" w:firstLineChars="0"/>
              <w:jc w:val="center"/>
              <w:textAlignment w:val="center"/>
              <w:rPr>
                <w:rFonts w:ascii="Times New Roman" w:hAnsi="Times New Roman" w:eastAsia="宋体" w:cs="宋体"/>
                <w:color w:val="000000"/>
                <w:kern w:val="0"/>
                <w:sz w:val="22"/>
                <w:szCs w:val="22"/>
                <w:lang w:bidi="ar"/>
              </w:rPr>
            </w:pPr>
            <w:r>
              <w:rPr>
                <w:rFonts w:ascii="Times New Roman" w:hAnsi="Times New Roman" w:eastAsia="宋体" w:cs="宋体"/>
                <w:color w:val="000000"/>
                <w:kern w:val="0"/>
                <w:sz w:val="22"/>
                <w:szCs w:val="22"/>
                <w:lang w:bidi="ar"/>
              </w:rPr>
              <w:t>220千伏及以下项目（2项）</w:t>
            </w:r>
          </w:p>
        </w:tc>
        <w:tc>
          <w:tcPr>
            <w:tcW w:w="8688" w:type="dxa"/>
            <w:shd w:val="clear" w:color="auto" w:fill="auto"/>
            <w:vAlign w:val="center"/>
          </w:tcPr>
          <w:p w14:paraId="1BA154F0">
            <w:pPr>
              <w:widowControl/>
              <w:adjustRightInd w:val="0"/>
              <w:snapToGrid w:val="0"/>
              <w:spacing w:line="240" w:lineRule="auto"/>
              <w:ind w:firstLine="0" w:firstLineChars="0"/>
              <w:jc w:val="left"/>
              <w:textAlignment w:val="center"/>
              <w:rPr>
                <w:rFonts w:ascii="Times New Roman" w:hAnsi="Times New Roman" w:eastAsia="宋体" w:cs="宋体"/>
                <w:color w:val="000000"/>
                <w:kern w:val="0"/>
                <w:sz w:val="22"/>
                <w:szCs w:val="22"/>
                <w:lang w:bidi="ar"/>
              </w:rPr>
            </w:pPr>
            <w:r>
              <w:rPr>
                <w:rFonts w:hint="eastAsia" w:ascii="Times New Roman" w:hAnsi="Times New Roman" w:eastAsia="宋体" w:cs="宋体"/>
                <w:color w:val="000000"/>
                <w:kern w:val="0"/>
                <w:sz w:val="22"/>
                <w:szCs w:val="22"/>
                <w:lang w:bidi="ar"/>
              </w:rPr>
              <w:t>相关</w:t>
            </w:r>
            <w:r>
              <w:rPr>
                <w:rFonts w:ascii="Times New Roman" w:hAnsi="Times New Roman" w:eastAsia="宋体" w:cs="宋体"/>
                <w:color w:val="000000"/>
                <w:kern w:val="0"/>
                <w:sz w:val="22"/>
                <w:szCs w:val="22"/>
                <w:lang w:bidi="ar"/>
              </w:rPr>
              <w:t>220千伏输变电工程、110千伏及以下配电网（含智能电网）</w:t>
            </w:r>
          </w:p>
        </w:tc>
      </w:tr>
    </w:tbl>
    <w:p w14:paraId="029BD193">
      <w:pPr>
        <w:ind w:firstLine="0" w:firstLineChars="0"/>
        <w:rPr>
          <w:rFonts w:ascii="Times New Roman" w:hAnsi="Times New Roman" w:eastAsia="SimHei" w:cs="Times New Roman"/>
          <w:szCs w:val="32"/>
        </w:rPr>
      </w:pPr>
      <w:r>
        <w:rPr>
          <w:rFonts w:ascii="Times New Roman" w:hAnsi="Times New Roman" w:eastAsia="SimHei" w:cs="Times New Roman"/>
          <w:szCs w:val="32"/>
        </w:rPr>
        <w:br w:type="page"/>
      </w:r>
    </w:p>
    <w:bookmarkEnd w:id="77"/>
    <w:p w14:paraId="1713F465">
      <w:pPr>
        <w:ind w:firstLine="0" w:firstLineChars="0"/>
        <w:jc w:val="left"/>
        <w:rPr>
          <w:rFonts w:ascii="Times New Roman" w:hAnsi="Times New Roman" w:eastAsia="FZXiaoBiaoSong-B05"/>
          <w:sz w:val="36"/>
          <w:szCs w:val="36"/>
        </w:rPr>
      </w:pPr>
    </w:p>
    <w:p w14:paraId="4F37B365">
      <w:pPr>
        <w:ind w:firstLine="0" w:firstLineChars="0"/>
        <w:jc w:val="left"/>
        <w:rPr>
          <w:rFonts w:ascii="Times New Roman" w:hAnsi="Times New Roman" w:eastAsia="FZXiaoBiaoSong-B05"/>
          <w:sz w:val="36"/>
          <w:szCs w:val="36"/>
        </w:rPr>
        <w:sectPr>
          <w:footerReference r:id="rId12" w:type="default"/>
          <w:footerReference r:id="rId13" w:type="even"/>
          <w:pgSz w:w="16838" w:h="11906" w:orient="landscape"/>
          <w:pgMar w:top="1418" w:right="1134" w:bottom="1418" w:left="1134" w:header="851" w:footer="1021" w:gutter="0"/>
          <w:cols w:space="425" w:num="1"/>
          <w:docGrid w:type="lines" w:linePitch="312" w:charSpace="0"/>
        </w:sectPr>
      </w:pPr>
    </w:p>
    <w:p w14:paraId="7B372972">
      <w:pPr>
        <w:ind w:firstLine="0" w:firstLineChars="0"/>
        <w:jc w:val="left"/>
        <w:rPr>
          <w:rFonts w:ascii="Times New Roman" w:hAnsi="Times New Roman" w:eastAsia="FZXiaoBiaoSong-B05"/>
          <w:sz w:val="36"/>
          <w:szCs w:val="36"/>
        </w:rPr>
      </w:pPr>
    </w:p>
    <w:p w14:paraId="0664BA0C">
      <w:pPr>
        <w:ind w:firstLine="720" w:firstLineChars="0"/>
        <w:jc w:val="center"/>
        <w:rPr>
          <w:rFonts w:ascii="Times New Roman" w:hAnsi="Times New Roman" w:eastAsia="FZXiaoBiaoSong-B05"/>
          <w:sz w:val="36"/>
          <w:szCs w:val="36"/>
        </w:rPr>
      </w:pPr>
    </w:p>
    <w:sectPr>
      <w:footerReference r:id="rId14" w:type="default"/>
      <w:footerReference r:id="rId15" w:type="even"/>
      <w:pgSz w:w="11906" w:h="16838"/>
      <w:pgMar w:top="1134" w:right="1418" w:bottom="1134" w:left="1418" w:header="851" w:footer="1021"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FZXiaoBiaoSong-B05S">
    <w:panose1 w:val="02000000000000000000"/>
    <w:charset w:val="86"/>
    <w:family w:val="script"/>
    <w:pitch w:val="default"/>
    <w:sig w:usb0="A00002BF" w:usb1="184F6CFA" w:usb2="00000012" w:usb3="00000000" w:csb0="00040001" w:csb1="00000000"/>
  </w:font>
  <w:font w:name="SimHei">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Calibri Light">
    <w:altName w:val="DejaVu Sans"/>
    <w:panose1 w:val="020F0302020204030204"/>
    <w:charset w:val="00"/>
    <w:family w:val="swiss"/>
    <w:pitch w:val="default"/>
    <w:sig w:usb0="00000000" w:usb1="00000000" w:usb2="00000009" w:usb3="00000000" w:csb0="200001FF" w:csb1="00000000"/>
  </w:font>
  <w:font w:name="Verdana">
    <w:altName w:val="Ubuntu"/>
    <w:panose1 w:val="020B0604030504040204"/>
    <w:charset w:val="00"/>
    <w:family w:val="swiss"/>
    <w:pitch w:val="default"/>
    <w:sig w:usb0="00000000" w:usb1="00000000" w:usb2="00000010" w:usb3="00000000" w:csb0="2000019F" w:csb1="00000000"/>
  </w:font>
  <w:font w:name="Ubuntu">
    <w:panose1 w:val="020B0504030602030204"/>
    <w:charset w:val="00"/>
    <w:family w:val="auto"/>
    <w:pitch w:val="default"/>
    <w:sig w:usb0="E00002FF" w:usb1="5000205B" w:usb2="00000000" w:usb3="00000000" w:csb0="2000009F" w:csb1="56010000"/>
  </w:font>
  <w:font w:name="FZSJ-FANGSJT">
    <w:altName w:val="Noto Serif CJK JP"/>
    <w:panose1 w:val="02000000000000000000"/>
    <w:charset w:val="86"/>
    <w:family w:val="auto"/>
    <w:pitch w:val="default"/>
    <w:sig w:usb0="00000000" w:usb1="00000000" w:usb2="00000012" w:usb3="00000000" w:csb0="00040001" w:csb1="00000000"/>
  </w:font>
  <w:font w:name="Noto Serif CJK JP">
    <w:panose1 w:val="02020400000000000000"/>
    <w:charset w:val="86"/>
    <w:family w:val="auto"/>
    <w:pitch w:val="default"/>
    <w:sig w:usb0="30000083" w:usb1="2BDF3C10" w:usb2="00000016" w:usb3="00000000" w:csb0="602E0107" w:csb1="00000000"/>
  </w:font>
  <w:font w:name="FangSong">
    <w:panose1 w:val="02010609060101010101"/>
    <w:charset w:val="86"/>
    <w:family w:val="modern"/>
    <w:pitch w:val="default"/>
    <w:sig w:usb0="800002BF" w:usb1="38CF7CFA" w:usb2="00000016" w:usb3="00000000" w:csb0="00040001" w:csb1="00000000"/>
  </w:font>
  <w:font w:name="Segoe UI">
    <w:altName w:val="Noto Naskh Arabic"/>
    <w:panose1 w:val="020B0502040204020203"/>
    <w:charset w:val="00"/>
    <w:family w:val="auto"/>
    <w:pitch w:val="default"/>
    <w:sig w:usb0="00000000" w:usb1="00000000" w:usb2="00000009" w:usb3="00000000" w:csb0="200001FF" w:csb1="00000000"/>
  </w:font>
  <w:font w:name="Noto Naskh Arabic">
    <w:panose1 w:val="020B0502040504020204"/>
    <w:charset w:val="00"/>
    <w:family w:val="auto"/>
    <w:pitch w:val="default"/>
    <w:sig w:usb0="00002000" w:usb1="80000000" w:usb2="00000008" w:usb3="00000000" w:csb0="00000041" w:csb1="00080000"/>
  </w:font>
  <w:font w:name="FZXiaoBiaoSong-B05">
    <w:panose1 w:val="02000000000000000000"/>
    <w:charset w:val="86"/>
    <w:family w:val="script"/>
    <w:pitch w:val="default"/>
    <w:sig w:usb0="00000001" w:usb1="08000000" w:usb2="00000000" w:usb3="00000000" w:csb0="00040000" w:csb1="00000000"/>
  </w:font>
  <w:font w:name="FZSJ-FANGSGBTTOT">
    <w:altName w:val="Noto Serif CJK JP"/>
    <w:panose1 w:val="02000000000000000000"/>
    <w:charset w:val="86"/>
    <w:family w:val="auto"/>
    <w:pitch w:val="default"/>
    <w:sig w:usb0="00000000" w:usb1="00000000" w:usb2="00000012" w:usb3="00000000" w:csb0="00040001" w:csb1="00000000"/>
  </w:font>
  <w:font w:name="Arial">
    <w:altName w:val="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79E02">
    <w:pPr>
      <w:pStyle w:val="13"/>
      <w:spacing w:line="240" w:lineRule="auto"/>
      <w:ind w:firstLine="560"/>
      <w:jc w:val="right"/>
    </w:pPr>
    <w:r>
      <w:rPr>
        <w:rFonts w:ascii="Times New Roman" w:hAnsi="Times New Roman" w:cs="Times New Roman"/>
        <w:kern w:val="0"/>
        <w:sz w:val="28"/>
        <w:szCs w:val="28"/>
      </w:rPr>
      <w:t xml:space="preserve">— </w:t>
    </w:r>
    <w:r>
      <w:rPr>
        <w:rFonts w:ascii="Times New Roman" w:hAnsi="Times New Roman" w:cs="Times New Roman"/>
        <w:kern w:val="0"/>
        <w:sz w:val="28"/>
        <w:szCs w:val="28"/>
      </w:rPr>
      <w:fldChar w:fldCharType="begin"/>
    </w:r>
    <w:r>
      <w:rPr>
        <w:rFonts w:ascii="Times New Roman" w:hAnsi="Times New Roman" w:cs="Times New Roman"/>
        <w:kern w:val="0"/>
        <w:sz w:val="28"/>
        <w:szCs w:val="28"/>
      </w:rPr>
      <w:instrText xml:space="preserve"> PAGE </w:instrText>
    </w:r>
    <w:r>
      <w:rPr>
        <w:rFonts w:ascii="Times New Roman" w:hAnsi="Times New Roman" w:cs="Times New Roman"/>
        <w:kern w:val="0"/>
        <w:sz w:val="28"/>
        <w:szCs w:val="28"/>
      </w:rPr>
      <w:fldChar w:fldCharType="separate"/>
    </w:r>
    <w:r>
      <w:rPr>
        <w:rFonts w:ascii="Times New Roman" w:hAnsi="Times New Roman" w:cs="Times New Roman"/>
        <w:kern w:val="0"/>
        <w:sz w:val="28"/>
        <w:szCs w:val="28"/>
      </w:rPr>
      <w:t>5</w:t>
    </w:r>
    <w:r>
      <w:rPr>
        <w:rFonts w:ascii="Times New Roman" w:hAnsi="Times New Roman" w:cs="Times New Roman"/>
        <w:kern w:val="0"/>
        <w:sz w:val="28"/>
        <w:szCs w:val="28"/>
      </w:rPr>
      <w:fldChar w:fldCharType="end"/>
    </w:r>
    <w:r>
      <w:rPr>
        <w:rFonts w:ascii="Times New Roman" w:hAnsi="Times New Roman" w:cs="Times New Roman"/>
        <w:kern w:val="0"/>
        <w:sz w:val="28"/>
        <w:szCs w:val="28"/>
      </w:rPr>
      <w:t xml:space="preserve"> —</w:t>
    </w:r>
    <w:r>
      <w:rPr>
        <w:rFonts w:hint="eastAsia" w:ascii="Times New Roman" w:hAnsi="Times New Roman" w:cs="Times New Roman"/>
        <w:kern w:val="0"/>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B9900">
    <w:pPr>
      <w:pStyle w:val="13"/>
      <w:spacing w:line="240" w:lineRule="auto"/>
      <w:ind w:firstLine="0" w:firstLineChars="0"/>
    </w:pPr>
    <w:r>
      <w:rPr>
        <w:rFonts w:hint="eastAsia"/>
      </w:rPr>
      <w:t xml:space="preserve">  </w:t>
    </w:r>
    <w:r>
      <w:rPr>
        <w:rFonts w:ascii="Times New Roman" w:hAnsi="Times New Roman" w:cs="Times New Roman"/>
        <w:kern w:val="0"/>
        <w:sz w:val="28"/>
        <w:szCs w:val="28"/>
      </w:rPr>
      <w:t xml:space="preserve">— </w:t>
    </w:r>
    <w:r>
      <w:rPr>
        <w:rFonts w:ascii="Times New Roman" w:hAnsi="Times New Roman" w:cs="Times New Roman"/>
        <w:kern w:val="0"/>
        <w:sz w:val="28"/>
        <w:szCs w:val="28"/>
      </w:rPr>
      <w:fldChar w:fldCharType="begin"/>
    </w:r>
    <w:r>
      <w:rPr>
        <w:rFonts w:ascii="Times New Roman" w:hAnsi="Times New Roman" w:cs="Times New Roman"/>
        <w:kern w:val="0"/>
        <w:sz w:val="28"/>
        <w:szCs w:val="28"/>
      </w:rPr>
      <w:instrText xml:space="preserve"> PAGE </w:instrText>
    </w:r>
    <w:r>
      <w:rPr>
        <w:rFonts w:ascii="Times New Roman" w:hAnsi="Times New Roman" w:cs="Times New Roman"/>
        <w:kern w:val="0"/>
        <w:sz w:val="28"/>
        <w:szCs w:val="28"/>
      </w:rPr>
      <w:fldChar w:fldCharType="separate"/>
    </w:r>
    <w:r>
      <w:rPr>
        <w:rFonts w:ascii="Times New Roman" w:hAnsi="Times New Roman" w:cs="Times New Roman"/>
        <w:kern w:val="0"/>
        <w:sz w:val="28"/>
        <w:szCs w:val="28"/>
      </w:rPr>
      <w:t>6</w:t>
    </w:r>
    <w:r>
      <w:rPr>
        <w:rFonts w:ascii="Times New Roman" w:hAnsi="Times New Roman" w:cs="Times New Roman"/>
        <w:kern w:val="0"/>
        <w:sz w:val="28"/>
        <w:szCs w:val="28"/>
      </w:rPr>
      <w:fldChar w:fldCharType="end"/>
    </w:r>
    <w:r>
      <w:rPr>
        <w:rFonts w:ascii="Times New Roman" w:hAnsi="Times New Roman" w:cs="Times New Roman"/>
        <w:kern w:val="0"/>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7162A">
    <w:pPr>
      <w:pStyle w:val="13"/>
      <w:spacing w:line="240" w:lineRule="auto"/>
      <w:ind w:right="480" w:rightChars="150" w:firstLine="0" w:firstLineChars="0"/>
      <w:jc w:val="right"/>
      <w:rPr>
        <w:sz w:val="28"/>
        <w:szCs w:val="28"/>
      </w:rPr>
    </w:pPr>
    <w:r>
      <w:rPr>
        <w:rFonts w:hint="eastAsia"/>
        <w:sz w:val="28"/>
        <w:szCs w:val="28"/>
      </w:rPr>
      <w:t xml:space="preserve">  </w:t>
    </w:r>
    <w:r>
      <w:rPr>
        <w:rFonts w:ascii="Times New Roman" w:hAnsi="Times New Roman" w:cs="Times New Roman"/>
        <w:kern w:val="0"/>
        <w:sz w:val="28"/>
        <w:szCs w:val="28"/>
      </w:rPr>
      <w:t xml:space="preserve">— </w:t>
    </w:r>
    <w:r>
      <w:rPr>
        <w:rFonts w:ascii="Times New Roman" w:hAnsi="Times New Roman" w:cs="Times New Roman"/>
        <w:kern w:val="0"/>
        <w:sz w:val="28"/>
        <w:szCs w:val="28"/>
      </w:rPr>
      <w:fldChar w:fldCharType="begin"/>
    </w:r>
    <w:r>
      <w:rPr>
        <w:rFonts w:ascii="Times New Roman" w:hAnsi="Times New Roman" w:cs="Times New Roman"/>
        <w:kern w:val="0"/>
        <w:sz w:val="28"/>
        <w:szCs w:val="28"/>
      </w:rPr>
      <w:instrText xml:space="preserve"> PAGE </w:instrText>
    </w:r>
    <w:r>
      <w:rPr>
        <w:rFonts w:ascii="Times New Roman" w:hAnsi="Times New Roman" w:cs="Times New Roman"/>
        <w:kern w:val="0"/>
        <w:sz w:val="28"/>
        <w:szCs w:val="28"/>
      </w:rPr>
      <w:fldChar w:fldCharType="separate"/>
    </w:r>
    <w:r>
      <w:rPr>
        <w:rFonts w:ascii="Times New Roman" w:hAnsi="Times New Roman" w:cs="Times New Roman"/>
        <w:kern w:val="0"/>
        <w:sz w:val="28"/>
        <w:szCs w:val="28"/>
      </w:rPr>
      <w:t>19</w:t>
    </w:r>
    <w:r>
      <w:rPr>
        <w:rFonts w:ascii="Times New Roman" w:hAnsi="Times New Roman" w:cs="Times New Roman"/>
        <w:kern w:val="0"/>
        <w:sz w:val="28"/>
        <w:szCs w:val="28"/>
      </w:rPr>
      <w:fldChar w:fldCharType="end"/>
    </w:r>
    <w:r>
      <w:rPr>
        <w:rFonts w:ascii="Times New Roman" w:hAnsi="Times New Roman" w:cs="Times New Roman"/>
        <w:kern w:val="0"/>
        <w:sz w:val="28"/>
        <w:szCs w:val="28"/>
      </w:rPr>
      <w:t xml:space="preserve"> —</w:t>
    </w:r>
    <w:r>
      <w:rPr>
        <w:rFonts w:hint="eastAsia" w:ascii="Times New Roman" w:hAnsi="Times New Roman" w:cs="Times New Roman"/>
        <w:kern w:val="0"/>
        <w:sz w:val="28"/>
        <w:szCs w:val="28"/>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53F14">
    <w:pPr>
      <w:pStyle w:val="13"/>
      <w:spacing w:line="240" w:lineRule="auto"/>
      <w:ind w:firstLine="0" w:firstLineChars="0"/>
    </w:pPr>
    <w:r>
      <w:rPr>
        <w:rFonts w:hint="eastAsia"/>
      </w:rPr>
      <w:t xml:space="preserve">  </w:t>
    </w:r>
    <w:r>
      <w:rPr>
        <w:rFonts w:ascii="Times New Roman" w:hAnsi="Times New Roman" w:cs="Times New Roman"/>
        <w:kern w:val="0"/>
        <w:sz w:val="28"/>
        <w:szCs w:val="28"/>
      </w:rPr>
      <w:t xml:space="preserve">— </w:t>
    </w:r>
    <w:r>
      <w:rPr>
        <w:rFonts w:ascii="Times New Roman" w:hAnsi="Times New Roman" w:cs="Times New Roman"/>
        <w:kern w:val="0"/>
        <w:sz w:val="28"/>
        <w:szCs w:val="28"/>
      </w:rPr>
      <w:fldChar w:fldCharType="begin"/>
    </w:r>
    <w:r>
      <w:rPr>
        <w:rFonts w:ascii="Times New Roman" w:hAnsi="Times New Roman" w:cs="Times New Roman"/>
        <w:kern w:val="0"/>
        <w:sz w:val="28"/>
        <w:szCs w:val="28"/>
      </w:rPr>
      <w:instrText xml:space="preserve"> PAGE </w:instrText>
    </w:r>
    <w:r>
      <w:rPr>
        <w:rFonts w:ascii="Times New Roman" w:hAnsi="Times New Roman" w:cs="Times New Roman"/>
        <w:kern w:val="0"/>
        <w:sz w:val="28"/>
        <w:szCs w:val="28"/>
      </w:rPr>
      <w:fldChar w:fldCharType="separate"/>
    </w:r>
    <w:r>
      <w:rPr>
        <w:rFonts w:ascii="Times New Roman" w:hAnsi="Times New Roman" w:cs="Times New Roman"/>
        <w:kern w:val="0"/>
        <w:sz w:val="28"/>
        <w:szCs w:val="28"/>
      </w:rPr>
      <w:t>20</w:t>
    </w:r>
    <w:r>
      <w:rPr>
        <w:rFonts w:ascii="Times New Roman" w:hAnsi="Times New Roman" w:cs="Times New Roman"/>
        <w:kern w:val="0"/>
        <w:sz w:val="28"/>
        <w:szCs w:val="28"/>
      </w:rPr>
      <w:fldChar w:fldCharType="end"/>
    </w:r>
    <w:r>
      <w:rPr>
        <w:rFonts w:ascii="Times New Roman" w:hAnsi="Times New Roman" w:cs="Times New Roman"/>
        <w:kern w:val="0"/>
        <w:sz w:val="28"/>
        <w:szCs w:val="2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4135E">
    <w:pPr>
      <w:pStyle w:val="13"/>
      <w:spacing w:line="240" w:lineRule="auto"/>
      <w:ind w:right="480" w:rightChars="150" w:firstLine="0" w:firstLineChars="0"/>
      <w:jc w:val="center"/>
      <w:rPr>
        <w:sz w:val="28"/>
        <w:szCs w:val="28"/>
      </w:rPr>
    </w:pPr>
    <w:r>
      <w:rPr>
        <w:rFonts w:ascii="Times New Roman" w:hAnsi="Times New Roman" w:cs="Times New Roman"/>
        <w:kern w:val="0"/>
        <w:sz w:val="28"/>
        <w:szCs w:val="28"/>
      </w:rPr>
      <w:t xml:space="preserve">— </w:t>
    </w:r>
    <w:r>
      <w:rPr>
        <w:rFonts w:ascii="Times New Roman" w:hAnsi="Times New Roman" w:cs="Times New Roman"/>
        <w:kern w:val="0"/>
        <w:sz w:val="28"/>
        <w:szCs w:val="28"/>
      </w:rPr>
      <w:fldChar w:fldCharType="begin"/>
    </w:r>
    <w:r>
      <w:rPr>
        <w:rFonts w:ascii="Times New Roman" w:hAnsi="Times New Roman" w:cs="Times New Roman"/>
        <w:kern w:val="0"/>
        <w:sz w:val="28"/>
        <w:szCs w:val="28"/>
      </w:rPr>
      <w:instrText xml:space="preserve"> PAGE </w:instrText>
    </w:r>
    <w:r>
      <w:rPr>
        <w:rFonts w:ascii="Times New Roman" w:hAnsi="Times New Roman" w:cs="Times New Roman"/>
        <w:kern w:val="0"/>
        <w:sz w:val="28"/>
        <w:szCs w:val="28"/>
      </w:rPr>
      <w:fldChar w:fldCharType="separate"/>
    </w:r>
    <w:r>
      <w:rPr>
        <w:rFonts w:ascii="Times New Roman" w:hAnsi="Times New Roman" w:cs="Times New Roman"/>
        <w:kern w:val="0"/>
        <w:sz w:val="28"/>
        <w:szCs w:val="28"/>
      </w:rPr>
      <w:t>33</w:t>
    </w:r>
    <w:r>
      <w:rPr>
        <w:rFonts w:ascii="Times New Roman" w:hAnsi="Times New Roman" w:cs="Times New Roman"/>
        <w:kern w:val="0"/>
        <w:sz w:val="28"/>
        <w:szCs w:val="28"/>
      </w:rPr>
      <w:fldChar w:fldCharType="end"/>
    </w:r>
    <w:r>
      <w:rPr>
        <w:rFonts w:ascii="Times New Roman" w:hAnsi="Times New Roman" w:cs="Times New Roman"/>
        <w:kern w:val="0"/>
        <w:sz w:val="28"/>
        <w:szCs w:val="28"/>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C10ED">
    <w:pPr>
      <w:pStyle w:val="13"/>
      <w:spacing w:line="240" w:lineRule="auto"/>
      <w:ind w:firstLine="560" w:firstLineChars="0"/>
      <w:jc w:val="center"/>
    </w:pPr>
    <w:r>
      <w:rPr>
        <w:rFonts w:ascii="Times New Roman" w:hAnsi="Times New Roman" w:cs="Times New Roman"/>
        <w:kern w:val="0"/>
        <w:sz w:val="28"/>
        <w:szCs w:val="28"/>
      </w:rPr>
      <w:t xml:space="preserve">— </w:t>
    </w:r>
    <w:r>
      <w:rPr>
        <w:rFonts w:ascii="Times New Roman" w:hAnsi="Times New Roman" w:cs="Times New Roman"/>
        <w:kern w:val="0"/>
        <w:sz w:val="28"/>
        <w:szCs w:val="28"/>
      </w:rPr>
      <w:fldChar w:fldCharType="begin"/>
    </w:r>
    <w:r>
      <w:rPr>
        <w:rFonts w:ascii="Times New Roman" w:hAnsi="Times New Roman" w:cs="Times New Roman"/>
        <w:kern w:val="0"/>
        <w:sz w:val="28"/>
        <w:szCs w:val="28"/>
      </w:rPr>
      <w:instrText xml:space="preserve"> PAGE </w:instrText>
    </w:r>
    <w:r>
      <w:rPr>
        <w:rFonts w:ascii="Times New Roman" w:hAnsi="Times New Roman" w:cs="Times New Roman"/>
        <w:kern w:val="0"/>
        <w:sz w:val="28"/>
        <w:szCs w:val="28"/>
      </w:rPr>
      <w:fldChar w:fldCharType="separate"/>
    </w:r>
    <w:r>
      <w:rPr>
        <w:rFonts w:ascii="Times New Roman" w:hAnsi="Times New Roman" w:cs="Times New Roman"/>
        <w:kern w:val="0"/>
        <w:sz w:val="28"/>
        <w:szCs w:val="28"/>
      </w:rPr>
      <w:t>34</w:t>
    </w:r>
    <w:r>
      <w:rPr>
        <w:rFonts w:ascii="Times New Roman" w:hAnsi="Times New Roman" w:cs="Times New Roman"/>
        <w:kern w:val="0"/>
        <w:sz w:val="28"/>
        <w:szCs w:val="28"/>
      </w:rPr>
      <w:fldChar w:fldCharType="end"/>
    </w:r>
    <w:r>
      <w:rPr>
        <w:rFonts w:ascii="Times New Roman" w:hAnsi="Times New Roman" w:cs="Times New Roman"/>
        <w:kern w:val="0"/>
        <w:sz w:val="28"/>
        <w:szCs w:val="28"/>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18BB1">
    <w:pPr>
      <w:pStyle w:val="13"/>
      <w:spacing w:line="240" w:lineRule="auto"/>
      <w:ind w:left="320" w:leftChars="100" w:right="320" w:rightChars="100" w:firstLine="0" w:firstLineChars="0"/>
      <w:jc w:val="right"/>
      <w:rPr>
        <w:rFonts w:eastAsia="宋体"/>
        <w:sz w:val="28"/>
        <w:szCs w:val="28"/>
      </w:rPr>
    </w:pPr>
    <w:r>
      <w:rPr>
        <w:rFonts w:ascii="Times New Roman" w:hAnsi="Times New Roman" w:cs="Times New Roman"/>
        <w:kern w:val="0"/>
        <w:sz w:val="28"/>
        <w:szCs w:val="28"/>
      </w:rPr>
      <w:t xml:space="preserve">— </w:t>
    </w:r>
    <w:r>
      <w:rPr>
        <w:rFonts w:ascii="Times New Roman" w:hAnsi="Times New Roman" w:cs="Times New Roman"/>
        <w:kern w:val="0"/>
        <w:sz w:val="28"/>
        <w:szCs w:val="28"/>
      </w:rPr>
      <w:fldChar w:fldCharType="begin"/>
    </w:r>
    <w:r>
      <w:rPr>
        <w:rFonts w:ascii="Times New Roman" w:hAnsi="Times New Roman" w:cs="Times New Roman"/>
        <w:kern w:val="0"/>
        <w:sz w:val="28"/>
        <w:szCs w:val="28"/>
      </w:rPr>
      <w:instrText xml:space="preserve"> PAGE </w:instrText>
    </w:r>
    <w:r>
      <w:rPr>
        <w:rFonts w:ascii="Times New Roman" w:hAnsi="Times New Roman" w:cs="Times New Roman"/>
        <w:kern w:val="0"/>
        <w:sz w:val="28"/>
        <w:szCs w:val="28"/>
      </w:rPr>
      <w:fldChar w:fldCharType="separate"/>
    </w:r>
    <w:r>
      <w:rPr>
        <w:rFonts w:ascii="Times New Roman" w:hAnsi="Times New Roman" w:cs="Times New Roman"/>
        <w:kern w:val="0"/>
        <w:sz w:val="28"/>
        <w:szCs w:val="28"/>
      </w:rPr>
      <w:t>34</w:t>
    </w:r>
    <w:r>
      <w:rPr>
        <w:rFonts w:ascii="Times New Roman" w:hAnsi="Times New Roman" w:cs="Times New Roman"/>
        <w:kern w:val="0"/>
        <w:sz w:val="28"/>
        <w:szCs w:val="28"/>
      </w:rPr>
      <w:fldChar w:fldCharType="end"/>
    </w:r>
    <w:r>
      <w:rPr>
        <w:rFonts w:ascii="Times New Roman" w:hAnsi="Times New Roman" w:cs="Times New Roman"/>
        <w:kern w:val="0"/>
        <w:sz w:val="28"/>
        <w:szCs w:val="28"/>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50047">
    <w:pPr>
      <w:pStyle w:val="13"/>
      <w:spacing w:line="240" w:lineRule="auto"/>
      <w:ind w:left="320" w:leftChars="100" w:right="320" w:rightChars="100" w:firstLine="0" w:firstLineChars="0"/>
      <w:jc w:val="left"/>
    </w:pPr>
    <w:r>
      <w:rPr>
        <w:rFonts w:ascii="Times New Roman" w:hAnsi="Times New Roman" w:cs="Times New Roman"/>
        <w:kern w:val="0"/>
        <w:sz w:val="28"/>
        <w:szCs w:val="28"/>
      </w:rPr>
      <w:t xml:space="preserve">— </w:t>
    </w:r>
    <w:r>
      <w:rPr>
        <w:rFonts w:ascii="Times New Roman" w:hAnsi="Times New Roman" w:cs="Times New Roman"/>
        <w:kern w:val="0"/>
        <w:sz w:val="28"/>
        <w:szCs w:val="28"/>
      </w:rPr>
      <w:fldChar w:fldCharType="begin"/>
    </w:r>
    <w:r>
      <w:rPr>
        <w:rFonts w:ascii="Times New Roman" w:hAnsi="Times New Roman" w:cs="Times New Roman"/>
        <w:kern w:val="0"/>
        <w:sz w:val="28"/>
        <w:szCs w:val="28"/>
      </w:rPr>
      <w:instrText xml:space="preserve"> PAGE </w:instrText>
    </w:r>
    <w:r>
      <w:rPr>
        <w:rFonts w:ascii="Times New Roman" w:hAnsi="Times New Roman" w:cs="Times New Roman"/>
        <w:kern w:val="0"/>
        <w:sz w:val="28"/>
        <w:szCs w:val="28"/>
      </w:rPr>
      <w:fldChar w:fldCharType="separate"/>
    </w:r>
    <w:r>
      <w:rPr>
        <w:rFonts w:ascii="Times New Roman" w:hAnsi="Times New Roman" w:cs="Times New Roman"/>
        <w:kern w:val="0"/>
        <w:sz w:val="28"/>
        <w:szCs w:val="28"/>
      </w:rPr>
      <w:t>34</w:t>
    </w:r>
    <w:r>
      <w:rPr>
        <w:rFonts w:ascii="Times New Roman" w:hAnsi="Times New Roman" w:cs="Times New Roman"/>
        <w:kern w:val="0"/>
        <w:sz w:val="28"/>
        <w:szCs w:val="28"/>
      </w:rPr>
      <w:fldChar w:fldCharType="end"/>
    </w:r>
    <w:r>
      <w:rPr>
        <w:rFonts w:ascii="Times New Roman" w:hAnsi="Times New Roman" w:cs="Times New Roman"/>
        <w:kern w:val="0"/>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69FA5">
    <w:pPr>
      <w:pStyle w:val="1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6D8F3">
    <w:pPr>
      <w:pStyle w:val="1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26915">
    <w:pPr>
      <w:pStyle w:val="1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hideSpellingErrors/>
  <w:trackRevisions w:val="1"/>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4NWU1MDdlYzgyODhjMWM0Yjg4YTU2OTIxYmQyY2EifQ=="/>
  </w:docVars>
  <w:rsids>
    <w:rsidRoot w:val="00172A27"/>
    <w:rsid w:val="000156BE"/>
    <w:rsid w:val="000246C0"/>
    <w:rsid w:val="00035427"/>
    <w:rsid w:val="0003630E"/>
    <w:rsid w:val="0004638F"/>
    <w:rsid w:val="000610C9"/>
    <w:rsid w:val="00072881"/>
    <w:rsid w:val="0007538B"/>
    <w:rsid w:val="00076509"/>
    <w:rsid w:val="0007669B"/>
    <w:rsid w:val="00087529"/>
    <w:rsid w:val="000902B1"/>
    <w:rsid w:val="0009075B"/>
    <w:rsid w:val="00093C3C"/>
    <w:rsid w:val="000A47FA"/>
    <w:rsid w:val="000A5525"/>
    <w:rsid w:val="000A61C3"/>
    <w:rsid w:val="000C13A1"/>
    <w:rsid w:val="000D42A4"/>
    <w:rsid w:val="000E0747"/>
    <w:rsid w:val="000E2B0C"/>
    <w:rsid w:val="000E5C07"/>
    <w:rsid w:val="000F1A19"/>
    <w:rsid w:val="000F2725"/>
    <w:rsid w:val="00104AC3"/>
    <w:rsid w:val="00105274"/>
    <w:rsid w:val="00107221"/>
    <w:rsid w:val="00113574"/>
    <w:rsid w:val="00115C63"/>
    <w:rsid w:val="001230E2"/>
    <w:rsid w:val="0012619C"/>
    <w:rsid w:val="001464CD"/>
    <w:rsid w:val="00161B56"/>
    <w:rsid w:val="00167CC9"/>
    <w:rsid w:val="00172A27"/>
    <w:rsid w:val="00187576"/>
    <w:rsid w:val="001A029C"/>
    <w:rsid w:val="001A088F"/>
    <w:rsid w:val="001A7070"/>
    <w:rsid w:val="001A72F0"/>
    <w:rsid w:val="001B223C"/>
    <w:rsid w:val="001B282B"/>
    <w:rsid w:val="001B2F17"/>
    <w:rsid w:val="001B6F79"/>
    <w:rsid w:val="001C272C"/>
    <w:rsid w:val="001C4150"/>
    <w:rsid w:val="001D2FBB"/>
    <w:rsid w:val="001D5FB4"/>
    <w:rsid w:val="001D6F10"/>
    <w:rsid w:val="001E0B0C"/>
    <w:rsid w:val="001E1A3C"/>
    <w:rsid w:val="001F06BC"/>
    <w:rsid w:val="001F5EA3"/>
    <w:rsid w:val="00201117"/>
    <w:rsid w:val="002154BA"/>
    <w:rsid w:val="002158B5"/>
    <w:rsid w:val="00216CA7"/>
    <w:rsid w:val="0022641B"/>
    <w:rsid w:val="00233AAB"/>
    <w:rsid w:val="00236BB2"/>
    <w:rsid w:val="0025465D"/>
    <w:rsid w:val="00254EBF"/>
    <w:rsid w:val="00261290"/>
    <w:rsid w:val="002614C1"/>
    <w:rsid w:val="00267AE2"/>
    <w:rsid w:val="00270BE1"/>
    <w:rsid w:val="00271FCA"/>
    <w:rsid w:val="00273366"/>
    <w:rsid w:val="0027386B"/>
    <w:rsid w:val="00285FA3"/>
    <w:rsid w:val="00287093"/>
    <w:rsid w:val="002A2580"/>
    <w:rsid w:val="002C3475"/>
    <w:rsid w:val="002C4449"/>
    <w:rsid w:val="002C61F7"/>
    <w:rsid w:val="002D20D0"/>
    <w:rsid w:val="002D48A5"/>
    <w:rsid w:val="002E214A"/>
    <w:rsid w:val="002E251D"/>
    <w:rsid w:val="002E4A36"/>
    <w:rsid w:val="002F0512"/>
    <w:rsid w:val="00304972"/>
    <w:rsid w:val="00305F8F"/>
    <w:rsid w:val="00307F6F"/>
    <w:rsid w:val="0031656D"/>
    <w:rsid w:val="0032147F"/>
    <w:rsid w:val="00324042"/>
    <w:rsid w:val="0033679B"/>
    <w:rsid w:val="0034384F"/>
    <w:rsid w:val="00346283"/>
    <w:rsid w:val="00346CBC"/>
    <w:rsid w:val="00363C4E"/>
    <w:rsid w:val="00364E01"/>
    <w:rsid w:val="00365E3E"/>
    <w:rsid w:val="00367FBD"/>
    <w:rsid w:val="003706A2"/>
    <w:rsid w:val="00374155"/>
    <w:rsid w:val="00374CD9"/>
    <w:rsid w:val="003822CE"/>
    <w:rsid w:val="00395248"/>
    <w:rsid w:val="003A1B81"/>
    <w:rsid w:val="003A5F01"/>
    <w:rsid w:val="003A6B41"/>
    <w:rsid w:val="003B3791"/>
    <w:rsid w:val="003C310D"/>
    <w:rsid w:val="003D206A"/>
    <w:rsid w:val="003D56C7"/>
    <w:rsid w:val="003E316B"/>
    <w:rsid w:val="003E47F3"/>
    <w:rsid w:val="003F30A3"/>
    <w:rsid w:val="003F7E30"/>
    <w:rsid w:val="00406C22"/>
    <w:rsid w:val="00421312"/>
    <w:rsid w:val="004225DB"/>
    <w:rsid w:val="00425CB1"/>
    <w:rsid w:val="00433194"/>
    <w:rsid w:val="004441AA"/>
    <w:rsid w:val="004458F3"/>
    <w:rsid w:val="00452FBA"/>
    <w:rsid w:val="00454F79"/>
    <w:rsid w:val="0045601D"/>
    <w:rsid w:val="0046550B"/>
    <w:rsid w:val="00473FC5"/>
    <w:rsid w:val="0047518E"/>
    <w:rsid w:val="00475661"/>
    <w:rsid w:val="004840E4"/>
    <w:rsid w:val="00490BB0"/>
    <w:rsid w:val="00491DA9"/>
    <w:rsid w:val="004A316F"/>
    <w:rsid w:val="004A7D54"/>
    <w:rsid w:val="004B3511"/>
    <w:rsid w:val="004C0DA0"/>
    <w:rsid w:val="004C52DC"/>
    <w:rsid w:val="005033B7"/>
    <w:rsid w:val="00505A30"/>
    <w:rsid w:val="00510678"/>
    <w:rsid w:val="00511E77"/>
    <w:rsid w:val="00512F5C"/>
    <w:rsid w:val="00515D71"/>
    <w:rsid w:val="005225AD"/>
    <w:rsid w:val="00531397"/>
    <w:rsid w:val="00535E7A"/>
    <w:rsid w:val="00543E9F"/>
    <w:rsid w:val="00547191"/>
    <w:rsid w:val="00555778"/>
    <w:rsid w:val="0056076F"/>
    <w:rsid w:val="00563598"/>
    <w:rsid w:val="00566C0B"/>
    <w:rsid w:val="00570358"/>
    <w:rsid w:val="0057138A"/>
    <w:rsid w:val="00584B57"/>
    <w:rsid w:val="00596836"/>
    <w:rsid w:val="005A3505"/>
    <w:rsid w:val="005A77C8"/>
    <w:rsid w:val="005B37F6"/>
    <w:rsid w:val="005B6534"/>
    <w:rsid w:val="005C088A"/>
    <w:rsid w:val="005C099C"/>
    <w:rsid w:val="005C1DC4"/>
    <w:rsid w:val="005C6ADC"/>
    <w:rsid w:val="005C728A"/>
    <w:rsid w:val="005D047D"/>
    <w:rsid w:val="005D7AFC"/>
    <w:rsid w:val="005F6978"/>
    <w:rsid w:val="00612B0F"/>
    <w:rsid w:val="0062247C"/>
    <w:rsid w:val="00627289"/>
    <w:rsid w:val="00627396"/>
    <w:rsid w:val="00642825"/>
    <w:rsid w:val="006439E9"/>
    <w:rsid w:val="00650AA7"/>
    <w:rsid w:val="00652EB7"/>
    <w:rsid w:val="00662634"/>
    <w:rsid w:val="0066319E"/>
    <w:rsid w:val="006642C0"/>
    <w:rsid w:val="0067201C"/>
    <w:rsid w:val="0067212B"/>
    <w:rsid w:val="00672C47"/>
    <w:rsid w:val="00676378"/>
    <w:rsid w:val="00690D3B"/>
    <w:rsid w:val="00693C26"/>
    <w:rsid w:val="0069524A"/>
    <w:rsid w:val="006A6B58"/>
    <w:rsid w:val="006C3AB9"/>
    <w:rsid w:val="006C3F62"/>
    <w:rsid w:val="006C5735"/>
    <w:rsid w:val="006D15E0"/>
    <w:rsid w:val="006D478F"/>
    <w:rsid w:val="006E05BE"/>
    <w:rsid w:val="006E5218"/>
    <w:rsid w:val="006E7C0E"/>
    <w:rsid w:val="006F0E61"/>
    <w:rsid w:val="006F1B32"/>
    <w:rsid w:val="006F2256"/>
    <w:rsid w:val="006F46DB"/>
    <w:rsid w:val="006F5BA0"/>
    <w:rsid w:val="006F7A2C"/>
    <w:rsid w:val="007156E4"/>
    <w:rsid w:val="00715A62"/>
    <w:rsid w:val="0071758A"/>
    <w:rsid w:val="007208F5"/>
    <w:rsid w:val="00720E35"/>
    <w:rsid w:val="00732737"/>
    <w:rsid w:val="00740221"/>
    <w:rsid w:val="00741810"/>
    <w:rsid w:val="007642F8"/>
    <w:rsid w:val="0076675F"/>
    <w:rsid w:val="00776378"/>
    <w:rsid w:val="0079072C"/>
    <w:rsid w:val="007A5616"/>
    <w:rsid w:val="007C5A93"/>
    <w:rsid w:val="007C7264"/>
    <w:rsid w:val="007D7E35"/>
    <w:rsid w:val="007E243B"/>
    <w:rsid w:val="007F017E"/>
    <w:rsid w:val="007F44A5"/>
    <w:rsid w:val="00800285"/>
    <w:rsid w:val="00802620"/>
    <w:rsid w:val="00806184"/>
    <w:rsid w:val="008061BC"/>
    <w:rsid w:val="0081229A"/>
    <w:rsid w:val="00812543"/>
    <w:rsid w:val="00815110"/>
    <w:rsid w:val="0081736D"/>
    <w:rsid w:val="00851237"/>
    <w:rsid w:val="00851BF6"/>
    <w:rsid w:val="00854971"/>
    <w:rsid w:val="008556A9"/>
    <w:rsid w:val="0086109C"/>
    <w:rsid w:val="008640D0"/>
    <w:rsid w:val="00874B90"/>
    <w:rsid w:val="0087554D"/>
    <w:rsid w:val="0087789B"/>
    <w:rsid w:val="0088515E"/>
    <w:rsid w:val="00885BD2"/>
    <w:rsid w:val="00886018"/>
    <w:rsid w:val="00890D40"/>
    <w:rsid w:val="008942B2"/>
    <w:rsid w:val="00894E84"/>
    <w:rsid w:val="008A5B25"/>
    <w:rsid w:val="008A7896"/>
    <w:rsid w:val="008B37B1"/>
    <w:rsid w:val="008C26BB"/>
    <w:rsid w:val="008F61D7"/>
    <w:rsid w:val="008F6EB2"/>
    <w:rsid w:val="00904A8F"/>
    <w:rsid w:val="0091280B"/>
    <w:rsid w:val="00913039"/>
    <w:rsid w:val="00921A78"/>
    <w:rsid w:val="00923F5E"/>
    <w:rsid w:val="009303E5"/>
    <w:rsid w:val="00937BFD"/>
    <w:rsid w:val="00964B62"/>
    <w:rsid w:val="00965DC5"/>
    <w:rsid w:val="00970A88"/>
    <w:rsid w:val="009730E2"/>
    <w:rsid w:val="0097430C"/>
    <w:rsid w:val="00983FE9"/>
    <w:rsid w:val="00993321"/>
    <w:rsid w:val="009933AC"/>
    <w:rsid w:val="009A453A"/>
    <w:rsid w:val="009C2ADD"/>
    <w:rsid w:val="009C5035"/>
    <w:rsid w:val="009E01F8"/>
    <w:rsid w:val="009E1AA1"/>
    <w:rsid w:val="009E2FED"/>
    <w:rsid w:val="009E71E9"/>
    <w:rsid w:val="00A0780B"/>
    <w:rsid w:val="00A12741"/>
    <w:rsid w:val="00A217A1"/>
    <w:rsid w:val="00A2253D"/>
    <w:rsid w:val="00A3295D"/>
    <w:rsid w:val="00A4052B"/>
    <w:rsid w:val="00A406E7"/>
    <w:rsid w:val="00A44FC5"/>
    <w:rsid w:val="00A45170"/>
    <w:rsid w:val="00A46D0F"/>
    <w:rsid w:val="00A646AA"/>
    <w:rsid w:val="00A64EFD"/>
    <w:rsid w:val="00A6526E"/>
    <w:rsid w:val="00A65FA9"/>
    <w:rsid w:val="00A77F03"/>
    <w:rsid w:val="00A81861"/>
    <w:rsid w:val="00AA0291"/>
    <w:rsid w:val="00AA0C25"/>
    <w:rsid w:val="00AA28C2"/>
    <w:rsid w:val="00AB1372"/>
    <w:rsid w:val="00AB2BB3"/>
    <w:rsid w:val="00AB788C"/>
    <w:rsid w:val="00AE18F0"/>
    <w:rsid w:val="00AE61D2"/>
    <w:rsid w:val="00AF038A"/>
    <w:rsid w:val="00AF1302"/>
    <w:rsid w:val="00AF3D5F"/>
    <w:rsid w:val="00B01DAB"/>
    <w:rsid w:val="00B0609A"/>
    <w:rsid w:val="00B10FA3"/>
    <w:rsid w:val="00B21811"/>
    <w:rsid w:val="00B60821"/>
    <w:rsid w:val="00B61EB2"/>
    <w:rsid w:val="00B63679"/>
    <w:rsid w:val="00B651F5"/>
    <w:rsid w:val="00B7330F"/>
    <w:rsid w:val="00B84E29"/>
    <w:rsid w:val="00B852FB"/>
    <w:rsid w:val="00B87A8B"/>
    <w:rsid w:val="00B92181"/>
    <w:rsid w:val="00B9667B"/>
    <w:rsid w:val="00BA61E7"/>
    <w:rsid w:val="00BB06CE"/>
    <w:rsid w:val="00BC0924"/>
    <w:rsid w:val="00BC6840"/>
    <w:rsid w:val="00BD3B4E"/>
    <w:rsid w:val="00BD7BC3"/>
    <w:rsid w:val="00BE02CD"/>
    <w:rsid w:val="00BE1545"/>
    <w:rsid w:val="00BE4863"/>
    <w:rsid w:val="00BF4754"/>
    <w:rsid w:val="00BF6E69"/>
    <w:rsid w:val="00C00EAF"/>
    <w:rsid w:val="00C07DB5"/>
    <w:rsid w:val="00C10A68"/>
    <w:rsid w:val="00C114E7"/>
    <w:rsid w:val="00C1592C"/>
    <w:rsid w:val="00C32BF0"/>
    <w:rsid w:val="00C32C97"/>
    <w:rsid w:val="00C45823"/>
    <w:rsid w:val="00C5031F"/>
    <w:rsid w:val="00C5228E"/>
    <w:rsid w:val="00C74C4E"/>
    <w:rsid w:val="00C756A1"/>
    <w:rsid w:val="00C82431"/>
    <w:rsid w:val="00C839ED"/>
    <w:rsid w:val="00C91C98"/>
    <w:rsid w:val="00C97D69"/>
    <w:rsid w:val="00CA3C32"/>
    <w:rsid w:val="00CA613C"/>
    <w:rsid w:val="00CB141F"/>
    <w:rsid w:val="00CB614E"/>
    <w:rsid w:val="00CC117E"/>
    <w:rsid w:val="00CD7461"/>
    <w:rsid w:val="00CD79DA"/>
    <w:rsid w:val="00CF6C91"/>
    <w:rsid w:val="00D05EFC"/>
    <w:rsid w:val="00D23BEA"/>
    <w:rsid w:val="00D25C1F"/>
    <w:rsid w:val="00D32C99"/>
    <w:rsid w:val="00D4030B"/>
    <w:rsid w:val="00D47C2D"/>
    <w:rsid w:val="00D53496"/>
    <w:rsid w:val="00D64AE1"/>
    <w:rsid w:val="00D67A4C"/>
    <w:rsid w:val="00D84100"/>
    <w:rsid w:val="00D87244"/>
    <w:rsid w:val="00D90890"/>
    <w:rsid w:val="00DB3D6A"/>
    <w:rsid w:val="00DB7486"/>
    <w:rsid w:val="00DC1129"/>
    <w:rsid w:val="00DC70B9"/>
    <w:rsid w:val="00DD2119"/>
    <w:rsid w:val="00DD7EBE"/>
    <w:rsid w:val="00DE752B"/>
    <w:rsid w:val="00E039CF"/>
    <w:rsid w:val="00E040F0"/>
    <w:rsid w:val="00E2306B"/>
    <w:rsid w:val="00E25FB8"/>
    <w:rsid w:val="00E2606A"/>
    <w:rsid w:val="00E32A63"/>
    <w:rsid w:val="00E36643"/>
    <w:rsid w:val="00E424D4"/>
    <w:rsid w:val="00E47042"/>
    <w:rsid w:val="00E71ADD"/>
    <w:rsid w:val="00E80370"/>
    <w:rsid w:val="00E85253"/>
    <w:rsid w:val="00E91DD2"/>
    <w:rsid w:val="00EB3973"/>
    <w:rsid w:val="00EB7F15"/>
    <w:rsid w:val="00EC19E9"/>
    <w:rsid w:val="00ED0935"/>
    <w:rsid w:val="00ED0D51"/>
    <w:rsid w:val="00ED3ADB"/>
    <w:rsid w:val="00ED3C87"/>
    <w:rsid w:val="00EF7F65"/>
    <w:rsid w:val="00F04B62"/>
    <w:rsid w:val="00F05391"/>
    <w:rsid w:val="00F06EF7"/>
    <w:rsid w:val="00F14F84"/>
    <w:rsid w:val="00F153D0"/>
    <w:rsid w:val="00F22EE8"/>
    <w:rsid w:val="00F24DD6"/>
    <w:rsid w:val="00F27B5B"/>
    <w:rsid w:val="00F342F1"/>
    <w:rsid w:val="00F36B03"/>
    <w:rsid w:val="00F47884"/>
    <w:rsid w:val="00F47EFE"/>
    <w:rsid w:val="00F562CA"/>
    <w:rsid w:val="00F60E66"/>
    <w:rsid w:val="00F64FF2"/>
    <w:rsid w:val="00F8367F"/>
    <w:rsid w:val="00F84378"/>
    <w:rsid w:val="00F87C79"/>
    <w:rsid w:val="00FA3F59"/>
    <w:rsid w:val="00FA5385"/>
    <w:rsid w:val="00FD152A"/>
    <w:rsid w:val="00FD1942"/>
    <w:rsid w:val="00FF0D87"/>
    <w:rsid w:val="00FF1B11"/>
    <w:rsid w:val="00FF332E"/>
    <w:rsid w:val="01086C64"/>
    <w:rsid w:val="0108730E"/>
    <w:rsid w:val="010B6346"/>
    <w:rsid w:val="010E628B"/>
    <w:rsid w:val="0112363F"/>
    <w:rsid w:val="0114612B"/>
    <w:rsid w:val="01170C55"/>
    <w:rsid w:val="01205D5C"/>
    <w:rsid w:val="01211959"/>
    <w:rsid w:val="012708B6"/>
    <w:rsid w:val="01287101"/>
    <w:rsid w:val="01381912"/>
    <w:rsid w:val="013C690E"/>
    <w:rsid w:val="013D5509"/>
    <w:rsid w:val="01487061"/>
    <w:rsid w:val="014F6641"/>
    <w:rsid w:val="01510B24"/>
    <w:rsid w:val="01565C22"/>
    <w:rsid w:val="01591B60"/>
    <w:rsid w:val="015C2C0B"/>
    <w:rsid w:val="015E6884"/>
    <w:rsid w:val="0160034F"/>
    <w:rsid w:val="01611507"/>
    <w:rsid w:val="016245C6"/>
    <w:rsid w:val="0173670A"/>
    <w:rsid w:val="017C6D0A"/>
    <w:rsid w:val="017D4F5C"/>
    <w:rsid w:val="01804A4C"/>
    <w:rsid w:val="01861AC5"/>
    <w:rsid w:val="018A1427"/>
    <w:rsid w:val="018E7B86"/>
    <w:rsid w:val="019A04BE"/>
    <w:rsid w:val="019B64AF"/>
    <w:rsid w:val="019D3A08"/>
    <w:rsid w:val="01A52705"/>
    <w:rsid w:val="01B21B00"/>
    <w:rsid w:val="01B67033"/>
    <w:rsid w:val="01BB5A85"/>
    <w:rsid w:val="01C04E49"/>
    <w:rsid w:val="01C56903"/>
    <w:rsid w:val="01C721D1"/>
    <w:rsid w:val="01CC2C25"/>
    <w:rsid w:val="01CC70CA"/>
    <w:rsid w:val="01D134FA"/>
    <w:rsid w:val="01D45911"/>
    <w:rsid w:val="01D542D8"/>
    <w:rsid w:val="01D85FE1"/>
    <w:rsid w:val="01DB6127"/>
    <w:rsid w:val="01DC2294"/>
    <w:rsid w:val="01E303F1"/>
    <w:rsid w:val="01E6645B"/>
    <w:rsid w:val="01F3226C"/>
    <w:rsid w:val="01F40F97"/>
    <w:rsid w:val="01F571E8"/>
    <w:rsid w:val="01F62F61"/>
    <w:rsid w:val="01F71841"/>
    <w:rsid w:val="01F95D4C"/>
    <w:rsid w:val="01F97CBF"/>
    <w:rsid w:val="01FA7A12"/>
    <w:rsid w:val="01FB2505"/>
    <w:rsid w:val="01FF1E15"/>
    <w:rsid w:val="01FF4D18"/>
    <w:rsid w:val="02022436"/>
    <w:rsid w:val="02105134"/>
    <w:rsid w:val="0213141D"/>
    <w:rsid w:val="0213766F"/>
    <w:rsid w:val="02203B3A"/>
    <w:rsid w:val="022E2C35"/>
    <w:rsid w:val="0230624D"/>
    <w:rsid w:val="02306A8A"/>
    <w:rsid w:val="023575E5"/>
    <w:rsid w:val="02401EB4"/>
    <w:rsid w:val="0241242E"/>
    <w:rsid w:val="024A6D3D"/>
    <w:rsid w:val="024E06A7"/>
    <w:rsid w:val="024E4B4B"/>
    <w:rsid w:val="0250441F"/>
    <w:rsid w:val="025362DD"/>
    <w:rsid w:val="02571C51"/>
    <w:rsid w:val="02597332"/>
    <w:rsid w:val="025B0D34"/>
    <w:rsid w:val="025E05D3"/>
    <w:rsid w:val="026D28A1"/>
    <w:rsid w:val="02702D13"/>
    <w:rsid w:val="02742A53"/>
    <w:rsid w:val="027805EE"/>
    <w:rsid w:val="027C14EB"/>
    <w:rsid w:val="027E086D"/>
    <w:rsid w:val="02891F9F"/>
    <w:rsid w:val="02892727"/>
    <w:rsid w:val="0295339B"/>
    <w:rsid w:val="029C3B08"/>
    <w:rsid w:val="029C58B6"/>
    <w:rsid w:val="02A067EE"/>
    <w:rsid w:val="02A220D8"/>
    <w:rsid w:val="02AD7AC3"/>
    <w:rsid w:val="02B20A94"/>
    <w:rsid w:val="02B74C06"/>
    <w:rsid w:val="02B80216"/>
    <w:rsid w:val="02C13975"/>
    <w:rsid w:val="02CC7E36"/>
    <w:rsid w:val="02D2752A"/>
    <w:rsid w:val="02D47A99"/>
    <w:rsid w:val="02DC3F04"/>
    <w:rsid w:val="02EA56BA"/>
    <w:rsid w:val="02EB08D6"/>
    <w:rsid w:val="02F53A34"/>
    <w:rsid w:val="02FA082F"/>
    <w:rsid w:val="02FC0103"/>
    <w:rsid w:val="02FE20CD"/>
    <w:rsid w:val="0301026C"/>
    <w:rsid w:val="030B47EA"/>
    <w:rsid w:val="031713E0"/>
    <w:rsid w:val="031841A0"/>
    <w:rsid w:val="031A67E6"/>
    <w:rsid w:val="031B2C7F"/>
    <w:rsid w:val="031F0BE5"/>
    <w:rsid w:val="032633D2"/>
    <w:rsid w:val="0328539C"/>
    <w:rsid w:val="0329795E"/>
    <w:rsid w:val="032B5EB2"/>
    <w:rsid w:val="033755DF"/>
    <w:rsid w:val="03394EB3"/>
    <w:rsid w:val="033A0C2B"/>
    <w:rsid w:val="03457CFC"/>
    <w:rsid w:val="03474E89"/>
    <w:rsid w:val="034766CD"/>
    <w:rsid w:val="034D095E"/>
    <w:rsid w:val="034D7468"/>
    <w:rsid w:val="03514002"/>
    <w:rsid w:val="03533941"/>
    <w:rsid w:val="03561F09"/>
    <w:rsid w:val="035645D8"/>
    <w:rsid w:val="03575E74"/>
    <w:rsid w:val="0364701F"/>
    <w:rsid w:val="03681C3C"/>
    <w:rsid w:val="03683363"/>
    <w:rsid w:val="036B6A09"/>
    <w:rsid w:val="036F6B27"/>
    <w:rsid w:val="03716D43"/>
    <w:rsid w:val="03724E11"/>
    <w:rsid w:val="037B196F"/>
    <w:rsid w:val="037D5B76"/>
    <w:rsid w:val="038D775A"/>
    <w:rsid w:val="039E3E03"/>
    <w:rsid w:val="03B7227C"/>
    <w:rsid w:val="03B92498"/>
    <w:rsid w:val="03BB1D6C"/>
    <w:rsid w:val="03BD732A"/>
    <w:rsid w:val="03C52BEB"/>
    <w:rsid w:val="03C9092D"/>
    <w:rsid w:val="03CA0201"/>
    <w:rsid w:val="03CC21CB"/>
    <w:rsid w:val="03CF5817"/>
    <w:rsid w:val="03D45E6A"/>
    <w:rsid w:val="03D56844"/>
    <w:rsid w:val="03D60954"/>
    <w:rsid w:val="03D6425B"/>
    <w:rsid w:val="03E12F49"/>
    <w:rsid w:val="03E5503B"/>
    <w:rsid w:val="03E85264"/>
    <w:rsid w:val="03E868D9"/>
    <w:rsid w:val="03EC461B"/>
    <w:rsid w:val="03ED3069"/>
    <w:rsid w:val="03EF3054"/>
    <w:rsid w:val="03F477A6"/>
    <w:rsid w:val="03FD6699"/>
    <w:rsid w:val="040524AF"/>
    <w:rsid w:val="040556DD"/>
    <w:rsid w:val="04123916"/>
    <w:rsid w:val="04166D88"/>
    <w:rsid w:val="041A2F36"/>
    <w:rsid w:val="041B14CC"/>
    <w:rsid w:val="04245197"/>
    <w:rsid w:val="04275653"/>
    <w:rsid w:val="042A32B9"/>
    <w:rsid w:val="042B5186"/>
    <w:rsid w:val="043134DC"/>
    <w:rsid w:val="04375579"/>
    <w:rsid w:val="04425FE9"/>
    <w:rsid w:val="04444720"/>
    <w:rsid w:val="0448644E"/>
    <w:rsid w:val="04535CA8"/>
    <w:rsid w:val="045A3333"/>
    <w:rsid w:val="04714B20"/>
    <w:rsid w:val="047C599F"/>
    <w:rsid w:val="04844854"/>
    <w:rsid w:val="048B7202"/>
    <w:rsid w:val="048E56D2"/>
    <w:rsid w:val="04963FC8"/>
    <w:rsid w:val="049752DD"/>
    <w:rsid w:val="049A5E25"/>
    <w:rsid w:val="049A7BD3"/>
    <w:rsid w:val="049E0067"/>
    <w:rsid w:val="049E6760"/>
    <w:rsid w:val="04A22F2C"/>
    <w:rsid w:val="04A60F90"/>
    <w:rsid w:val="04A62A1C"/>
    <w:rsid w:val="04A647CA"/>
    <w:rsid w:val="04B2316F"/>
    <w:rsid w:val="04B82A09"/>
    <w:rsid w:val="04BA5B56"/>
    <w:rsid w:val="04BA6041"/>
    <w:rsid w:val="04BD7D66"/>
    <w:rsid w:val="04C326F8"/>
    <w:rsid w:val="04C42EA2"/>
    <w:rsid w:val="04C64E6C"/>
    <w:rsid w:val="04C9484D"/>
    <w:rsid w:val="04CB2483"/>
    <w:rsid w:val="04D01EF4"/>
    <w:rsid w:val="04D23811"/>
    <w:rsid w:val="04D74983"/>
    <w:rsid w:val="04DF5F2E"/>
    <w:rsid w:val="04E70524"/>
    <w:rsid w:val="04EE7F1F"/>
    <w:rsid w:val="04F409B8"/>
    <w:rsid w:val="04F76DD4"/>
    <w:rsid w:val="04FC33AD"/>
    <w:rsid w:val="05045744"/>
    <w:rsid w:val="0512137B"/>
    <w:rsid w:val="05121E5F"/>
    <w:rsid w:val="05145BD8"/>
    <w:rsid w:val="052778F4"/>
    <w:rsid w:val="05336716"/>
    <w:rsid w:val="053718C6"/>
    <w:rsid w:val="053B6099"/>
    <w:rsid w:val="05477768"/>
    <w:rsid w:val="054B3811"/>
    <w:rsid w:val="055204AE"/>
    <w:rsid w:val="055406CA"/>
    <w:rsid w:val="056703FD"/>
    <w:rsid w:val="056736ED"/>
    <w:rsid w:val="056B3223"/>
    <w:rsid w:val="056E02A8"/>
    <w:rsid w:val="057228FE"/>
    <w:rsid w:val="05723C7C"/>
    <w:rsid w:val="0575419C"/>
    <w:rsid w:val="057E12A3"/>
    <w:rsid w:val="057E2BD1"/>
    <w:rsid w:val="057E74F5"/>
    <w:rsid w:val="0581047D"/>
    <w:rsid w:val="058368B9"/>
    <w:rsid w:val="05855CC1"/>
    <w:rsid w:val="05864B2C"/>
    <w:rsid w:val="05880374"/>
    <w:rsid w:val="05882122"/>
    <w:rsid w:val="058D14E6"/>
    <w:rsid w:val="059565ED"/>
    <w:rsid w:val="059B00A7"/>
    <w:rsid w:val="05A056BD"/>
    <w:rsid w:val="05A36F5B"/>
    <w:rsid w:val="05A426A2"/>
    <w:rsid w:val="05A859C7"/>
    <w:rsid w:val="05A9693E"/>
    <w:rsid w:val="05AD1AB3"/>
    <w:rsid w:val="05AF5900"/>
    <w:rsid w:val="05AF76AE"/>
    <w:rsid w:val="05B04764"/>
    <w:rsid w:val="05B13426"/>
    <w:rsid w:val="05CC64B2"/>
    <w:rsid w:val="05CD3FD8"/>
    <w:rsid w:val="05CE5260"/>
    <w:rsid w:val="05D3666F"/>
    <w:rsid w:val="05D62E8D"/>
    <w:rsid w:val="05D70265"/>
    <w:rsid w:val="05D714EA"/>
    <w:rsid w:val="05DB30EF"/>
    <w:rsid w:val="05DF44D0"/>
    <w:rsid w:val="05E36FAA"/>
    <w:rsid w:val="05E82BC0"/>
    <w:rsid w:val="06010975"/>
    <w:rsid w:val="06023C82"/>
    <w:rsid w:val="060A25CC"/>
    <w:rsid w:val="06112117"/>
    <w:rsid w:val="061834A6"/>
    <w:rsid w:val="061E4834"/>
    <w:rsid w:val="0620235A"/>
    <w:rsid w:val="0627193B"/>
    <w:rsid w:val="06361B7E"/>
    <w:rsid w:val="06377E97"/>
    <w:rsid w:val="063A14C7"/>
    <w:rsid w:val="063B2B4D"/>
    <w:rsid w:val="063D49EC"/>
    <w:rsid w:val="064249C6"/>
    <w:rsid w:val="064918B1"/>
    <w:rsid w:val="064C75F3"/>
    <w:rsid w:val="06510766"/>
    <w:rsid w:val="065344DE"/>
    <w:rsid w:val="065761FE"/>
    <w:rsid w:val="0661608D"/>
    <w:rsid w:val="06687B06"/>
    <w:rsid w:val="066B5CCB"/>
    <w:rsid w:val="066D64E2"/>
    <w:rsid w:val="06780498"/>
    <w:rsid w:val="067D77AC"/>
    <w:rsid w:val="067F1777"/>
    <w:rsid w:val="067F3DA7"/>
    <w:rsid w:val="068E0F11"/>
    <w:rsid w:val="06936FD0"/>
    <w:rsid w:val="06952D48"/>
    <w:rsid w:val="06982838"/>
    <w:rsid w:val="069A3EBB"/>
    <w:rsid w:val="06A56A3C"/>
    <w:rsid w:val="06A82D0D"/>
    <w:rsid w:val="06A87133"/>
    <w:rsid w:val="06AA3194"/>
    <w:rsid w:val="06AC0092"/>
    <w:rsid w:val="06AE2916"/>
    <w:rsid w:val="06AF0363"/>
    <w:rsid w:val="06B34F7C"/>
    <w:rsid w:val="06B45B27"/>
    <w:rsid w:val="06BF193E"/>
    <w:rsid w:val="06C052ED"/>
    <w:rsid w:val="06C158EB"/>
    <w:rsid w:val="06C278B5"/>
    <w:rsid w:val="06C453DB"/>
    <w:rsid w:val="06C66F0D"/>
    <w:rsid w:val="06C87D9C"/>
    <w:rsid w:val="06C90C44"/>
    <w:rsid w:val="06C947A0"/>
    <w:rsid w:val="06CE3E2D"/>
    <w:rsid w:val="06D876E6"/>
    <w:rsid w:val="06E871C2"/>
    <w:rsid w:val="06EB39CE"/>
    <w:rsid w:val="06EC048E"/>
    <w:rsid w:val="06F07F7E"/>
    <w:rsid w:val="06F21D26"/>
    <w:rsid w:val="06F21F49"/>
    <w:rsid w:val="06F342BF"/>
    <w:rsid w:val="06F35CC1"/>
    <w:rsid w:val="06FF6413"/>
    <w:rsid w:val="070545E8"/>
    <w:rsid w:val="07092259"/>
    <w:rsid w:val="071163A2"/>
    <w:rsid w:val="071C2AFB"/>
    <w:rsid w:val="07274F05"/>
    <w:rsid w:val="07281A58"/>
    <w:rsid w:val="07282577"/>
    <w:rsid w:val="0728596A"/>
    <w:rsid w:val="072A7934"/>
    <w:rsid w:val="072B0FB7"/>
    <w:rsid w:val="072E13B3"/>
    <w:rsid w:val="072E57F1"/>
    <w:rsid w:val="07391694"/>
    <w:rsid w:val="073A08C9"/>
    <w:rsid w:val="073C31C4"/>
    <w:rsid w:val="073F316A"/>
    <w:rsid w:val="074134A7"/>
    <w:rsid w:val="07432488"/>
    <w:rsid w:val="07527CF9"/>
    <w:rsid w:val="076170CE"/>
    <w:rsid w:val="0768220B"/>
    <w:rsid w:val="07706CF7"/>
    <w:rsid w:val="077479C5"/>
    <w:rsid w:val="077E403F"/>
    <w:rsid w:val="078D7EC3"/>
    <w:rsid w:val="07911645"/>
    <w:rsid w:val="07944DAE"/>
    <w:rsid w:val="07965179"/>
    <w:rsid w:val="07971F69"/>
    <w:rsid w:val="0798644D"/>
    <w:rsid w:val="079F3903"/>
    <w:rsid w:val="07A07BF6"/>
    <w:rsid w:val="07A1446C"/>
    <w:rsid w:val="07A70F85"/>
    <w:rsid w:val="07AD5B25"/>
    <w:rsid w:val="07AE4AAE"/>
    <w:rsid w:val="07AF1BE8"/>
    <w:rsid w:val="07BB058C"/>
    <w:rsid w:val="07BB67DE"/>
    <w:rsid w:val="07BE0BDD"/>
    <w:rsid w:val="07BF4B3B"/>
    <w:rsid w:val="07C35693"/>
    <w:rsid w:val="07C82CA9"/>
    <w:rsid w:val="07CC279A"/>
    <w:rsid w:val="07CD206E"/>
    <w:rsid w:val="07CF0C6A"/>
    <w:rsid w:val="07D505B1"/>
    <w:rsid w:val="07D94EB6"/>
    <w:rsid w:val="07DE24CD"/>
    <w:rsid w:val="07EC2E3C"/>
    <w:rsid w:val="07EC6998"/>
    <w:rsid w:val="07F13FAE"/>
    <w:rsid w:val="07F27D26"/>
    <w:rsid w:val="07F751CC"/>
    <w:rsid w:val="07FE491D"/>
    <w:rsid w:val="08123F24"/>
    <w:rsid w:val="0817314E"/>
    <w:rsid w:val="08177753"/>
    <w:rsid w:val="081B102B"/>
    <w:rsid w:val="081B727D"/>
    <w:rsid w:val="082223BA"/>
    <w:rsid w:val="082500FC"/>
    <w:rsid w:val="08386081"/>
    <w:rsid w:val="08395955"/>
    <w:rsid w:val="083E54A1"/>
    <w:rsid w:val="083E6B71"/>
    <w:rsid w:val="083F5821"/>
    <w:rsid w:val="084123F2"/>
    <w:rsid w:val="08420CAE"/>
    <w:rsid w:val="08442073"/>
    <w:rsid w:val="08471E20"/>
    <w:rsid w:val="084762C4"/>
    <w:rsid w:val="084E25CA"/>
    <w:rsid w:val="084F33CB"/>
    <w:rsid w:val="08527E78"/>
    <w:rsid w:val="08534C69"/>
    <w:rsid w:val="0854453D"/>
    <w:rsid w:val="085B3C84"/>
    <w:rsid w:val="085B58CB"/>
    <w:rsid w:val="086200D7"/>
    <w:rsid w:val="08645189"/>
    <w:rsid w:val="086536F5"/>
    <w:rsid w:val="0871591C"/>
    <w:rsid w:val="0874350A"/>
    <w:rsid w:val="088A61B1"/>
    <w:rsid w:val="089A2898"/>
    <w:rsid w:val="08A3476D"/>
    <w:rsid w:val="08A96637"/>
    <w:rsid w:val="08B558FB"/>
    <w:rsid w:val="08B55E1C"/>
    <w:rsid w:val="08BA0844"/>
    <w:rsid w:val="08BC0A60"/>
    <w:rsid w:val="08BD0334"/>
    <w:rsid w:val="08BD20E2"/>
    <w:rsid w:val="08BD6586"/>
    <w:rsid w:val="08C0216A"/>
    <w:rsid w:val="08C07E24"/>
    <w:rsid w:val="08C64A48"/>
    <w:rsid w:val="08C90A87"/>
    <w:rsid w:val="08CC67C9"/>
    <w:rsid w:val="08D04C05"/>
    <w:rsid w:val="08D833C0"/>
    <w:rsid w:val="08DF474E"/>
    <w:rsid w:val="08E05248"/>
    <w:rsid w:val="08E30F28"/>
    <w:rsid w:val="08E40179"/>
    <w:rsid w:val="08E80529"/>
    <w:rsid w:val="08EC685B"/>
    <w:rsid w:val="08F0070A"/>
    <w:rsid w:val="08F31FA8"/>
    <w:rsid w:val="08F6753C"/>
    <w:rsid w:val="08FA6E92"/>
    <w:rsid w:val="09022116"/>
    <w:rsid w:val="09055F84"/>
    <w:rsid w:val="09063A89"/>
    <w:rsid w:val="091F01F3"/>
    <w:rsid w:val="092403B3"/>
    <w:rsid w:val="09246B6F"/>
    <w:rsid w:val="092821FF"/>
    <w:rsid w:val="092959CA"/>
    <w:rsid w:val="092C7376"/>
    <w:rsid w:val="093525C0"/>
    <w:rsid w:val="09371E95"/>
    <w:rsid w:val="09391870"/>
    <w:rsid w:val="093D3223"/>
    <w:rsid w:val="09405ACF"/>
    <w:rsid w:val="09413DBD"/>
    <w:rsid w:val="09470C3E"/>
    <w:rsid w:val="094F1877"/>
    <w:rsid w:val="0955033B"/>
    <w:rsid w:val="095B41AD"/>
    <w:rsid w:val="09664528"/>
    <w:rsid w:val="096802A0"/>
    <w:rsid w:val="096B4234"/>
    <w:rsid w:val="096D58B6"/>
    <w:rsid w:val="0970184A"/>
    <w:rsid w:val="097A4477"/>
    <w:rsid w:val="097B701A"/>
    <w:rsid w:val="097E5D15"/>
    <w:rsid w:val="097F75FA"/>
    <w:rsid w:val="09855EF7"/>
    <w:rsid w:val="098F1CD1"/>
    <w:rsid w:val="09902879"/>
    <w:rsid w:val="09903C9B"/>
    <w:rsid w:val="09931095"/>
    <w:rsid w:val="09AD03A9"/>
    <w:rsid w:val="09B30424"/>
    <w:rsid w:val="09B5199D"/>
    <w:rsid w:val="09BA661C"/>
    <w:rsid w:val="09C82C33"/>
    <w:rsid w:val="09D05E45"/>
    <w:rsid w:val="09D07DA9"/>
    <w:rsid w:val="09D65B51"/>
    <w:rsid w:val="09D72BD9"/>
    <w:rsid w:val="09D73678"/>
    <w:rsid w:val="09D952C6"/>
    <w:rsid w:val="09DE67B4"/>
    <w:rsid w:val="09E0077E"/>
    <w:rsid w:val="09E85885"/>
    <w:rsid w:val="09EB4EC7"/>
    <w:rsid w:val="09EF4328"/>
    <w:rsid w:val="09F32877"/>
    <w:rsid w:val="09F61D50"/>
    <w:rsid w:val="09FE0C04"/>
    <w:rsid w:val="0A026946"/>
    <w:rsid w:val="0A053D41"/>
    <w:rsid w:val="0A056AAC"/>
    <w:rsid w:val="0A081A83"/>
    <w:rsid w:val="0A0E4795"/>
    <w:rsid w:val="0A110938"/>
    <w:rsid w:val="0A116B8A"/>
    <w:rsid w:val="0A117FF9"/>
    <w:rsid w:val="0A157CFC"/>
    <w:rsid w:val="0A187F18"/>
    <w:rsid w:val="0A2148F3"/>
    <w:rsid w:val="0A281B2F"/>
    <w:rsid w:val="0A326B00"/>
    <w:rsid w:val="0A4A7809"/>
    <w:rsid w:val="0A517700"/>
    <w:rsid w:val="0A6161D1"/>
    <w:rsid w:val="0A656ED5"/>
    <w:rsid w:val="0A686EB8"/>
    <w:rsid w:val="0A7008FA"/>
    <w:rsid w:val="0A740EC6"/>
    <w:rsid w:val="0A775394"/>
    <w:rsid w:val="0A7C4E22"/>
    <w:rsid w:val="0A7D4664"/>
    <w:rsid w:val="0A825391"/>
    <w:rsid w:val="0A8D3D36"/>
    <w:rsid w:val="0A9020CC"/>
    <w:rsid w:val="0A9652E1"/>
    <w:rsid w:val="0A9B6453"/>
    <w:rsid w:val="0AA2244C"/>
    <w:rsid w:val="0AA35B83"/>
    <w:rsid w:val="0AA7304A"/>
    <w:rsid w:val="0AA74DF8"/>
    <w:rsid w:val="0AA76787"/>
    <w:rsid w:val="0ABC5BC4"/>
    <w:rsid w:val="0AC27289"/>
    <w:rsid w:val="0AC71E5B"/>
    <w:rsid w:val="0AD33E3F"/>
    <w:rsid w:val="0AE40B42"/>
    <w:rsid w:val="0AE7489C"/>
    <w:rsid w:val="0AEC6CAF"/>
    <w:rsid w:val="0AEE4AFF"/>
    <w:rsid w:val="0AF53DB5"/>
    <w:rsid w:val="0AF65D7F"/>
    <w:rsid w:val="0AFD4AF3"/>
    <w:rsid w:val="0AFD710E"/>
    <w:rsid w:val="0B093D05"/>
    <w:rsid w:val="0B094FB3"/>
    <w:rsid w:val="0B0F00F9"/>
    <w:rsid w:val="0B136931"/>
    <w:rsid w:val="0B183F48"/>
    <w:rsid w:val="0B1D155E"/>
    <w:rsid w:val="0B2226D0"/>
    <w:rsid w:val="0B23759E"/>
    <w:rsid w:val="0B2711C0"/>
    <w:rsid w:val="0B2A231B"/>
    <w:rsid w:val="0B2C281E"/>
    <w:rsid w:val="0B312F2B"/>
    <w:rsid w:val="0B325009"/>
    <w:rsid w:val="0B3723CF"/>
    <w:rsid w:val="0B3A2110"/>
    <w:rsid w:val="0B440899"/>
    <w:rsid w:val="0B460AB5"/>
    <w:rsid w:val="0B505490"/>
    <w:rsid w:val="0B552AA6"/>
    <w:rsid w:val="0B5F1B77"/>
    <w:rsid w:val="0B6C7DF0"/>
    <w:rsid w:val="0B7A42BB"/>
    <w:rsid w:val="0B8B471A"/>
    <w:rsid w:val="0B8D1293"/>
    <w:rsid w:val="0B8E420A"/>
    <w:rsid w:val="0B987394"/>
    <w:rsid w:val="0B9A2BAF"/>
    <w:rsid w:val="0B9D63F6"/>
    <w:rsid w:val="0BA72079"/>
    <w:rsid w:val="0BAB6B6A"/>
    <w:rsid w:val="0BAD2E75"/>
    <w:rsid w:val="0BB3536C"/>
    <w:rsid w:val="0BB772BD"/>
    <w:rsid w:val="0BCD30C6"/>
    <w:rsid w:val="0BCF7B67"/>
    <w:rsid w:val="0BD7170D"/>
    <w:rsid w:val="0BD7795F"/>
    <w:rsid w:val="0BDE4191"/>
    <w:rsid w:val="0BDF1202"/>
    <w:rsid w:val="0BE3650F"/>
    <w:rsid w:val="0BE45BD8"/>
    <w:rsid w:val="0BED2CDE"/>
    <w:rsid w:val="0BF325C4"/>
    <w:rsid w:val="0BF7590B"/>
    <w:rsid w:val="0BFB3BF1"/>
    <w:rsid w:val="0C0A03AF"/>
    <w:rsid w:val="0C140339"/>
    <w:rsid w:val="0C160487"/>
    <w:rsid w:val="0C181F68"/>
    <w:rsid w:val="0C183166"/>
    <w:rsid w:val="0C1B4F42"/>
    <w:rsid w:val="0C1C3FFD"/>
    <w:rsid w:val="0C1C42B4"/>
    <w:rsid w:val="0C1F2AF1"/>
    <w:rsid w:val="0C204ACC"/>
    <w:rsid w:val="0C243E28"/>
    <w:rsid w:val="0C252478"/>
    <w:rsid w:val="0C2D102E"/>
    <w:rsid w:val="0C366A32"/>
    <w:rsid w:val="0C38765C"/>
    <w:rsid w:val="0C3923C8"/>
    <w:rsid w:val="0C3C5A14"/>
    <w:rsid w:val="0C491737"/>
    <w:rsid w:val="0C540FAF"/>
    <w:rsid w:val="0C580AA0"/>
    <w:rsid w:val="0C594818"/>
    <w:rsid w:val="0C607954"/>
    <w:rsid w:val="0C670CE3"/>
    <w:rsid w:val="0C680028"/>
    <w:rsid w:val="0C6841EA"/>
    <w:rsid w:val="0C686072"/>
    <w:rsid w:val="0C70493E"/>
    <w:rsid w:val="0C7209F0"/>
    <w:rsid w:val="0C721436"/>
    <w:rsid w:val="0C725B23"/>
    <w:rsid w:val="0C7E7DDA"/>
    <w:rsid w:val="0C7F0871"/>
    <w:rsid w:val="0C803B53"/>
    <w:rsid w:val="0C807FF6"/>
    <w:rsid w:val="0C8278CB"/>
    <w:rsid w:val="0C9420F8"/>
    <w:rsid w:val="0C9B273A"/>
    <w:rsid w:val="0CA77331"/>
    <w:rsid w:val="0CB832EC"/>
    <w:rsid w:val="0CC223BD"/>
    <w:rsid w:val="0CC31C91"/>
    <w:rsid w:val="0CC50D0A"/>
    <w:rsid w:val="0CC679CB"/>
    <w:rsid w:val="0CCA5CE7"/>
    <w:rsid w:val="0CCD397D"/>
    <w:rsid w:val="0CD40A0A"/>
    <w:rsid w:val="0CD43E9E"/>
    <w:rsid w:val="0CD44BA0"/>
    <w:rsid w:val="0CD64256"/>
    <w:rsid w:val="0CD8398F"/>
    <w:rsid w:val="0CDA3CD5"/>
    <w:rsid w:val="0CF837EB"/>
    <w:rsid w:val="0D0E115E"/>
    <w:rsid w:val="0D134683"/>
    <w:rsid w:val="0D171F72"/>
    <w:rsid w:val="0D1D75F3"/>
    <w:rsid w:val="0D241B28"/>
    <w:rsid w:val="0D251429"/>
    <w:rsid w:val="0D2F0B75"/>
    <w:rsid w:val="0D336E17"/>
    <w:rsid w:val="0D3606B5"/>
    <w:rsid w:val="0D417786"/>
    <w:rsid w:val="0D4234FE"/>
    <w:rsid w:val="0D444E00"/>
    <w:rsid w:val="0D4B4161"/>
    <w:rsid w:val="0D4E59FF"/>
    <w:rsid w:val="0D553231"/>
    <w:rsid w:val="0D5669F2"/>
    <w:rsid w:val="0D576FA9"/>
    <w:rsid w:val="0D581437"/>
    <w:rsid w:val="0D5864CD"/>
    <w:rsid w:val="0D5D3E94"/>
    <w:rsid w:val="0D5E3032"/>
    <w:rsid w:val="0D611472"/>
    <w:rsid w:val="0D632F5A"/>
    <w:rsid w:val="0D635706"/>
    <w:rsid w:val="0D64722C"/>
    <w:rsid w:val="0D676AC1"/>
    <w:rsid w:val="0D693500"/>
    <w:rsid w:val="0D6945E7"/>
    <w:rsid w:val="0D755681"/>
    <w:rsid w:val="0D782A7C"/>
    <w:rsid w:val="0D7C256C"/>
    <w:rsid w:val="0D8458C4"/>
    <w:rsid w:val="0D847289"/>
    <w:rsid w:val="0D8B0A01"/>
    <w:rsid w:val="0D8B151B"/>
    <w:rsid w:val="0D8D0509"/>
    <w:rsid w:val="0D930454"/>
    <w:rsid w:val="0D961154"/>
    <w:rsid w:val="0D9B3E5D"/>
    <w:rsid w:val="0D9E073B"/>
    <w:rsid w:val="0D9F5E5D"/>
    <w:rsid w:val="0DA11FD2"/>
    <w:rsid w:val="0DA44004"/>
    <w:rsid w:val="0DA559A8"/>
    <w:rsid w:val="0DB8556E"/>
    <w:rsid w:val="0DC3019B"/>
    <w:rsid w:val="0DC34588"/>
    <w:rsid w:val="0DC36296"/>
    <w:rsid w:val="0DC40E67"/>
    <w:rsid w:val="0DC43470"/>
    <w:rsid w:val="0DC65EDD"/>
    <w:rsid w:val="0DCA01DB"/>
    <w:rsid w:val="0DCE6007"/>
    <w:rsid w:val="0DCF4D92"/>
    <w:rsid w:val="0DD4721B"/>
    <w:rsid w:val="0DD506AB"/>
    <w:rsid w:val="0DDD6D83"/>
    <w:rsid w:val="0DE85E53"/>
    <w:rsid w:val="0DEC10F0"/>
    <w:rsid w:val="0DED16BC"/>
    <w:rsid w:val="0DF625B5"/>
    <w:rsid w:val="0E0662D9"/>
    <w:rsid w:val="0E09759B"/>
    <w:rsid w:val="0E0B07A6"/>
    <w:rsid w:val="0E0C31FD"/>
    <w:rsid w:val="0E0F1632"/>
    <w:rsid w:val="0E107158"/>
    <w:rsid w:val="0E1409F6"/>
    <w:rsid w:val="0E15651D"/>
    <w:rsid w:val="0E172295"/>
    <w:rsid w:val="0E1C5695"/>
    <w:rsid w:val="0E1E3B63"/>
    <w:rsid w:val="0E1F4751"/>
    <w:rsid w:val="0E207916"/>
    <w:rsid w:val="0E2660EF"/>
    <w:rsid w:val="0E31222A"/>
    <w:rsid w:val="0E37010B"/>
    <w:rsid w:val="0E370B89"/>
    <w:rsid w:val="0E3720AB"/>
    <w:rsid w:val="0E3C1CFB"/>
    <w:rsid w:val="0E445426"/>
    <w:rsid w:val="0E464928"/>
    <w:rsid w:val="0E4868F2"/>
    <w:rsid w:val="0E4A2492"/>
    <w:rsid w:val="0E5232CD"/>
    <w:rsid w:val="0E561810"/>
    <w:rsid w:val="0E586451"/>
    <w:rsid w:val="0E5A784A"/>
    <w:rsid w:val="0E63197E"/>
    <w:rsid w:val="0E640F7E"/>
    <w:rsid w:val="0E664974"/>
    <w:rsid w:val="0E6C1078"/>
    <w:rsid w:val="0E6E21B2"/>
    <w:rsid w:val="0E75778E"/>
    <w:rsid w:val="0E764315"/>
    <w:rsid w:val="0E80739F"/>
    <w:rsid w:val="0E821C25"/>
    <w:rsid w:val="0E833DCE"/>
    <w:rsid w:val="0E884F40"/>
    <w:rsid w:val="0E8A0CB9"/>
    <w:rsid w:val="0E8B67DF"/>
    <w:rsid w:val="0E9071C2"/>
    <w:rsid w:val="0E96765D"/>
    <w:rsid w:val="0EA004DC"/>
    <w:rsid w:val="0EA31D7A"/>
    <w:rsid w:val="0EA855E3"/>
    <w:rsid w:val="0EC8358F"/>
    <w:rsid w:val="0ECF630A"/>
    <w:rsid w:val="0ED463D8"/>
    <w:rsid w:val="0ED77DDA"/>
    <w:rsid w:val="0ED85EC8"/>
    <w:rsid w:val="0EDB7766"/>
    <w:rsid w:val="0EE20797"/>
    <w:rsid w:val="0EE83D6C"/>
    <w:rsid w:val="0EEE18CA"/>
    <w:rsid w:val="0EEE7499"/>
    <w:rsid w:val="0EEE7BDE"/>
    <w:rsid w:val="0EF1589B"/>
    <w:rsid w:val="0EF44384"/>
    <w:rsid w:val="0EF64514"/>
    <w:rsid w:val="0EF80318"/>
    <w:rsid w:val="0EFD7763"/>
    <w:rsid w:val="0F0071CD"/>
    <w:rsid w:val="0F0767AD"/>
    <w:rsid w:val="0F0D3851"/>
    <w:rsid w:val="0F0E18EA"/>
    <w:rsid w:val="0F182768"/>
    <w:rsid w:val="0F192B9A"/>
    <w:rsid w:val="0F1C7743"/>
    <w:rsid w:val="0F227B67"/>
    <w:rsid w:val="0F2548A7"/>
    <w:rsid w:val="0F310E21"/>
    <w:rsid w:val="0F3330FE"/>
    <w:rsid w:val="0F3375A2"/>
    <w:rsid w:val="0F360E40"/>
    <w:rsid w:val="0F421593"/>
    <w:rsid w:val="0F421DA6"/>
    <w:rsid w:val="0F476BAA"/>
    <w:rsid w:val="0F575D45"/>
    <w:rsid w:val="0F5F0397"/>
    <w:rsid w:val="0F5F2145"/>
    <w:rsid w:val="0F617F00"/>
    <w:rsid w:val="0F6564DD"/>
    <w:rsid w:val="0F6E05DA"/>
    <w:rsid w:val="0F737834"/>
    <w:rsid w:val="0F772484"/>
    <w:rsid w:val="0F784573"/>
    <w:rsid w:val="0F851480"/>
    <w:rsid w:val="0F896F25"/>
    <w:rsid w:val="0F8E0686"/>
    <w:rsid w:val="0F987405"/>
    <w:rsid w:val="0F9F55C8"/>
    <w:rsid w:val="0FA45DAA"/>
    <w:rsid w:val="0FA91612"/>
    <w:rsid w:val="0FB81855"/>
    <w:rsid w:val="0FBA4B48"/>
    <w:rsid w:val="0FBA55CD"/>
    <w:rsid w:val="0FBD7DE5"/>
    <w:rsid w:val="0FC5047B"/>
    <w:rsid w:val="0FC621C4"/>
    <w:rsid w:val="0FC67EBD"/>
    <w:rsid w:val="0FC94360"/>
    <w:rsid w:val="0FCB4AB8"/>
    <w:rsid w:val="0FCC70AF"/>
    <w:rsid w:val="0FCF7A0F"/>
    <w:rsid w:val="0FD03043"/>
    <w:rsid w:val="0FD146C5"/>
    <w:rsid w:val="0FDA4528"/>
    <w:rsid w:val="0FDC5544"/>
    <w:rsid w:val="0FDD306A"/>
    <w:rsid w:val="0FDE1CCB"/>
    <w:rsid w:val="0FE1483F"/>
    <w:rsid w:val="0FEB4EEA"/>
    <w:rsid w:val="0FEE5EBF"/>
    <w:rsid w:val="0FEF59D4"/>
    <w:rsid w:val="0FF00FEF"/>
    <w:rsid w:val="0FFD54BA"/>
    <w:rsid w:val="0FFE370C"/>
    <w:rsid w:val="100D394F"/>
    <w:rsid w:val="1017765D"/>
    <w:rsid w:val="10190546"/>
    <w:rsid w:val="101D355F"/>
    <w:rsid w:val="102313C5"/>
    <w:rsid w:val="102B7629"/>
    <w:rsid w:val="10313D92"/>
    <w:rsid w:val="10374E70"/>
    <w:rsid w:val="103C4234"/>
    <w:rsid w:val="1045133B"/>
    <w:rsid w:val="104650B3"/>
    <w:rsid w:val="104B2919"/>
    <w:rsid w:val="104B5DF8"/>
    <w:rsid w:val="104F3F68"/>
    <w:rsid w:val="10521CAA"/>
    <w:rsid w:val="10526AE6"/>
    <w:rsid w:val="10616D58"/>
    <w:rsid w:val="106526DE"/>
    <w:rsid w:val="10657457"/>
    <w:rsid w:val="106A6FF4"/>
    <w:rsid w:val="107415C7"/>
    <w:rsid w:val="10846DA4"/>
    <w:rsid w:val="108856CC"/>
    <w:rsid w:val="108F25B6"/>
    <w:rsid w:val="10942FBF"/>
    <w:rsid w:val="109C4CD3"/>
    <w:rsid w:val="109D1177"/>
    <w:rsid w:val="10A04E3C"/>
    <w:rsid w:val="10A36062"/>
    <w:rsid w:val="10A65B52"/>
    <w:rsid w:val="10AD1F06"/>
    <w:rsid w:val="10B4201D"/>
    <w:rsid w:val="10BE2E9B"/>
    <w:rsid w:val="10BE4C49"/>
    <w:rsid w:val="10C401DC"/>
    <w:rsid w:val="10C70252"/>
    <w:rsid w:val="10C81F6C"/>
    <w:rsid w:val="10CA1840"/>
    <w:rsid w:val="10CA18B3"/>
    <w:rsid w:val="10CA5CE4"/>
    <w:rsid w:val="10CB1539"/>
    <w:rsid w:val="10D27AAD"/>
    <w:rsid w:val="10D537AC"/>
    <w:rsid w:val="10DA102E"/>
    <w:rsid w:val="10DB57FB"/>
    <w:rsid w:val="10DE709A"/>
    <w:rsid w:val="10E24DDC"/>
    <w:rsid w:val="10E65B78"/>
    <w:rsid w:val="10ED552F"/>
    <w:rsid w:val="10EE19D3"/>
    <w:rsid w:val="10F84BB6"/>
    <w:rsid w:val="11010579"/>
    <w:rsid w:val="11050ACA"/>
    <w:rsid w:val="11051D98"/>
    <w:rsid w:val="110765F0"/>
    <w:rsid w:val="110A4333"/>
    <w:rsid w:val="110D7292"/>
    <w:rsid w:val="111B305C"/>
    <w:rsid w:val="111D4066"/>
    <w:rsid w:val="112371A2"/>
    <w:rsid w:val="1125116C"/>
    <w:rsid w:val="11380EA0"/>
    <w:rsid w:val="11467595"/>
    <w:rsid w:val="11467E8F"/>
    <w:rsid w:val="115630D4"/>
    <w:rsid w:val="11592BC4"/>
    <w:rsid w:val="115B2DE0"/>
    <w:rsid w:val="115F467E"/>
    <w:rsid w:val="11626039"/>
    <w:rsid w:val="11641C95"/>
    <w:rsid w:val="11651D62"/>
    <w:rsid w:val="116E6670"/>
    <w:rsid w:val="11772928"/>
    <w:rsid w:val="117B6FDE"/>
    <w:rsid w:val="11851C0B"/>
    <w:rsid w:val="11871FC2"/>
    <w:rsid w:val="11902A8A"/>
    <w:rsid w:val="11916802"/>
    <w:rsid w:val="1196216B"/>
    <w:rsid w:val="119828ED"/>
    <w:rsid w:val="119D51A7"/>
    <w:rsid w:val="11AC0F46"/>
    <w:rsid w:val="11B20C52"/>
    <w:rsid w:val="11BB09F1"/>
    <w:rsid w:val="11C049F1"/>
    <w:rsid w:val="11C0675B"/>
    <w:rsid w:val="11C15A98"/>
    <w:rsid w:val="11CA7D46"/>
    <w:rsid w:val="11D34725"/>
    <w:rsid w:val="11DB182B"/>
    <w:rsid w:val="11DC20E9"/>
    <w:rsid w:val="11DC5CCF"/>
    <w:rsid w:val="11E15093"/>
    <w:rsid w:val="11ED33B0"/>
    <w:rsid w:val="11F03480"/>
    <w:rsid w:val="11FA67AC"/>
    <w:rsid w:val="11FF376C"/>
    <w:rsid w:val="12015736"/>
    <w:rsid w:val="120945EA"/>
    <w:rsid w:val="12096398"/>
    <w:rsid w:val="12107727"/>
    <w:rsid w:val="12121CBA"/>
    <w:rsid w:val="1216298A"/>
    <w:rsid w:val="121D6264"/>
    <w:rsid w:val="121E0096"/>
    <w:rsid w:val="12206760"/>
    <w:rsid w:val="1222054A"/>
    <w:rsid w:val="12301B77"/>
    <w:rsid w:val="12335A41"/>
    <w:rsid w:val="12337F00"/>
    <w:rsid w:val="1234350A"/>
    <w:rsid w:val="12371157"/>
    <w:rsid w:val="12374CB3"/>
    <w:rsid w:val="12377D4D"/>
    <w:rsid w:val="123D1751"/>
    <w:rsid w:val="12445622"/>
    <w:rsid w:val="12492478"/>
    <w:rsid w:val="124B177D"/>
    <w:rsid w:val="124D33E0"/>
    <w:rsid w:val="12510031"/>
    <w:rsid w:val="12552BC0"/>
    <w:rsid w:val="12596E3B"/>
    <w:rsid w:val="125A606E"/>
    <w:rsid w:val="125D103B"/>
    <w:rsid w:val="12635AA8"/>
    <w:rsid w:val="12647A72"/>
    <w:rsid w:val="126E269F"/>
    <w:rsid w:val="12753A2E"/>
    <w:rsid w:val="127E0B34"/>
    <w:rsid w:val="12852A32"/>
    <w:rsid w:val="128D34EA"/>
    <w:rsid w:val="128F16A5"/>
    <w:rsid w:val="12902616"/>
    <w:rsid w:val="12942D3A"/>
    <w:rsid w:val="12A04F4F"/>
    <w:rsid w:val="12A165D1"/>
    <w:rsid w:val="12A63A7D"/>
    <w:rsid w:val="12AA1929"/>
    <w:rsid w:val="12AB56A1"/>
    <w:rsid w:val="12AF6F40"/>
    <w:rsid w:val="12C16C73"/>
    <w:rsid w:val="12C47FF6"/>
    <w:rsid w:val="12C56CCB"/>
    <w:rsid w:val="12C624DB"/>
    <w:rsid w:val="12CC5D44"/>
    <w:rsid w:val="12CC7AF2"/>
    <w:rsid w:val="12CD5618"/>
    <w:rsid w:val="12D614A6"/>
    <w:rsid w:val="12D757AE"/>
    <w:rsid w:val="12D81CC1"/>
    <w:rsid w:val="12D9220E"/>
    <w:rsid w:val="12D95491"/>
    <w:rsid w:val="12DF1F35"/>
    <w:rsid w:val="12E12E71"/>
    <w:rsid w:val="12E228E2"/>
    <w:rsid w:val="12E7492B"/>
    <w:rsid w:val="12F31522"/>
    <w:rsid w:val="12F42BA4"/>
    <w:rsid w:val="12F42EDB"/>
    <w:rsid w:val="13050CDE"/>
    <w:rsid w:val="130D3C66"/>
    <w:rsid w:val="131078BE"/>
    <w:rsid w:val="1311736D"/>
    <w:rsid w:val="131E7C21"/>
    <w:rsid w:val="13250FB0"/>
    <w:rsid w:val="133149E8"/>
    <w:rsid w:val="13315BA7"/>
    <w:rsid w:val="133D09EF"/>
    <w:rsid w:val="133D5D0B"/>
    <w:rsid w:val="13441D7E"/>
    <w:rsid w:val="13465FE5"/>
    <w:rsid w:val="134F26C3"/>
    <w:rsid w:val="13516249"/>
    <w:rsid w:val="13540457"/>
    <w:rsid w:val="13545D39"/>
    <w:rsid w:val="135A334F"/>
    <w:rsid w:val="135E44C2"/>
    <w:rsid w:val="136441CE"/>
    <w:rsid w:val="136917E4"/>
    <w:rsid w:val="13705E66"/>
    <w:rsid w:val="13706BF0"/>
    <w:rsid w:val="137155C7"/>
    <w:rsid w:val="137410C4"/>
    <w:rsid w:val="137912FC"/>
    <w:rsid w:val="137D4216"/>
    <w:rsid w:val="13806B2E"/>
    <w:rsid w:val="13853604"/>
    <w:rsid w:val="13896D88"/>
    <w:rsid w:val="138A175B"/>
    <w:rsid w:val="138E2060"/>
    <w:rsid w:val="138F28CD"/>
    <w:rsid w:val="13900507"/>
    <w:rsid w:val="13963C5C"/>
    <w:rsid w:val="13981ACA"/>
    <w:rsid w:val="139E67D2"/>
    <w:rsid w:val="13A75E07"/>
    <w:rsid w:val="13A9398F"/>
    <w:rsid w:val="13AE5449"/>
    <w:rsid w:val="13B567D8"/>
    <w:rsid w:val="13B862C8"/>
    <w:rsid w:val="13BF65A8"/>
    <w:rsid w:val="13C407C9"/>
    <w:rsid w:val="13C54541"/>
    <w:rsid w:val="13C7650B"/>
    <w:rsid w:val="13D312D8"/>
    <w:rsid w:val="13D36C5E"/>
    <w:rsid w:val="13D749A0"/>
    <w:rsid w:val="13DA4490"/>
    <w:rsid w:val="13DB0677"/>
    <w:rsid w:val="13E175CD"/>
    <w:rsid w:val="13EE3A98"/>
    <w:rsid w:val="13EF65C4"/>
    <w:rsid w:val="13F41A5D"/>
    <w:rsid w:val="14097DE5"/>
    <w:rsid w:val="14111FD7"/>
    <w:rsid w:val="141259D8"/>
    <w:rsid w:val="14131750"/>
    <w:rsid w:val="141A2ADF"/>
    <w:rsid w:val="141B014F"/>
    <w:rsid w:val="141B0BDF"/>
    <w:rsid w:val="141B23B3"/>
    <w:rsid w:val="141F7606"/>
    <w:rsid w:val="14215C1B"/>
    <w:rsid w:val="14261483"/>
    <w:rsid w:val="142E3D3C"/>
    <w:rsid w:val="1432607A"/>
    <w:rsid w:val="144933C4"/>
    <w:rsid w:val="144A2246"/>
    <w:rsid w:val="144E4536"/>
    <w:rsid w:val="145639A7"/>
    <w:rsid w:val="145853B5"/>
    <w:rsid w:val="14627FE2"/>
    <w:rsid w:val="14646C99"/>
    <w:rsid w:val="14680FAC"/>
    <w:rsid w:val="14693DEC"/>
    <w:rsid w:val="146E5017"/>
    <w:rsid w:val="146F636D"/>
    <w:rsid w:val="1484738B"/>
    <w:rsid w:val="1486432F"/>
    <w:rsid w:val="148804F7"/>
    <w:rsid w:val="148B0CDA"/>
    <w:rsid w:val="148D1503"/>
    <w:rsid w:val="148E0DD7"/>
    <w:rsid w:val="14932170"/>
    <w:rsid w:val="149A59CD"/>
    <w:rsid w:val="149F0F8F"/>
    <w:rsid w:val="149F13FB"/>
    <w:rsid w:val="14A30D26"/>
    <w:rsid w:val="14A423A8"/>
    <w:rsid w:val="14A44207"/>
    <w:rsid w:val="14A443DE"/>
    <w:rsid w:val="14A904B4"/>
    <w:rsid w:val="14A93FB4"/>
    <w:rsid w:val="14AC5D2B"/>
    <w:rsid w:val="14AF289B"/>
    <w:rsid w:val="14B20F69"/>
    <w:rsid w:val="14B545B5"/>
    <w:rsid w:val="14B940A6"/>
    <w:rsid w:val="14C757A0"/>
    <w:rsid w:val="14CB5B87"/>
    <w:rsid w:val="14D65C06"/>
    <w:rsid w:val="14DE53F9"/>
    <w:rsid w:val="14E336E2"/>
    <w:rsid w:val="14E54E9B"/>
    <w:rsid w:val="14EB7FD7"/>
    <w:rsid w:val="14ED1FA1"/>
    <w:rsid w:val="14EF3F6B"/>
    <w:rsid w:val="14F055ED"/>
    <w:rsid w:val="14F92D31"/>
    <w:rsid w:val="14FB646C"/>
    <w:rsid w:val="15127C5A"/>
    <w:rsid w:val="15155054"/>
    <w:rsid w:val="152139F9"/>
    <w:rsid w:val="15243815"/>
    <w:rsid w:val="15271B06"/>
    <w:rsid w:val="15282FD9"/>
    <w:rsid w:val="15311E8E"/>
    <w:rsid w:val="153150E7"/>
    <w:rsid w:val="153951E6"/>
    <w:rsid w:val="15395B8E"/>
    <w:rsid w:val="15400323"/>
    <w:rsid w:val="154A026A"/>
    <w:rsid w:val="154A4148"/>
    <w:rsid w:val="155618F4"/>
    <w:rsid w:val="15587404"/>
    <w:rsid w:val="155B4089"/>
    <w:rsid w:val="156009C5"/>
    <w:rsid w:val="156A35F2"/>
    <w:rsid w:val="1572096D"/>
    <w:rsid w:val="15787ABD"/>
    <w:rsid w:val="15791A87"/>
    <w:rsid w:val="157955E3"/>
    <w:rsid w:val="157A169B"/>
    <w:rsid w:val="157D1577"/>
    <w:rsid w:val="158741A4"/>
    <w:rsid w:val="158D108E"/>
    <w:rsid w:val="15930E74"/>
    <w:rsid w:val="159643E7"/>
    <w:rsid w:val="15A823B9"/>
    <w:rsid w:val="15A9236C"/>
    <w:rsid w:val="15B1189B"/>
    <w:rsid w:val="15BB5BFB"/>
    <w:rsid w:val="15BC3411"/>
    <w:rsid w:val="15BD6FF9"/>
    <w:rsid w:val="15C0597A"/>
    <w:rsid w:val="15C50828"/>
    <w:rsid w:val="15C72922"/>
    <w:rsid w:val="15C9677D"/>
    <w:rsid w:val="15D05D4D"/>
    <w:rsid w:val="15D46CBD"/>
    <w:rsid w:val="15DF178B"/>
    <w:rsid w:val="15E15C75"/>
    <w:rsid w:val="15E36674"/>
    <w:rsid w:val="15E96C0C"/>
    <w:rsid w:val="15EC04AB"/>
    <w:rsid w:val="15EC2259"/>
    <w:rsid w:val="15EE4223"/>
    <w:rsid w:val="15EF58A5"/>
    <w:rsid w:val="15FF1770"/>
    <w:rsid w:val="16004EE4"/>
    <w:rsid w:val="16005D04"/>
    <w:rsid w:val="16096967"/>
    <w:rsid w:val="160E0421"/>
    <w:rsid w:val="16113335"/>
    <w:rsid w:val="16126C2B"/>
    <w:rsid w:val="161B669A"/>
    <w:rsid w:val="161E0F3C"/>
    <w:rsid w:val="162B4B2F"/>
    <w:rsid w:val="16300397"/>
    <w:rsid w:val="1638724C"/>
    <w:rsid w:val="163A6938"/>
    <w:rsid w:val="163D7764"/>
    <w:rsid w:val="163F682C"/>
    <w:rsid w:val="16403952"/>
    <w:rsid w:val="16421E79"/>
    <w:rsid w:val="164261C9"/>
    <w:rsid w:val="16481B56"/>
    <w:rsid w:val="16543395"/>
    <w:rsid w:val="16556050"/>
    <w:rsid w:val="16557DFE"/>
    <w:rsid w:val="1656417E"/>
    <w:rsid w:val="16571DC8"/>
    <w:rsid w:val="166149F5"/>
    <w:rsid w:val="166167A3"/>
    <w:rsid w:val="16675DBB"/>
    <w:rsid w:val="16691AFB"/>
    <w:rsid w:val="166A3155"/>
    <w:rsid w:val="166D3684"/>
    <w:rsid w:val="167209B0"/>
    <w:rsid w:val="16725EBB"/>
    <w:rsid w:val="16774218"/>
    <w:rsid w:val="16780CF9"/>
    <w:rsid w:val="16787864"/>
    <w:rsid w:val="167A5AB7"/>
    <w:rsid w:val="1684137A"/>
    <w:rsid w:val="16881F81"/>
    <w:rsid w:val="168B7CC4"/>
    <w:rsid w:val="168D3A3C"/>
    <w:rsid w:val="168D57EA"/>
    <w:rsid w:val="16913C09"/>
    <w:rsid w:val="169326D4"/>
    <w:rsid w:val="16946B78"/>
    <w:rsid w:val="169B540B"/>
    <w:rsid w:val="169C639C"/>
    <w:rsid w:val="16AD3796"/>
    <w:rsid w:val="16B030D1"/>
    <w:rsid w:val="16B20DAC"/>
    <w:rsid w:val="16C3745D"/>
    <w:rsid w:val="16C46D32"/>
    <w:rsid w:val="16C64858"/>
    <w:rsid w:val="16C86822"/>
    <w:rsid w:val="16CB00C0"/>
    <w:rsid w:val="16CB5645"/>
    <w:rsid w:val="16D5395C"/>
    <w:rsid w:val="16D8458B"/>
    <w:rsid w:val="16DE0A1B"/>
    <w:rsid w:val="16E178E4"/>
    <w:rsid w:val="16E41182"/>
    <w:rsid w:val="16F059E7"/>
    <w:rsid w:val="16F37A47"/>
    <w:rsid w:val="16F47617"/>
    <w:rsid w:val="16F50314"/>
    <w:rsid w:val="16F70EB5"/>
    <w:rsid w:val="170830C2"/>
    <w:rsid w:val="170C2C5F"/>
    <w:rsid w:val="170F3E10"/>
    <w:rsid w:val="171001C9"/>
    <w:rsid w:val="17190E2C"/>
    <w:rsid w:val="171F6ECB"/>
    <w:rsid w:val="1720032D"/>
    <w:rsid w:val="17233056"/>
    <w:rsid w:val="17242614"/>
    <w:rsid w:val="172577D0"/>
    <w:rsid w:val="1727784B"/>
    <w:rsid w:val="17293ACC"/>
    <w:rsid w:val="1732629C"/>
    <w:rsid w:val="173461D1"/>
    <w:rsid w:val="17365443"/>
    <w:rsid w:val="17382033"/>
    <w:rsid w:val="173D6B6A"/>
    <w:rsid w:val="173D7210"/>
    <w:rsid w:val="17455147"/>
    <w:rsid w:val="1758614C"/>
    <w:rsid w:val="175B58E8"/>
    <w:rsid w:val="175E3B47"/>
    <w:rsid w:val="17603394"/>
    <w:rsid w:val="177453C0"/>
    <w:rsid w:val="177611ED"/>
    <w:rsid w:val="17771379"/>
    <w:rsid w:val="177A1543"/>
    <w:rsid w:val="177A18AE"/>
    <w:rsid w:val="17887D5F"/>
    <w:rsid w:val="178D35C8"/>
    <w:rsid w:val="17920BDE"/>
    <w:rsid w:val="17942BA8"/>
    <w:rsid w:val="179606CE"/>
    <w:rsid w:val="17A44D2F"/>
    <w:rsid w:val="17AC7EF2"/>
    <w:rsid w:val="17AF62C3"/>
    <w:rsid w:val="17B5219E"/>
    <w:rsid w:val="17BC07BF"/>
    <w:rsid w:val="17BD5C5B"/>
    <w:rsid w:val="17C0574B"/>
    <w:rsid w:val="17D47448"/>
    <w:rsid w:val="17DD3AC1"/>
    <w:rsid w:val="17DE65C8"/>
    <w:rsid w:val="17DF2075"/>
    <w:rsid w:val="17E56AAF"/>
    <w:rsid w:val="17E7717C"/>
    <w:rsid w:val="17F453F5"/>
    <w:rsid w:val="17F915E3"/>
    <w:rsid w:val="18003D99"/>
    <w:rsid w:val="18061116"/>
    <w:rsid w:val="18090EA0"/>
    <w:rsid w:val="18133ACD"/>
    <w:rsid w:val="18187335"/>
    <w:rsid w:val="181A12FF"/>
    <w:rsid w:val="181B0BD3"/>
    <w:rsid w:val="181D0DEF"/>
    <w:rsid w:val="183171BE"/>
    <w:rsid w:val="183F5AC5"/>
    <w:rsid w:val="18420856"/>
    <w:rsid w:val="184719C8"/>
    <w:rsid w:val="184A17E9"/>
    <w:rsid w:val="184E2D57"/>
    <w:rsid w:val="18511F7B"/>
    <w:rsid w:val="185276F3"/>
    <w:rsid w:val="18550589"/>
    <w:rsid w:val="185A16FC"/>
    <w:rsid w:val="18635366"/>
    <w:rsid w:val="18650227"/>
    <w:rsid w:val="186938B7"/>
    <w:rsid w:val="186B3909"/>
    <w:rsid w:val="1870720F"/>
    <w:rsid w:val="18756535"/>
    <w:rsid w:val="188D7D23"/>
    <w:rsid w:val="188F1E15"/>
    <w:rsid w:val="18934CDE"/>
    <w:rsid w:val="18954E2A"/>
    <w:rsid w:val="189664AC"/>
    <w:rsid w:val="189A2440"/>
    <w:rsid w:val="189D7D8B"/>
    <w:rsid w:val="189F659D"/>
    <w:rsid w:val="18A620AD"/>
    <w:rsid w:val="18A64941"/>
    <w:rsid w:val="18A94431"/>
    <w:rsid w:val="18AE4589"/>
    <w:rsid w:val="18B0756E"/>
    <w:rsid w:val="18B119E3"/>
    <w:rsid w:val="18B807A5"/>
    <w:rsid w:val="18BA663E"/>
    <w:rsid w:val="18BB267A"/>
    <w:rsid w:val="18C13529"/>
    <w:rsid w:val="18C43019"/>
    <w:rsid w:val="18C82B09"/>
    <w:rsid w:val="18CA5B7E"/>
    <w:rsid w:val="18D07C10"/>
    <w:rsid w:val="18D21BDA"/>
    <w:rsid w:val="18DC4807"/>
    <w:rsid w:val="18E13BCB"/>
    <w:rsid w:val="18E45469"/>
    <w:rsid w:val="18E5190D"/>
    <w:rsid w:val="18F363CF"/>
    <w:rsid w:val="18FE652B"/>
    <w:rsid w:val="19017DC9"/>
    <w:rsid w:val="191044B0"/>
    <w:rsid w:val="1920717B"/>
    <w:rsid w:val="192148C8"/>
    <w:rsid w:val="192455D8"/>
    <w:rsid w:val="19265A82"/>
    <w:rsid w:val="19335BF4"/>
    <w:rsid w:val="19355CC5"/>
    <w:rsid w:val="193D0126"/>
    <w:rsid w:val="19476C77"/>
    <w:rsid w:val="195270D5"/>
    <w:rsid w:val="19540841"/>
    <w:rsid w:val="1954741F"/>
    <w:rsid w:val="19551028"/>
    <w:rsid w:val="19554828"/>
    <w:rsid w:val="195A1EDE"/>
    <w:rsid w:val="19630947"/>
    <w:rsid w:val="196470BB"/>
    <w:rsid w:val="19656B0C"/>
    <w:rsid w:val="196640D0"/>
    <w:rsid w:val="1969029C"/>
    <w:rsid w:val="19697D7B"/>
    <w:rsid w:val="196B7938"/>
    <w:rsid w:val="19722A75"/>
    <w:rsid w:val="19756829"/>
    <w:rsid w:val="197607B7"/>
    <w:rsid w:val="19766A09"/>
    <w:rsid w:val="19793E03"/>
    <w:rsid w:val="197C38F4"/>
    <w:rsid w:val="19834C82"/>
    <w:rsid w:val="19842228"/>
    <w:rsid w:val="198A7DBF"/>
    <w:rsid w:val="199F38AE"/>
    <w:rsid w:val="19A22C52"/>
    <w:rsid w:val="19A277FE"/>
    <w:rsid w:val="19A5109C"/>
    <w:rsid w:val="19A86AD3"/>
    <w:rsid w:val="19AA0FA9"/>
    <w:rsid w:val="19AA66B3"/>
    <w:rsid w:val="19AF7825"/>
    <w:rsid w:val="19B6042C"/>
    <w:rsid w:val="19B60BB4"/>
    <w:rsid w:val="19BB441C"/>
    <w:rsid w:val="19BD3F85"/>
    <w:rsid w:val="19BE215E"/>
    <w:rsid w:val="19C257AA"/>
    <w:rsid w:val="19C57049"/>
    <w:rsid w:val="19C71013"/>
    <w:rsid w:val="19CA3A5C"/>
    <w:rsid w:val="19CC0058"/>
    <w:rsid w:val="19D61256"/>
    <w:rsid w:val="19D652F0"/>
    <w:rsid w:val="19D674A8"/>
    <w:rsid w:val="19DB4ABE"/>
    <w:rsid w:val="19E63222"/>
    <w:rsid w:val="19E771DC"/>
    <w:rsid w:val="19E81D9A"/>
    <w:rsid w:val="19EC040D"/>
    <w:rsid w:val="19EE2A43"/>
    <w:rsid w:val="19FB0CBC"/>
    <w:rsid w:val="19FB27DB"/>
    <w:rsid w:val="1A116732"/>
    <w:rsid w:val="1A134258"/>
    <w:rsid w:val="1A1D28D2"/>
    <w:rsid w:val="1A2024D1"/>
    <w:rsid w:val="1A240213"/>
    <w:rsid w:val="1A2474DE"/>
    <w:rsid w:val="1A2664F0"/>
    <w:rsid w:val="1A27385F"/>
    <w:rsid w:val="1A3505F7"/>
    <w:rsid w:val="1A3674DF"/>
    <w:rsid w:val="1A385A6D"/>
    <w:rsid w:val="1A3B37AF"/>
    <w:rsid w:val="1A3B4A49"/>
    <w:rsid w:val="1A3B7985"/>
    <w:rsid w:val="1A3D7527"/>
    <w:rsid w:val="1A426B5D"/>
    <w:rsid w:val="1A470B33"/>
    <w:rsid w:val="1A4F2DB6"/>
    <w:rsid w:val="1A5328A6"/>
    <w:rsid w:val="1A54439E"/>
    <w:rsid w:val="1A554870"/>
    <w:rsid w:val="1A5A1E87"/>
    <w:rsid w:val="1A5D1977"/>
    <w:rsid w:val="1A642D06"/>
    <w:rsid w:val="1A644AB4"/>
    <w:rsid w:val="1A651EBC"/>
    <w:rsid w:val="1A6666B2"/>
    <w:rsid w:val="1A6F693D"/>
    <w:rsid w:val="1A705206"/>
    <w:rsid w:val="1A733B40"/>
    <w:rsid w:val="1A7A5DFE"/>
    <w:rsid w:val="1A7E085D"/>
    <w:rsid w:val="1A8A3E9A"/>
    <w:rsid w:val="1A8B4DD7"/>
    <w:rsid w:val="1A954C6D"/>
    <w:rsid w:val="1A9609E5"/>
    <w:rsid w:val="1A976C37"/>
    <w:rsid w:val="1A9A6727"/>
    <w:rsid w:val="1A9B3F3E"/>
    <w:rsid w:val="1A9C4B2F"/>
    <w:rsid w:val="1A9C7C88"/>
    <w:rsid w:val="1AA2382E"/>
    <w:rsid w:val="1AA43102"/>
    <w:rsid w:val="1AAB4490"/>
    <w:rsid w:val="1AB21BDC"/>
    <w:rsid w:val="1ABA518B"/>
    <w:rsid w:val="1ABB32B6"/>
    <w:rsid w:val="1AC13CB4"/>
    <w:rsid w:val="1ACE63D1"/>
    <w:rsid w:val="1AD0039B"/>
    <w:rsid w:val="1ADA4D76"/>
    <w:rsid w:val="1ADC5368"/>
    <w:rsid w:val="1ADD120E"/>
    <w:rsid w:val="1ADF0685"/>
    <w:rsid w:val="1AE00A2E"/>
    <w:rsid w:val="1AE01026"/>
    <w:rsid w:val="1AE259D8"/>
    <w:rsid w:val="1AEC6857"/>
    <w:rsid w:val="1AF57E02"/>
    <w:rsid w:val="1AF75928"/>
    <w:rsid w:val="1B025B91"/>
    <w:rsid w:val="1B027E29"/>
    <w:rsid w:val="1B040045"/>
    <w:rsid w:val="1B0D514B"/>
    <w:rsid w:val="1B0E1B68"/>
    <w:rsid w:val="1B0E4A1F"/>
    <w:rsid w:val="1B140288"/>
    <w:rsid w:val="1B2129A5"/>
    <w:rsid w:val="1B2D30F7"/>
    <w:rsid w:val="1B387B13"/>
    <w:rsid w:val="1B3A39BA"/>
    <w:rsid w:val="1B3C32E5"/>
    <w:rsid w:val="1B3F107D"/>
    <w:rsid w:val="1B430B6D"/>
    <w:rsid w:val="1B4B5C73"/>
    <w:rsid w:val="1B4B7A22"/>
    <w:rsid w:val="1B512271"/>
    <w:rsid w:val="1B5468D6"/>
    <w:rsid w:val="1B5B5EB7"/>
    <w:rsid w:val="1B6046F2"/>
    <w:rsid w:val="1B610FF3"/>
    <w:rsid w:val="1B636B19"/>
    <w:rsid w:val="1B643DF6"/>
    <w:rsid w:val="1B6F3710"/>
    <w:rsid w:val="1B705779"/>
    <w:rsid w:val="1B7156DA"/>
    <w:rsid w:val="1B740D26"/>
    <w:rsid w:val="1B74431A"/>
    <w:rsid w:val="1B793CC9"/>
    <w:rsid w:val="1B7969CC"/>
    <w:rsid w:val="1B7D6217"/>
    <w:rsid w:val="1B7F1479"/>
    <w:rsid w:val="1B854CE1"/>
    <w:rsid w:val="1B9238A2"/>
    <w:rsid w:val="1B9405AB"/>
    <w:rsid w:val="1B982E35"/>
    <w:rsid w:val="1BA91E9F"/>
    <w:rsid w:val="1BAB226E"/>
    <w:rsid w:val="1BB76E65"/>
    <w:rsid w:val="1BB9498B"/>
    <w:rsid w:val="1BBC09CF"/>
    <w:rsid w:val="1BC00A1E"/>
    <w:rsid w:val="1BCC153A"/>
    <w:rsid w:val="1BCC2910"/>
    <w:rsid w:val="1BCC4688"/>
    <w:rsid w:val="1BD6378F"/>
    <w:rsid w:val="1BD956BB"/>
    <w:rsid w:val="1BDD0801"/>
    <w:rsid w:val="1BDE7970"/>
    <w:rsid w:val="1BE4346A"/>
    <w:rsid w:val="1BE834C2"/>
    <w:rsid w:val="1BED2887"/>
    <w:rsid w:val="1BED3862"/>
    <w:rsid w:val="1BF807B0"/>
    <w:rsid w:val="1C033E58"/>
    <w:rsid w:val="1C1C4F1A"/>
    <w:rsid w:val="1C1F5136"/>
    <w:rsid w:val="1C24274C"/>
    <w:rsid w:val="1C274A28"/>
    <w:rsid w:val="1C295FB5"/>
    <w:rsid w:val="1C330BE1"/>
    <w:rsid w:val="1C393FA8"/>
    <w:rsid w:val="1C3B71B6"/>
    <w:rsid w:val="1C4032FE"/>
    <w:rsid w:val="1C422E87"/>
    <w:rsid w:val="1C461987"/>
    <w:rsid w:val="1C4E1577"/>
    <w:rsid w:val="1C533032"/>
    <w:rsid w:val="1C59151D"/>
    <w:rsid w:val="1C5A616E"/>
    <w:rsid w:val="1C5C3CFC"/>
    <w:rsid w:val="1C630A1B"/>
    <w:rsid w:val="1C684242"/>
    <w:rsid w:val="1C6A4770"/>
    <w:rsid w:val="1C6B037B"/>
    <w:rsid w:val="1C6C7C4F"/>
    <w:rsid w:val="1C6D22B3"/>
    <w:rsid w:val="1C707260"/>
    <w:rsid w:val="1C7712C2"/>
    <w:rsid w:val="1C7B5517"/>
    <w:rsid w:val="1C7C0326"/>
    <w:rsid w:val="1C821221"/>
    <w:rsid w:val="1C8F393E"/>
    <w:rsid w:val="1C902538"/>
    <w:rsid w:val="1C980A44"/>
    <w:rsid w:val="1C9A5FAA"/>
    <w:rsid w:val="1C9F0025"/>
    <w:rsid w:val="1CA41F13"/>
    <w:rsid w:val="1CA53161"/>
    <w:rsid w:val="1CAB3BA7"/>
    <w:rsid w:val="1CAE3388"/>
    <w:rsid w:val="1CB515F6"/>
    <w:rsid w:val="1CC122C2"/>
    <w:rsid w:val="1CC425E1"/>
    <w:rsid w:val="1CD221A8"/>
    <w:rsid w:val="1CDC3027"/>
    <w:rsid w:val="1CE055BD"/>
    <w:rsid w:val="1CE1063D"/>
    <w:rsid w:val="1CE247F8"/>
    <w:rsid w:val="1CE75528"/>
    <w:rsid w:val="1CE76663"/>
    <w:rsid w:val="1CEA011F"/>
    <w:rsid w:val="1CEE68B6"/>
    <w:rsid w:val="1CEF6602"/>
    <w:rsid w:val="1CEF7619"/>
    <w:rsid w:val="1CF015EE"/>
    <w:rsid w:val="1CF52953"/>
    <w:rsid w:val="1CF57C45"/>
    <w:rsid w:val="1CF739BD"/>
    <w:rsid w:val="1CF74C76"/>
    <w:rsid w:val="1CFD1E78"/>
    <w:rsid w:val="1CFE1AA6"/>
    <w:rsid w:val="1CFF214E"/>
    <w:rsid w:val="1D03542A"/>
    <w:rsid w:val="1D073194"/>
    <w:rsid w:val="1D0C7C22"/>
    <w:rsid w:val="1D153800"/>
    <w:rsid w:val="1D167BBB"/>
    <w:rsid w:val="1D190631"/>
    <w:rsid w:val="1D1A76AB"/>
    <w:rsid w:val="1D271DC8"/>
    <w:rsid w:val="1D37483E"/>
    <w:rsid w:val="1D4410D7"/>
    <w:rsid w:val="1D4F1A4B"/>
    <w:rsid w:val="1D570900"/>
    <w:rsid w:val="1D5A03F0"/>
    <w:rsid w:val="1D5E1C8E"/>
    <w:rsid w:val="1D636B46"/>
    <w:rsid w:val="1D6920C9"/>
    <w:rsid w:val="1D6C798B"/>
    <w:rsid w:val="1D6F3E9B"/>
    <w:rsid w:val="1D792624"/>
    <w:rsid w:val="1D7A639C"/>
    <w:rsid w:val="1D807CC2"/>
    <w:rsid w:val="1D8437F8"/>
    <w:rsid w:val="1D85546D"/>
    <w:rsid w:val="1D8B185E"/>
    <w:rsid w:val="1D8D4321"/>
    <w:rsid w:val="1D956734"/>
    <w:rsid w:val="1D9C1517"/>
    <w:rsid w:val="1DA82F09"/>
    <w:rsid w:val="1DA921AD"/>
    <w:rsid w:val="1DAC2C51"/>
    <w:rsid w:val="1DB47B00"/>
    <w:rsid w:val="1DBC66D4"/>
    <w:rsid w:val="1DBE272D"/>
    <w:rsid w:val="1DBE2C17"/>
    <w:rsid w:val="1DC0424C"/>
    <w:rsid w:val="1DC835AB"/>
    <w:rsid w:val="1DCD2970"/>
    <w:rsid w:val="1DD06ADE"/>
    <w:rsid w:val="1DD71411"/>
    <w:rsid w:val="1DD737EE"/>
    <w:rsid w:val="1DD7559C"/>
    <w:rsid w:val="1DD86B05"/>
    <w:rsid w:val="1DD87078"/>
    <w:rsid w:val="1DE33F41"/>
    <w:rsid w:val="1DE5415D"/>
    <w:rsid w:val="1DEA52D0"/>
    <w:rsid w:val="1DEA6CE6"/>
    <w:rsid w:val="1DEF0B38"/>
    <w:rsid w:val="1DFC74D6"/>
    <w:rsid w:val="1DFE6FCD"/>
    <w:rsid w:val="1E036392"/>
    <w:rsid w:val="1E236A34"/>
    <w:rsid w:val="1E2931B4"/>
    <w:rsid w:val="1E2E78B2"/>
    <w:rsid w:val="1E311151"/>
    <w:rsid w:val="1E3837A5"/>
    <w:rsid w:val="1E390B15"/>
    <w:rsid w:val="1E42510C"/>
    <w:rsid w:val="1E4470D6"/>
    <w:rsid w:val="1E452429"/>
    <w:rsid w:val="1E4744D0"/>
    <w:rsid w:val="1E4A3FC0"/>
    <w:rsid w:val="1E5310C7"/>
    <w:rsid w:val="1E546BED"/>
    <w:rsid w:val="1E552714"/>
    <w:rsid w:val="1E5866DD"/>
    <w:rsid w:val="1E5B4C73"/>
    <w:rsid w:val="1E5C1488"/>
    <w:rsid w:val="1E5D3CF4"/>
    <w:rsid w:val="1E6432D4"/>
    <w:rsid w:val="1E672B8F"/>
    <w:rsid w:val="1E71154D"/>
    <w:rsid w:val="1E7C0BEC"/>
    <w:rsid w:val="1E812C8E"/>
    <w:rsid w:val="1E85149C"/>
    <w:rsid w:val="1E85324A"/>
    <w:rsid w:val="1E8A260F"/>
    <w:rsid w:val="1E960FB4"/>
    <w:rsid w:val="1EA01E32"/>
    <w:rsid w:val="1EA25BAA"/>
    <w:rsid w:val="1EA305EF"/>
    <w:rsid w:val="1EA453F3"/>
    <w:rsid w:val="1EA57449"/>
    <w:rsid w:val="1EA850C4"/>
    <w:rsid w:val="1EAE7802"/>
    <w:rsid w:val="1EB200F0"/>
    <w:rsid w:val="1EB827D7"/>
    <w:rsid w:val="1EB853CE"/>
    <w:rsid w:val="1EBF050A"/>
    <w:rsid w:val="1EC11295"/>
    <w:rsid w:val="1EC203FF"/>
    <w:rsid w:val="1EE147FF"/>
    <w:rsid w:val="1EE95587"/>
    <w:rsid w:val="1EEC17D9"/>
    <w:rsid w:val="1EEF7D57"/>
    <w:rsid w:val="1EF444BD"/>
    <w:rsid w:val="1EF83A1C"/>
    <w:rsid w:val="1EFF2593"/>
    <w:rsid w:val="1F040613"/>
    <w:rsid w:val="1F075C3C"/>
    <w:rsid w:val="1F090174"/>
    <w:rsid w:val="1F0A4C5D"/>
    <w:rsid w:val="1F0B3750"/>
    <w:rsid w:val="1F0C1276"/>
    <w:rsid w:val="1F0C74C8"/>
    <w:rsid w:val="1F152820"/>
    <w:rsid w:val="1F1C58AA"/>
    <w:rsid w:val="1F1D16D5"/>
    <w:rsid w:val="1F1F71FB"/>
    <w:rsid w:val="1F216B38"/>
    <w:rsid w:val="1F240141"/>
    <w:rsid w:val="1F24418F"/>
    <w:rsid w:val="1F26058A"/>
    <w:rsid w:val="1F281DCF"/>
    <w:rsid w:val="1F2B2044"/>
    <w:rsid w:val="1F2B3DF2"/>
    <w:rsid w:val="1F2C004A"/>
    <w:rsid w:val="1F2C5A96"/>
    <w:rsid w:val="1F2E5389"/>
    <w:rsid w:val="1F354FC8"/>
    <w:rsid w:val="1F427E7B"/>
    <w:rsid w:val="1F4471DD"/>
    <w:rsid w:val="1F46255F"/>
    <w:rsid w:val="1F464788"/>
    <w:rsid w:val="1F48522D"/>
    <w:rsid w:val="1F501AAA"/>
    <w:rsid w:val="1F533349"/>
    <w:rsid w:val="1F536EA5"/>
    <w:rsid w:val="1F573E22"/>
    <w:rsid w:val="1F5B7EC4"/>
    <w:rsid w:val="1F5F2643"/>
    <w:rsid w:val="1F6439BF"/>
    <w:rsid w:val="1F6B5FE9"/>
    <w:rsid w:val="1F6B68E4"/>
    <w:rsid w:val="1F7A6B27"/>
    <w:rsid w:val="1F825E80"/>
    <w:rsid w:val="1FA140B4"/>
    <w:rsid w:val="1FA47700"/>
    <w:rsid w:val="1FA6791C"/>
    <w:rsid w:val="1FA871F0"/>
    <w:rsid w:val="1FA9427F"/>
    <w:rsid w:val="1FAF67D1"/>
    <w:rsid w:val="1FB41EDE"/>
    <w:rsid w:val="1FB45B95"/>
    <w:rsid w:val="1FB93DC0"/>
    <w:rsid w:val="1FBC4A4A"/>
    <w:rsid w:val="1FC07B49"/>
    <w:rsid w:val="1FCB3988"/>
    <w:rsid w:val="1FD51D45"/>
    <w:rsid w:val="1FD5662C"/>
    <w:rsid w:val="1FD97B51"/>
    <w:rsid w:val="1FDE70B6"/>
    <w:rsid w:val="1FE04BDC"/>
    <w:rsid w:val="1FE26FEC"/>
    <w:rsid w:val="1FE31DCD"/>
    <w:rsid w:val="1FE65F6B"/>
    <w:rsid w:val="1FED554B"/>
    <w:rsid w:val="1FED72F9"/>
    <w:rsid w:val="1FF16DE9"/>
    <w:rsid w:val="1FF24910"/>
    <w:rsid w:val="1FF40688"/>
    <w:rsid w:val="1FF43776"/>
    <w:rsid w:val="200545EF"/>
    <w:rsid w:val="200D2AB2"/>
    <w:rsid w:val="20144886"/>
    <w:rsid w:val="201B6A81"/>
    <w:rsid w:val="2020147D"/>
    <w:rsid w:val="202B4E35"/>
    <w:rsid w:val="203641EF"/>
    <w:rsid w:val="20457135"/>
    <w:rsid w:val="204C5B97"/>
    <w:rsid w:val="204D1B46"/>
    <w:rsid w:val="204F58BE"/>
    <w:rsid w:val="20514B81"/>
    <w:rsid w:val="20523600"/>
    <w:rsid w:val="20523DE1"/>
    <w:rsid w:val="20580C17"/>
    <w:rsid w:val="205826F8"/>
    <w:rsid w:val="205E6558"/>
    <w:rsid w:val="20607ACB"/>
    <w:rsid w:val="20653161"/>
    <w:rsid w:val="20653333"/>
    <w:rsid w:val="206550E2"/>
    <w:rsid w:val="206C021E"/>
    <w:rsid w:val="206C6470"/>
    <w:rsid w:val="206E08B2"/>
    <w:rsid w:val="206F21C1"/>
    <w:rsid w:val="2074194C"/>
    <w:rsid w:val="20743577"/>
    <w:rsid w:val="20776154"/>
    <w:rsid w:val="2079293B"/>
    <w:rsid w:val="207D242B"/>
    <w:rsid w:val="207E61A3"/>
    <w:rsid w:val="208047DF"/>
    <w:rsid w:val="20817A88"/>
    <w:rsid w:val="20827A42"/>
    <w:rsid w:val="208539D6"/>
    <w:rsid w:val="20875058"/>
    <w:rsid w:val="208A2F4A"/>
    <w:rsid w:val="208B237A"/>
    <w:rsid w:val="209E5AEC"/>
    <w:rsid w:val="20A0611A"/>
    <w:rsid w:val="20A43E5C"/>
    <w:rsid w:val="20A830A0"/>
    <w:rsid w:val="20AD0837"/>
    <w:rsid w:val="20B0298F"/>
    <w:rsid w:val="20B3409F"/>
    <w:rsid w:val="20B3627D"/>
    <w:rsid w:val="20BA367F"/>
    <w:rsid w:val="20BC256D"/>
    <w:rsid w:val="20BF0C96"/>
    <w:rsid w:val="20C04A0E"/>
    <w:rsid w:val="20C938C2"/>
    <w:rsid w:val="20D36967"/>
    <w:rsid w:val="20DB793B"/>
    <w:rsid w:val="20FC3C37"/>
    <w:rsid w:val="2100305C"/>
    <w:rsid w:val="21054EAE"/>
    <w:rsid w:val="210C1A01"/>
    <w:rsid w:val="21115269"/>
    <w:rsid w:val="21157E5B"/>
    <w:rsid w:val="211A484A"/>
    <w:rsid w:val="211A5ECC"/>
    <w:rsid w:val="211C60E8"/>
    <w:rsid w:val="21222FD3"/>
    <w:rsid w:val="212705E9"/>
    <w:rsid w:val="212E7BC9"/>
    <w:rsid w:val="21313216"/>
    <w:rsid w:val="21333432"/>
    <w:rsid w:val="213845A4"/>
    <w:rsid w:val="213C22E6"/>
    <w:rsid w:val="21464F13"/>
    <w:rsid w:val="214967B1"/>
    <w:rsid w:val="214B42D7"/>
    <w:rsid w:val="214C62A1"/>
    <w:rsid w:val="21515666"/>
    <w:rsid w:val="2158623E"/>
    <w:rsid w:val="215A451A"/>
    <w:rsid w:val="215A6C10"/>
    <w:rsid w:val="215F3F86"/>
    <w:rsid w:val="215F7AC9"/>
    <w:rsid w:val="216655B5"/>
    <w:rsid w:val="216830DB"/>
    <w:rsid w:val="216B02BD"/>
    <w:rsid w:val="216E446A"/>
    <w:rsid w:val="21701F90"/>
    <w:rsid w:val="2173536F"/>
    <w:rsid w:val="21787096"/>
    <w:rsid w:val="217B1617"/>
    <w:rsid w:val="2186530F"/>
    <w:rsid w:val="218912A4"/>
    <w:rsid w:val="21942A3D"/>
    <w:rsid w:val="21957C48"/>
    <w:rsid w:val="21977012"/>
    <w:rsid w:val="219C2D85"/>
    <w:rsid w:val="21A2432F"/>
    <w:rsid w:val="21A7036C"/>
    <w:rsid w:val="21A734D8"/>
    <w:rsid w:val="21AD1911"/>
    <w:rsid w:val="21B12CB4"/>
    <w:rsid w:val="21B83355"/>
    <w:rsid w:val="21B93937"/>
    <w:rsid w:val="21BA145D"/>
    <w:rsid w:val="21BF316A"/>
    <w:rsid w:val="21C137CB"/>
    <w:rsid w:val="21C67E02"/>
    <w:rsid w:val="21D267A7"/>
    <w:rsid w:val="21DC68D2"/>
    <w:rsid w:val="21E40D7C"/>
    <w:rsid w:val="21E46225"/>
    <w:rsid w:val="21E87D78"/>
    <w:rsid w:val="21FE495D"/>
    <w:rsid w:val="220152DE"/>
    <w:rsid w:val="22023A3F"/>
    <w:rsid w:val="22051553"/>
    <w:rsid w:val="22071817"/>
    <w:rsid w:val="2208041A"/>
    <w:rsid w:val="220B3A67"/>
    <w:rsid w:val="220F4878"/>
    <w:rsid w:val="221D798C"/>
    <w:rsid w:val="221E19EC"/>
    <w:rsid w:val="221E7C3E"/>
    <w:rsid w:val="221F150C"/>
    <w:rsid w:val="22201AA4"/>
    <w:rsid w:val="22213400"/>
    <w:rsid w:val="2223045B"/>
    <w:rsid w:val="222608A0"/>
    <w:rsid w:val="2227373D"/>
    <w:rsid w:val="2228286B"/>
    <w:rsid w:val="22286511"/>
    <w:rsid w:val="222C235B"/>
    <w:rsid w:val="22387500"/>
    <w:rsid w:val="223D17ED"/>
    <w:rsid w:val="22405740"/>
    <w:rsid w:val="22471607"/>
    <w:rsid w:val="225F2191"/>
    <w:rsid w:val="226128DD"/>
    <w:rsid w:val="226D64CF"/>
    <w:rsid w:val="2274785E"/>
    <w:rsid w:val="22772009"/>
    <w:rsid w:val="227A34A7"/>
    <w:rsid w:val="228026A7"/>
    <w:rsid w:val="228A361D"/>
    <w:rsid w:val="228F5316"/>
    <w:rsid w:val="22941CAE"/>
    <w:rsid w:val="229C4054"/>
    <w:rsid w:val="229E2B2D"/>
    <w:rsid w:val="22A2261D"/>
    <w:rsid w:val="22A46395"/>
    <w:rsid w:val="22A76AF7"/>
    <w:rsid w:val="22A939AB"/>
    <w:rsid w:val="22AF0896"/>
    <w:rsid w:val="22C00CF5"/>
    <w:rsid w:val="22C06C83"/>
    <w:rsid w:val="22C94716"/>
    <w:rsid w:val="22C97BAA"/>
    <w:rsid w:val="22D45FC6"/>
    <w:rsid w:val="22DC07FC"/>
    <w:rsid w:val="22DD3655"/>
    <w:rsid w:val="22DD5403"/>
    <w:rsid w:val="22E0282D"/>
    <w:rsid w:val="22E76282"/>
    <w:rsid w:val="22F5590A"/>
    <w:rsid w:val="22F664C5"/>
    <w:rsid w:val="22F92970"/>
    <w:rsid w:val="22FA4207"/>
    <w:rsid w:val="22FB70A8"/>
    <w:rsid w:val="22FE5379"/>
    <w:rsid w:val="22FF181D"/>
    <w:rsid w:val="23027955"/>
    <w:rsid w:val="23052BAC"/>
    <w:rsid w:val="23066D9E"/>
    <w:rsid w:val="230B235C"/>
    <w:rsid w:val="230C5CE8"/>
    <w:rsid w:val="230C64A1"/>
    <w:rsid w:val="23130E25"/>
    <w:rsid w:val="23166B67"/>
    <w:rsid w:val="233B65CE"/>
    <w:rsid w:val="233F7E6C"/>
    <w:rsid w:val="23447230"/>
    <w:rsid w:val="23476D20"/>
    <w:rsid w:val="23492A98"/>
    <w:rsid w:val="23506FF0"/>
    <w:rsid w:val="235822C3"/>
    <w:rsid w:val="235A6A54"/>
    <w:rsid w:val="235B59DD"/>
    <w:rsid w:val="235D47D5"/>
    <w:rsid w:val="235F050E"/>
    <w:rsid w:val="23650A82"/>
    <w:rsid w:val="23664981"/>
    <w:rsid w:val="236734C6"/>
    <w:rsid w:val="236A415B"/>
    <w:rsid w:val="236D16F9"/>
    <w:rsid w:val="23730FB4"/>
    <w:rsid w:val="237B69CA"/>
    <w:rsid w:val="237D208A"/>
    <w:rsid w:val="238A4086"/>
    <w:rsid w:val="238E494F"/>
    <w:rsid w:val="23914D8D"/>
    <w:rsid w:val="23952182"/>
    <w:rsid w:val="23992040"/>
    <w:rsid w:val="239B0E1A"/>
    <w:rsid w:val="239D4B92"/>
    <w:rsid w:val="239F5682"/>
    <w:rsid w:val="23A14683"/>
    <w:rsid w:val="23A2459C"/>
    <w:rsid w:val="23A37445"/>
    <w:rsid w:val="23A777BF"/>
    <w:rsid w:val="23AE44AD"/>
    <w:rsid w:val="23AF3EF9"/>
    <w:rsid w:val="23B26890"/>
    <w:rsid w:val="23B720F8"/>
    <w:rsid w:val="23B83CA7"/>
    <w:rsid w:val="23D21FE8"/>
    <w:rsid w:val="23D36806"/>
    <w:rsid w:val="23D63454"/>
    <w:rsid w:val="23DC1B5F"/>
    <w:rsid w:val="23DD1433"/>
    <w:rsid w:val="23DF2B78"/>
    <w:rsid w:val="23E40A13"/>
    <w:rsid w:val="23ED3D6C"/>
    <w:rsid w:val="23EE50C5"/>
    <w:rsid w:val="23F24EDE"/>
    <w:rsid w:val="23F511B0"/>
    <w:rsid w:val="23F724F4"/>
    <w:rsid w:val="23F729F5"/>
    <w:rsid w:val="23F8626D"/>
    <w:rsid w:val="23F90EA7"/>
    <w:rsid w:val="23FA1FE5"/>
    <w:rsid w:val="23FB734E"/>
    <w:rsid w:val="240115C5"/>
    <w:rsid w:val="240370EB"/>
    <w:rsid w:val="240A10E9"/>
    <w:rsid w:val="240A6030"/>
    <w:rsid w:val="24121D0B"/>
    <w:rsid w:val="24150BCD"/>
    <w:rsid w:val="24155071"/>
    <w:rsid w:val="24174945"/>
    <w:rsid w:val="24286E9E"/>
    <w:rsid w:val="24290FC9"/>
    <w:rsid w:val="242D4168"/>
    <w:rsid w:val="242F6132"/>
    <w:rsid w:val="24380937"/>
    <w:rsid w:val="243A6885"/>
    <w:rsid w:val="244020ED"/>
    <w:rsid w:val="244A6AC8"/>
    <w:rsid w:val="244D480A"/>
    <w:rsid w:val="245142FB"/>
    <w:rsid w:val="245F1130"/>
    <w:rsid w:val="24612064"/>
    <w:rsid w:val="24704055"/>
    <w:rsid w:val="247A2217"/>
    <w:rsid w:val="247E6188"/>
    <w:rsid w:val="247E6772"/>
    <w:rsid w:val="248464CD"/>
    <w:rsid w:val="24860C2C"/>
    <w:rsid w:val="248A3369"/>
    <w:rsid w:val="248D0808"/>
    <w:rsid w:val="248D4C07"/>
    <w:rsid w:val="24945F95"/>
    <w:rsid w:val="24960973"/>
    <w:rsid w:val="249720B1"/>
    <w:rsid w:val="249D7DEE"/>
    <w:rsid w:val="24A34895"/>
    <w:rsid w:val="24A759DB"/>
    <w:rsid w:val="24A92885"/>
    <w:rsid w:val="24AD3DD3"/>
    <w:rsid w:val="24AF2DCF"/>
    <w:rsid w:val="24AF7273"/>
    <w:rsid w:val="24B17719"/>
    <w:rsid w:val="24B46637"/>
    <w:rsid w:val="24C65F34"/>
    <w:rsid w:val="24C74FB8"/>
    <w:rsid w:val="24C90335"/>
    <w:rsid w:val="24C91E6F"/>
    <w:rsid w:val="24CF6D94"/>
    <w:rsid w:val="24D40A88"/>
    <w:rsid w:val="24D437DB"/>
    <w:rsid w:val="24D46CDA"/>
    <w:rsid w:val="24D91145"/>
    <w:rsid w:val="24D942F0"/>
    <w:rsid w:val="24DB0068"/>
    <w:rsid w:val="24E64D5B"/>
    <w:rsid w:val="24EA0CD3"/>
    <w:rsid w:val="24F904EE"/>
    <w:rsid w:val="2500187D"/>
    <w:rsid w:val="25034EC9"/>
    <w:rsid w:val="25046061"/>
    <w:rsid w:val="250E5D48"/>
    <w:rsid w:val="251666DE"/>
    <w:rsid w:val="25186BC6"/>
    <w:rsid w:val="251931C4"/>
    <w:rsid w:val="251D54C7"/>
    <w:rsid w:val="25201F1F"/>
    <w:rsid w:val="25203CCD"/>
    <w:rsid w:val="252167B3"/>
    <w:rsid w:val="25261573"/>
    <w:rsid w:val="25270BB7"/>
    <w:rsid w:val="252C08C4"/>
    <w:rsid w:val="25381614"/>
    <w:rsid w:val="253A210A"/>
    <w:rsid w:val="253C7F6E"/>
    <w:rsid w:val="253D03DB"/>
    <w:rsid w:val="254A0D4A"/>
    <w:rsid w:val="254A2AF8"/>
    <w:rsid w:val="254B1E75"/>
    <w:rsid w:val="254C2D14"/>
    <w:rsid w:val="255231DD"/>
    <w:rsid w:val="25565941"/>
    <w:rsid w:val="25583039"/>
    <w:rsid w:val="25592D3B"/>
    <w:rsid w:val="255D0A7D"/>
    <w:rsid w:val="25640408"/>
    <w:rsid w:val="256B319A"/>
    <w:rsid w:val="256C2A6E"/>
    <w:rsid w:val="25722280"/>
    <w:rsid w:val="257537F7"/>
    <w:rsid w:val="25787665"/>
    <w:rsid w:val="257D4196"/>
    <w:rsid w:val="257D4C7B"/>
    <w:rsid w:val="2580723F"/>
    <w:rsid w:val="25826736"/>
    <w:rsid w:val="2584425C"/>
    <w:rsid w:val="25897AC4"/>
    <w:rsid w:val="258B383C"/>
    <w:rsid w:val="258C2605"/>
    <w:rsid w:val="25965D3D"/>
    <w:rsid w:val="259B0C62"/>
    <w:rsid w:val="259B1A98"/>
    <w:rsid w:val="259D531E"/>
    <w:rsid w:val="25AC730F"/>
    <w:rsid w:val="25B34B41"/>
    <w:rsid w:val="25B61F3B"/>
    <w:rsid w:val="25B74631"/>
    <w:rsid w:val="25B763DF"/>
    <w:rsid w:val="25C32FD6"/>
    <w:rsid w:val="25C40AFC"/>
    <w:rsid w:val="25C74149"/>
    <w:rsid w:val="25C805EC"/>
    <w:rsid w:val="25CC184C"/>
    <w:rsid w:val="25D36F91"/>
    <w:rsid w:val="25D54AB7"/>
    <w:rsid w:val="25D55FA5"/>
    <w:rsid w:val="25DA3E7C"/>
    <w:rsid w:val="25DA4676"/>
    <w:rsid w:val="25E847EB"/>
    <w:rsid w:val="25EA2F9C"/>
    <w:rsid w:val="25F079F0"/>
    <w:rsid w:val="25F413E1"/>
    <w:rsid w:val="25FF38E2"/>
    <w:rsid w:val="2601599D"/>
    <w:rsid w:val="26064F18"/>
    <w:rsid w:val="260A56C5"/>
    <w:rsid w:val="260D5FFF"/>
    <w:rsid w:val="260E1D77"/>
    <w:rsid w:val="26143832"/>
    <w:rsid w:val="261455E0"/>
    <w:rsid w:val="26192BF6"/>
    <w:rsid w:val="261C5885"/>
    <w:rsid w:val="261D1FBA"/>
    <w:rsid w:val="26217CFD"/>
    <w:rsid w:val="262B0B7B"/>
    <w:rsid w:val="262B2F0B"/>
    <w:rsid w:val="263122AC"/>
    <w:rsid w:val="263A1484"/>
    <w:rsid w:val="263A6020"/>
    <w:rsid w:val="263C68E5"/>
    <w:rsid w:val="26461511"/>
    <w:rsid w:val="264A1001"/>
    <w:rsid w:val="264F486A"/>
    <w:rsid w:val="264F5387"/>
    <w:rsid w:val="264F6618"/>
    <w:rsid w:val="26592BBE"/>
    <w:rsid w:val="265E685B"/>
    <w:rsid w:val="26630315"/>
    <w:rsid w:val="26657D14"/>
    <w:rsid w:val="26667E05"/>
    <w:rsid w:val="267000A3"/>
    <w:rsid w:val="267B5E32"/>
    <w:rsid w:val="267C3185"/>
    <w:rsid w:val="267F67D1"/>
    <w:rsid w:val="26832765"/>
    <w:rsid w:val="268418C0"/>
    <w:rsid w:val="26874D9F"/>
    <w:rsid w:val="268A3041"/>
    <w:rsid w:val="268D4178"/>
    <w:rsid w:val="268F727D"/>
    <w:rsid w:val="26924756"/>
    <w:rsid w:val="26955FF5"/>
    <w:rsid w:val="26977FBF"/>
    <w:rsid w:val="269C55D5"/>
    <w:rsid w:val="26AB75C6"/>
    <w:rsid w:val="26B26802"/>
    <w:rsid w:val="26B518B8"/>
    <w:rsid w:val="26C32218"/>
    <w:rsid w:val="26C97037"/>
    <w:rsid w:val="26D11723"/>
    <w:rsid w:val="26D134D1"/>
    <w:rsid w:val="26D227E7"/>
    <w:rsid w:val="26D32E9B"/>
    <w:rsid w:val="26D56143"/>
    <w:rsid w:val="26DB4B00"/>
    <w:rsid w:val="26DE799C"/>
    <w:rsid w:val="26E054C2"/>
    <w:rsid w:val="26E31456"/>
    <w:rsid w:val="26E50F1B"/>
    <w:rsid w:val="26E72CF4"/>
    <w:rsid w:val="26E825C8"/>
    <w:rsid w:val="26EA27E4"/>
    <w:rsid w:val="26EE4083"/>
    <w:rsid w:val="26F176CF"/>
    <w:rsid w:val="26F251F5"/>
    <w:rsid w:val="26F92A28"/>
    <w:rsid w:val="26FE1DEC"/>
    <w:rsid w:val="270513CC"/>
    <w:rsid w:val="270A0791"/>
    <w:rsid w:val="270D202F"/>
    <w:rsid w:val="270D3FD3"/>
    <w:rsid w:val="270D6452"/>
    <w:rsid w:val="27134A6F"/>
    <w:rsid w:val="271635D9"/>
    <w:rsid w:val="27167136"/>
    <w:rsid w:val="271B6D61"/>
    <w:rsid w:val="27234EF4"/>
    <w:rsid w:val="2724781E"/>
    <w:rsid w:val="2729330D"/>
    <w:rsid w:val="272C0707"/>
    <w:rsid w:val="272C4BAB"/>
    <w:rsid w:val="27361586"/>
    <w:rsid w:val="273656BF"/>
    <w:rsid w:val="27375E05"/>
    <w:rsid w:val="27425617"/>
    <w:rsid w:val="274912B9"/>
    <w:rsid w:val="274E4B21"/>
    <w:rsid w:val="275352E3"/>
    <w:rsid w:val="27541A0C"/>
    <w:rsid w:val="27547C5E"/>
    <w:rsid w:val="275A1CCC"/>
    <w:rsid w:val="275B0FEC"/>
    <w:rsid w:val="275B2D9A"/>
    <w:rsid w:val="275B5C32"/>
    <w:rsid w:val="275C529B"/>
    <w:rsid w:val="276B08BE"/>
    <w:rsid w:val="276C4FA7"/>
    <w:rsid w:val="277A5916"/>
    <w:rsid w:val="277D0F63"/>
    <w:rsid w:val="277F73CD"/>
    <w:rsid w:val="2782764C"/>
    <w:rsid w:val="27840BC4"/>
    <w:rsid w:val="27883A12"/>
    <w:rsid w:val="27893DAB"/>
    <w:rsid w:val="278F0C96"/>
    <w:rsid w:val="279348DD"/>
    <w:rsid w:val="27A24E6D"/>
    <w:rsid w:val="27A43656"/>
    <w:rsid w:val="27B54BA0"/>
    <w:rsid w:val="27BA1EC0"/>
    <w:rsid w:val="27BA5D13"/>
    <w:rsid w:val="27BF5A1F"/>
    <w:rsid w:val="27BF73C5"/>
    <w:rsid w:val="27C2106B"/>
    <w:rsid w:val="27CE5C62"/>
    <w:rsid w:val="27D04A78"/>
    <w:rsid w:val="27D664C7"/>
    <w:rsid w:val="27D8263D"/>
    <w:rsid w:val="27DF5779"/>
    <w:rsid w:val="27E50DCB"/>
    <w:rsid w:val="27E814E1"/>
    <w:rsid w:val="27F84A8D"/>
    <w:rsid w:val="280451E0"/>
    <w:rsid w:val="280A5CC4"/>
    <w:rsid w:val="28180C8B"/>
    <w:rsid w:val="281C07C0"/>
    <w:rsid w:val="281C4C20"/>
    <w:rsid w:val="281E2746"/>
    <w:rsid w:val="282835C4"/>
    <w:rsid w:val="28305FD5"/>
    <w:rsid w:val="28341F69"/>
    <w:rsid w:val="283C7070"/>
    <w:rsid w:val="283D650B"/>
    <w:rsid w:val="28467C09"/>
    <w:rsid w:val="284D76B0"/>
    <w:rsid w:val="28544104"/>
    <w:rsid w:val="28551EE0"/>
    <w:rsid w:val="286247C2"/>
    <w:rsid w:val="286345FC"/>
    <w:rsid w:val="28667C49"/>
    <w:rsid w:val="286725D6"/>
    <w:rsid w:val="2868457E"/>
    <w:rsid w:val="286C6DD6"/>
    <w:rsid w:val="286E6AFD"/>
    <w:rsid w:val="286F11F3"/>
    <w:rsid w:val="287014BE"/>
    <w:rsid w:val="287405B8"/>
    <w:rsid w:val="287C56BE"/>
    <w:rsid w:val="288602EB"/>
    <w:rsid w:val="2886653D"/>
    <w:rsid w:val="289073E2"/>
    <w:rsid w:val="289137AA"/>
    <w:rsid w:val="289522DC"/>
    <w:rsid w:val="289745EF"/>
    <w:rsid w:val="289B7C70"/>
    <w:rsid w:val="289E5635"/>
    <w:rsid w:val="28A211F5"/>
    <w:rsid w:val="28A267B2"/>
    <w:rsid w:val="28A2738B"/>
    <w:rsid w:val="28A6533A"/>
    <w:rsid w:val="28AE3FF9"/>
    <w:rsid w:val="28C43264"/>
    <w:rsid w:val="28C52BC1"/>
    <w:rsid w:val="28D04EA7"/>
    <w:rsid w:val="28D3799D"/>
    <w:rsid w:val="28D57A5B"/>
    <w:rsid w:val="28D9041B"/>
    <w:rsid w:val="28E05C4D"/>
    <w:rsid w:val="28E416C6"/>
    <w:rsid w:val="28E62FAC"/>
    <w:rsid w:val="28F6721F"/>
    <w:rsid w:val="28F72945"/>
    <w:rsid w:val="28F827CB"/>
    <w:rsid w:val="28FB2A87"/>
    <w:rsid w:val="2906785B"/>
    <w:rsid w:val="290D45B3"/>
    <w:rsid w:val="29117C6C"/>
    <w:rsid w:val="291678C1"/>
    <w:rsid w:val="29177195"/>
    <w:rsid w:val="291B6C85"/>
    <w:rsid w:val="29240E82"/>
    <w:rsid w:val="292673D8"/>
    <w:rsid w:val="292A336C"/>
    <w:rsid w:val="292A6EC8"/>
    <w:rsid w:val="29345F99"/>
    <w:rsid w:val="293B7327"/>
    <w:rsid w:val="293D4E4D"/>
    <w:rsid w:val="29451ACF"/>
    <w:rsid w:val="294A30C6"/>
    <w:rsid w:val="294F49C3"/>
    <w:rsid w:val="295201CD"/>
    <w:rsid w:val="29565F0F"/>
    <w:rsid w:val="295C6763"/>
    <w:rsid w:val="295F5CB6"/>
    <w:rsid w:val="2961371B"/>
    <w:rsid w:val="2964062C"/>
    <w:rsid w:val="29656152"/>
    <w:rsid w:val="29662844"/>
    <w:rsid w:val="29695C42"/>
    <w:rsid w:val="296A19BB"/>
    <w:rsid w:val="296D7FBF"/>
    <w:rsid w:val="29715E44"/>
    <w:rsid w:val="297840D8"/>
    <w:rsid w:val="297C1EC3"/>
    <w:rsid w:val="29855513"/>
    <w:rsid w:val="298D27DC"/>
    <w:rsid w:val="298E08BA"/>
    <w:rsid w:val="298F1421"/>
    <w:rsid w:val="2996630C"/>
    <w:rsid w:val="299802D6"/>
    <w:rsid w:val="299F1664"/>
    <w:rsid w:val="29A00F4C"/>
    <w:rsid w:val="29A0718A"/>
    <w:rsid w:val="29A9603F"/>
    <w:rsid w:val="29AC3B45"/>
    <w:rsid w:val="29B11398"/>
    <w:rsid w:val="29B60850"/>
    <w:rsid w:val="29BA649E"/>
    <w:rsid w:val="29C0782D"/>
    <w:rsid w:val="29DA08EE"/>
    <w:rsid w:val="29DA6C3B"/>
    <w:rsid w:val="29E21551"/>
    <w:rsid w:val="29E269C2"/>
    <w:rsid w:val="29E277A3"/>
    <w:rsid w:val="29E7326B"/>
    <w:rsid w:val="29F3375E"/>
    <w:rsid w:val="29F86FC6"/>
    <w:rsid w:val="29FA689B"/>
    <w:rsid w:val="29FE6080"/>
    <w:rsid w:val="29FF2103"/>
    <w:rsid w:val="29FF7627"/>
    <w:rsid w:val="2A005ACD"/>
    <w:rsid w:val="2A0135F7"/>
    <w:rsid w:val="2A0A42E6"/>
    <w:rsid w:val="2A0C4820"/>
    <w:rsid w:val="2A0D0CC4"/>
    <w:rsid w:val="2A1B2BEC"/>
    <w:rsid w:val="2A1E2D2D"/>
    <w:rsid w:val="2A273408"/>
    <w:rsid w:val="2A2C14EA"/>
    <w:rsid w:val="2A2D3BE5"/>
    <w:rsid w:val="2A2D631D"/>
    <w:rsid w:val="2A2E29E8"/>
    <w:rsid w:val="2A3224D8"/>
    <w:rsid w:val="2A36189D"/>
    <w:rsid w:val="2A3D2D8C"/>
    <w:rsid w:val="2A463845"/>
    <w:rsid w:val="2A4D7312"/>
    <w:rsid w:val="2A587A65"/>
    <w:rsid w:val="2A5D0E11"/>
    <w:rsid w:val="2A67601F"/>
    <w:rsid w:val="2A731122"/>
    <w:rsid w:val="2A750617"/>
    <w:rsid w:val="2A7C7BF7"/>
    <w:rsid w:val="2A7D127A"/>
    <w:rsid w:val="2A810D6A"/>
    <w:rsid w:val="2A895E70"/>
    <w:rsid w:val="2A8B3997"/>
    <w:rsid w:val="2A8B7231"/>
    <w:rsid w:val="2A8E3487"/>
    <w:rsid w:val="2A994C1B"/>
    <w:rsid w:val="2A9D71C6"/>
    <w:rsid w:val="2AA1140C"/>
    <w:rsid w:val="2AA44A58"/>
    <w:rsid w:val="2AA8279A"/>
    <w:rsid w:val="2AAA4765"/>
    <w:rsid w:val="2AB90504"/>
    <w:rsid w:val="2ABA6AD8"/>
    <w:rsid w:val="2AC46EA9"/>
    <w:rsid w:val="2AC86999"/>
    <w:rsid w:val="2AC91D50"/>
    <w:rsid w:val="2ACB5D3F"/>
    <w:rsid w:val="2ACB6D8B"/>
    <w:rsid w:val="2ACD0453"/>
    <w:rsid w:val="2ACD2181"/>
    <w:rsid w:val="2AD4533E"/>
    <w:rsid w:val="2AD66DE6"/>
    <w:rsid w:val="2AD839F2"/>
    <w:rsid w:val="2ADB5CCE"/>
    <w:rsid w:val="2AE05406"/>
    <w:rsid w:val="2AE85B42"/>
    <w:rsid w:val="2AEE41A6"/>
    <w:rsid w:val="2AF21C68"/>
    <w:rsid w:val="2AF61758"/>
    <w:rsid w:val="2AFE685E"/>
    <w:rsid w:val="2B104E04"/>
    <w:rsid w:val="2B146082"/>
    <w:rsid w:val="2B155FCC"/>
    <w:rsid w:val="2B17347C"/>
    <w:rsid w:val="2B1767BD"/>
    <w:rsid w:val="2B1971F4"/>
    <w:rsid w:val="2B1C4F36"/>
    <w:rsid w:val="2B2333E5"/>
    <w:rsid w:val="2B2838DB"/>
    <w:rsid w:val="2B2A7AD6"/>
    <w:rsid w:val="2B33475A"/>
    <w:rsid w:val="2B342E5A"/>
    <w:rsid w:val="2B3D07E9"/>
    <w:rsid w:val="2B3E25ED"/>
    <w:rsid w:val="2B3E30FF"/>
    <w:rsid w:val="2B3E7EBC"/>
    <w:rsid w:val="2B402010"/>
    <w:rsid w:val="2B412C7A"/>
    <w:rsid w:val="2B494DE2"/>
    <w:rsid w:val="2B4E5064"/>
    <w:rsid w:val="2B51698E"/>
    <w:rsid w:val="2B5446D0"/>
    <w:rsid w:val="2B586A07"/>
    <w:rsid w:val="2B593A95"/>
    <w:rsid w:val="2B5B780D"/>
    <w:rsid w:val="2B5E45BC"/>
    <w:rsid w:val="2B74267D"/>
    <w:rsid w:val="2B774A1C"/>
    <w:rsid w:val="2B7C4085"/>
    <w:rsid w:val="2B885195"/>
    <w:rsid w:val="2B911481"/>
    <w:rsid w:val="2B942D1F"/>
    <w:rsid w:val="2B967998"/>
    <w:rsid w:val="2BAD09D8"/>
    <w:rsid w:val="2BAD4CEB"/>
    <w:rsid w:val="2BAE2033"/>
    <w:rsid w:val="2BB43AC3"/>
    <w:rsid w:val="2BC41327"/>
    <w:rsid w:val="2BD575BF"/>
    <w:rsid w:val="2BD66E93"/>
    <w:rsid w:val="2BDB6BA0"/>
    <w:rsid w:val="2BE46810"/>
    <w:rsid w:val="2BE55033"/>
    <w:rsid w:val="2BE710A1"/>
    <w:rsid w:val="2BE772F2"/>
    <w:rsid w:val="2BEC0D73"/>
    <w:rsid w:val="2BF57C61"/>
    <w:rsid w:val="2C0003B4"/>
    <w:rsid w:val="2C043A01"/>
    <w:rsid w:val="2C0576E4"/>
    <w:rsid w:val="2C0729D3"/>
    <w:rsid w:val="2C0E0D23"/>
    <w:rsid w:val="2C1C51EE"/>
    <w:rsid w:val="2C2475FA"/>
    <w:rsid w:val="2C254FE6"/>
    <w:rsid w:val="2C2770B1"/>
    <w:rsid w:val="2C29679B"/>
    <w:rsid w:val="2C2B3683"/>
    <w:rsid w:val="2C340A44"/>
    <w:rsid w:val="2C3B112F"/>
    <w:rsid w:val="2C3D6F12"/>
    <w:rsid w:val="2C42500C"/>
    <w:rsid w:val="2C4420A6"/>
    <w:rsid w:val="2C46226B"/>
    <w:rsid w:val="2C4B162F"/>
    <w:rsid w:val="2C574478"/>
    <w:rsid w:val="2C597B21"/>
    <w:rsid w:val="2C5A5D16"/>
    <w:rsid w:val="2C616407"/>
    <w:rsid w:val="2C6A6029"/>
    <w:rsid w:val="2C6D3C9C"/>
    <w:rsid w:val="2C6D5A4A"/>
    <w:rsid w:val="2C770676"/>
    <w:rsid w:val="2C7843EE"/>
    <w:rsid w:val="2C7C3360"/>
    <w:rsid w:val="2C7C3EDF"/>
    <w:rsid w:val="2C8114F5"/>
    <w:rsid w:val="2C8132A3"/>
    <w:rsid w:val="2C8A6645"/>
    <w:rsid w:val="2C8F66B8"/>
    <w:rsid w:val="2C970D19"/>
    <w:rsid w:val="2C974875"/>
    <w:rsid w:val="2C9E3E55"/>
    <w:rsid w:val="2CA62D0A"/>
    <w:rsid w:val="2CA87B4F"/>
    <w:rsid w:val="2CAE56E3"/>
    <w:rsid w:val="2CB20D73"/>
    <w:rsid w:val="2CB32593"/>
    <w:rsid w:val="2CBC252D"/>
    <w:rsid w:val="2CBD0053"/>
    <w:rsid w:val="2CC43190"/>
    <w:rsid w:val="2CC82C80"/>
    <w:rsid w:val="2CD037C7"/>
    <w:rsid w:val="2CD26A2A"/>
    <w:rsid w:val="2CD5539D"/>
    <w:rsid w:val="2CDC6A41"/>
    <w:rsid w:val="2CE64C3D"/>
    <w:rsid w:val="2CEF2903"/>
    <w:rsid w:val="2CF1130B"/>
    <w:rsid w:val="2CF2743D"/>
    <w:rsid w:val="2CF77A09"/>
    <w:rsid w:val="2D0839C4"/>
    <w:rsid w:val="2D0E3338"/>
    <w:rsid w:val="2D0F4282"/>
    <w:rsid w:val="2D122A67"/>
    <w:rsid w:val="2D1367B9"/>
    <w:rsid w:val="2D1B36F8"/>
    <w:rsid w:val="2D1B54A6"/>
    <w:rsid w:val="2D1C5DB8"/>
    <w:rsid w:val="2D1D1B9F"/>
    <w:rsid w:val="2D216834"/>
    <w:rsid w:val="2D360531"/>
    <w:rsid w:val="2D393B7E"/>
    <w:rsid w:val="2D3B1661"/>
    <w:rsid w:val="2D3C33FD"/>
    <w:rsid w:val="2D3C71CA"/>
    <w:rsid w:val="2D406CBA"/>
    <w:rsid w:val="2D4349FC"/>
    <w:rsid w:val="2D4542D1"/>
    <w:rsid w:val="2D4B586F"/>
    <w:rsid w:val="2D4D13D7"/>
    <w:rsid w:val="2D517119"/>
    <w:rsid w:val="2D537CEC"/>
    <w:rsid w:val="2D616C31"/>
    <w:rsid w:val="2D6F134E"/>
    <w:rsid w:val="2D6F75A0"/>
    <w:rsid w:val="2D742E08"/>
    <w:rsid w:val="2D744BB6"/>
    <w:rsid w:val="2D79041E"/>
    <w:rsid w:val="2D7E25F4"/>
    <w:rsid w:val="2D945955"/>
    <w:rsid w:val="2D9829DE"/>
    <w:rsid w:val="2D9D235F"/>
    <w:rsid w:val="2DAF51C6"/>
    <w:rsid w:val="2DB256DE"/>
    <w:rsid w:val="2DBB6416"/>
    <w:rsid w:val="2DC21DC5"/>
    <w:rsid w:val="2DC86CB0"/>
    <w:rsid w:val="2DCB5812"/>
    <w:rsid w:val="2DCC0748"/>
    <w:rsid w:val="2DCC0C30"/>
    <w:rsid w:val="2DCE076A"/>
    <w:rsid w:val="2DE65699"/>
    <w:rsid w:val="2DE801DF"/>
    <w:rsid w:val="2DEA11F7"/>
    <w:rsid w:val="2DEF2C1B"/>
    <w:rsid w:val="2DF9330D"/>
    <w:rsid w:val="2DFD07F3"/>
    <w:rsid w:val="2DFD104F"/>
    <w:rsid w:val="2E0054A4"/>
    <w:rsid w:val="2E016928"/>
    <w:rsid w:val="2E0423DE"/>
    <w:rsid w:val="2E073E97"/>
    <w:rsid w:val="2E0917A2"/>
    <w:rsid w:val="2E0949AC"/>
    <w:rsid w:val="2E1173BA"/>
    <w:rsid w:val="2E163EBF"/>
    <w:rsid w:val="2E17533E"/>
    <w:rsid w:val="2E187C37"/>
    <w:rsid w:val="2E1A39AF"/>
    <w:rsid w:val="2E1C2EF5"/>
    <w:rsid w:val="2E1D6FFC"/>
    <w:rsid w:val="2E1E4228"/>
    <w:rsid w:val="2E293BF2"/>
    <w:rsid w:val="2E2973EF"/>
    <w:rsid w:val="2E34629C"/>
    <w:rsid w:val="2E364637"/>
    <w:rsid w:val="2E3D31FA"/>
    <w:rsid w:val="2E3E2B28"/>
    <w:rsid w:val="2E402CEA"/>
    <w:rsid w:val="2E4300D5"/>
    <w:rsid w:val="2E4564F4"/>
    <w:rsid w:val="2E472722"/>
    <w:rsid w:val="2E481C07"/>
    <w:rsid w:val="2E497DF1"/>
    <w:rsid w:val="2E4B5422"/>
    <w:rsid w:val="2E5549E7"/>
    <w:rsid w:val="2E787819"/>
    <w:rsid w:val="2E8B7CC7"/>
    <w:rsid w:val="2E8C7A38"/>
    <w:rsid w:val="2E921798"/>
    <w:rsid w:val="2E923A27"/>
    <w:rsid w:val="2E933762"/>
    <w:rsid w:val="2E9848D4"/>
    <w:rsid w:val="2E9A2C57"/>
    <w:rsid w:val="2EA65243"/>
    <w:rsid w:val="2EAD65D1"/>
    <w:rsid w:val="2EB001C3"/>
    <w:rsid w:val="2EB060C2"/>
    <w:rsid w:val="2EB15996"/>
    <w:rsid w:val="2EB57234"/>
    <w:rsid w:val="2EB61B31"/>
    <w:rsid w:val="2EBE07DF"/>
    <w:rsid w:val="2EC07F89"/>
    <w:rsid w:val="2EC456C9"/>
    <w:rsid w:val="2EC96E71"/>
    <w:rsid w:val="2ECA280E"/>
    <w:rsid w:val="2ECC4AEA"/>
    <w:rsid w:val="2ED50A5B"/>
    <w:rsid w:val="2EDA4EED"/>
    <w:rsid w:val="2EDA6C9B"/>
    <w:rsid w:val="2EE214BA"/>
    <w:rsid w:val="2EE43FBD"/>
    <w:rsid w:val="2EED40BB"/>
    <w:rsid w:val="2EEE2746"/>
    <w:rsid w:val="2EF246F7"/>
    <w:rsid w:val="2EF84F00"/>
    <w:rsid w:val="2F0029BF"/>
    <w:rsid w:val="2F0A60BD"/>
    <w:rsid w:val="2F0B154A"/>
    <w:rsid w:val="2F0F054D"/>
    <w:rsid w:val="2F10229A"/>
    <w:rsid w:val="2F135070"/>
    <w:rsid w:val="2F155F25"/>
    <w:rsid w:val="2F157D3A"/>
    <w:rsid w:val="2F183841"/>
    <w:rsid w:val="2F1E6A16"/>
    <w:rsid w:val="2F20542D"/>
    <w:rsid w:val="2F21036F"/>
    <w:rsid w:val="2F210D6D"/>
    <w:rsid w:val="2F25085E"/>
    <w:rsid w:val="2F2666CA"/>
    <w:rsid w:val="2F2B1AF0"/>
    <w:rsid w:val="2F2E6FE6"/>
    <w:rsid w:val="2F3C6DC2"/>
    <w:rsid w:val="2F436F36"/>
    <w:rsid w:val="2F454A5C"/>
    <w:rsid w:val="2F480EDA"/>
    <w:rsid w:val="2F532CB4"/>
    <w:rsid w:val="2F550B8A"/>
    <w:rsid w:val="2F560A17"/>
    <w:rsid w:val="2F57478F"/>
    <w:rsid w:val="2F594063"/>
    <w:rsid w:val="2F5A7DDB"/>
    <w:rsid w:val="2F607DC1"/>
    <w:rsid w:val="2F646705"/>
    <w:rsid w:val="2F662C24"/>
    <w:rsid w:val="2F7B047E"/>
    <w:rsid w:val="2F860BD0"/>
    <w:rsid w:val="2F881786"/>
    <w:rsid w:val="2F8A6913"/>
    <w:rsid w:val="2F8D253E"/>
    <w:rsid w:val="2F911A4F"/>
    <w:rsid w:val="2F955397"/>
    <w:rsid w:val="2F961566"/>
    <w:rsid w:val="2F967065"/>
    <w:rsid w:val="2F971030"/>
    <w:rsid w:val="2F9718C9"/>
    <w:rsid w:val="2F9F7C82"/>
    <w:rsid w:val="2FA5374C"/>
    <w:rsid w:val="2FB219C5"/>
    <w:rsid w:val="2FB35E69"/>
    <w:rsid w:val="2FB870D9"/>
    <w:rsid w:val="2FBB4372"/>
    <w:rsid w:val="2FC122B8"/>
    <w:rsid w:val="2FD61B58"/>
    <w:rsid w:val="2FDF2F73"/>
    <w:rsid w:val="2FE7412E"/>
    <w:rsid w:val="2FEC09B7"/>
    <w:rsid w:val="2FEE6EA1"/>
    <w:rsid w:val="2FEF2C1A"/>
    <w:rsid w:val="2FF52209"/>
    <w:rsid w:val="2FFB511A"/>
    <w:rsid w:val="3002294D"/>
    <w:rsid w:val="300F20AC"/>
    <w:rsid w:val="301E705B"/>
    <w:rsid w:val="302208F9"/>
    <w:rsid w:val="302525DF"/>
    <w:rsid w:val="30314FE0"/>
    <w:rsid w:val="30326E02"/>
    <w:rsid w:val="303562C4"/>
    <w:rsid w:val="30395170"/>
    <w:rsid w:val="303B019D"/>
    <w:rsid w:val="303B19BB"/>
    <w:rsid w:val="303F598D"/>
    <w:rsid w:val="304214BF"/>
    <w:rsid w:val="30446AC1"/>
    <w:rsid w:val="30450A8C"/>
    <w:rsid w:val="304B5DEC"/>
    <w:rsid w:val="304C3BC8"/>
    <w:rsid w:val="304C5976"/>
    <w:rsid w:val="304D4617"/>
    <w:rsid w:val="304F76D1"/>
    <w:rsid w:val="3050190A"/>
    <w:rsid w:val="305425A6"/>
    <w:rsid w:val="305F7D9F"/>
    <w:rsid w:val="3060796F"/>
    <w:rsid w:val="30744ECD"/>
    <w:rsid w:val="30781B51"/>
    <w:rsid w:val="30782C0F"/>
    <w:rsid w:val="307A6987"/>
    <w:rsid w:val="307D6DD7"/>
    <w:rsid w:val="307F3F9D"/>
    <w:rsid w:val="308415B4"/>
    <w:rsid w:val="3086532C"/>
    <w:rsid w:val="30874C00"/>
    <w:rsid w:val="308B2113"/>
    <w:rsid w:val="308B46F0"/>
    <w:rsid w:val="30901D07"/>
    <w:rsid w:val="30916255"/>
    <w:rsid w:val="309B06AC"/>
    <w:rsid w:val="309F3AD0"/>
    <w:rsid w:val="30A27C8C"/>
    <w:rsid w:val="30AA0F06"/>
    <w:rsid w:val="30AB444D"/>
    <w:rsid w:val="30AE6631"/>
    <w:rsid w:val="30B8125D"/>
    <w:rsid w:val="30BA4FD6"/>
    <w:rsid w:val="30C16364"/>
    <w:rsid w:val="30C20153"/>
    <w:rsid w:val="30C2342B"/>
    <w:rsid w:val="30C41146"/>
    <w:rsid w:val="30C9346B"/>
    <w:rsid w:val="30CA5E03"/>
    <w:rsid w:val="30CD2F5B"/>
    <w:rsid w:val="30D14C7E"/>
    <w:rsid w:val="30D440BB"/>
    <w:rsid w:val="30DD4D80"/>
    <w:rsid w:val="30E20088"/>
    <w:rsid w:val="30E262DA"/>
    <w:rsid w:val="30E53541"/>
    <w:rsid w:val="30E6401D"/>
    <w:rsid w:val="30ED2940"/>
    <w:rsid w:val="30ED7159"/>
    <w:rsid w:val="30F57DBC"/>
    <w:rsid w:val="310149B3"/>
    <w:rsid w:val="31024FC4"/>
    <w:rsid w:val="310821E5"/>
    <w:rsid w:val="310B75DF"/>
    <w:rsid w:val="31124E12"/>
    <w:rsid w:val="31174143"/>
    <w:rsid w:val="31174F81"/>
    <w:rsid w:val="311A5A74"/>
    <w:rsid w:val="3123144B"/>
    <w:rsid w:val="31235140"/>
    <w:rsid w:val="31244B45"/>
    <w:rsid w:val="312863E3"/>
    <w:rsid w:val="313308E4"/>
    <w:rsid w:val="313E3AD9"/>
    <w:rsid w:val="313F372D"/>
    <w:rsid w:val="31464ABB"/>
    <w:rsid w:val="314708FE"/>
    <w:rsid w:val="314825E1"/>
    <w:rsid w:val="31490108"/>
    <w:rsid w:val="315A7B86"/>
    <w:rsid w:val="315F6EB9"/>
    <w:rsid w:val="31633E12"/>
    <w:rsid w:val="31634510"/>
    <w:rsid w:val="316A69FC"/>
    <w:rsid w:val="316F28AF"/>
    <w:rsid w:val="317038E6"/>
    <w:rsid w:val="31730F8C"/>
    <w:rsid w:val="31792C8B"/>
    <w:rsid w:val="317C04DD"/>
    <w:rsid w:val="31880C30"/>
    <w:rsid w:val="319475D5"/>
    <w:rsid w:val="319E66A5"/>
    <w:rsid w:val="31A279BF"/>
    <w:rsid w:val="31AC0DC2"/>
    <w:rsid w:val="31B049D3"/>
    <w:rsid w:val="31B04BC6"/>
    <w:rsid w:val="31B45EC9"/>
    <w:rsid w:val="31B63085"/>
    <w:rsid w:val="31BD2FCF"/>
    <w:rsid w:val="31BE4652"/>
    <w:rsid w:val="31C679AA"/>
    <w:rsid w:val="31C75DAA"/>
    <w:rsid w:val="31C94AFB"/>
    <w:rsid w:val="31CD0D39"/>
    <w:rsid w:val="31D04385"/>
    <w:rsid w:val="31E247E4"/>
    <w:rsid w:val="31E3230A"/>
    <w:rsid w:val="31E537D3"/>
    <w:rsid w:val="31E85B72"/>
    <w:rsid w:val="31F462C5"/>
    <w:rsid w:val="31F91B2E"/>
    <w:rsid w:val="31FE0EF2"/>
    <w:rsid w:val="31FE335B"/>
    <w:rsid w:val="32026530"/>
    <w:rsid w:val="32072B0C"/>
    <w:rsid w:val="32087FC3"/>
    <w:rsid w:val="320A3476"/>
    <w:rsid w:val="320C257F"/>
    <w:rsid w:val="320C360F"/>
    <w:rsid w:val="320D1338"/>
    <w:rsid w:val="32144A36"/>
    <w:rsid w:val="321B5F48"/>
    <w:rsid w:val="322748ED"/>
    <w:rsid w:val="322C0750"/>
    <w:rsid w:val="3233535A"/>
    <w:rsid w:val="323460BD"/>
    <w:rsid w:val="323B0398"/>
    <w:rsid w:val="32432DA9"/>
    <w:rsid w:val="32496611"/>
    <w:rsid w:val="324F5BF1"/>
    <w:rsid w:val="32562ADC"/>
    <w:rsid w:val="32655415"/>
    <w:rsid w:val="32696CB3"/>
    <w:rsid w:val="3271056A"/>
    <w:rsid w:val="32785148"/>
    <w:rsid w:val="327A0EC0"/>
    <w:rsid w:val="327F0285"/>
    <w:rsid w:val="328238D1"/>
    <w:rsid w:val="328A0EFA"/>
    <w:rsid w:val="328B764C"/>
    <w:rsid w:val="328E671A"/>
    <w:rsid w:val="328F2FA3"/>
    <w:rsid w:val="32917FB8"/>
    <w:rsid w:val="32A91F0D"/>
    <w:rsid w:val="32B3067F"/>
    <w:rsid w:val="32B617CD"/>
    <w:rsid w:val="32B75C71"/>
    <w:rsid w:val="32BE2CA3"/>
    <w:rsid w:val="32C04BFA"/>
    <w:rsid w:val="32C959A4"/>
    <w:rsid w:val="32D228C1"/>
    <w:rsid w:val="32D3412D"/>
    <w:rsid w:val="32D60F2A"/>
    <w:rsid w:val="32D87995"/>
    <w:rsid w:val="32DD144F"/>
    <w:rsid w:val="32DE3285"/>
    <w:rsid w:val="32E12CC6"/>
    <w:rsid w:val="32E4633A"/>
    <w:rsid w:val="32E77BD8"/>
    <w:rsid w:val="32E8417D"/>
    <w:rsid w:val="32EC51EE"/>
    <w:rsid w:val="32FB467E"/>
    <w:rsid w:val="330F51F8"/>
    <w:rsid w:val="33150BE9"/>
    <w:rsid w:val="33206EC9"/>
    <w:rsid w:val="3321133C"/>
    <w:rsid w:val="33264BA4"/>
    <w:rsid w:val="33265597"/>
    <w:rsid w:val="332901F1"/>
    <w:rsid w:val="332A3ED0"/>
    <w:rsid w:val="333045FB"/>
    <w:rsid w:val="333170A5"/>
    <w:rsid w:val="33354DE7"/>
    <w:rsid w:val="33382D02"/>
    <w:rsid w:val="333A5A3B"/>
    <w:rsid w:val="333B5506"/>
    <w:rsid w:val="333E57F7"/>
    <w:rsid w:val="335604B6"/>
    <w:rsid w:val="335756BE"/>
    <w:rsid w:val="33590AD6"/>
    <w:rsid w:val="335B4EBC"/>
    <w:rsid w:val="335C2374"/>
    <w:rsid w:val="335D2E2F"/>
    <w:rsid w:val="335D7253"/>
    <w:rsid w:val="3360409A"/>
    <w:rsid w:val="336054FE"/>
    <w:rsid w:val="33635433"/>
    <w:rsid w:val="336456CD"/>
    <w:rsid w:val="336C1E57"/>
    <w:rsid w:val="336D0EAB"/>
    <w:rsid w:val="33812F3E"/>
    <w:rsid w:val="33835B53"/>
    <w:rsid w:val="338B4D67"/>
    <w:rsid w:val="338C3812"/>
    <w:rsid w:val="33945FB2"/>
    <w:rsid w:val="33956E2D"/>
    <w:rsid w:val="339A4C4A"/>
    <w:rsid w:val="339D48BD"/>
    <w:rsid w:val="33A44248"/>
    <w:rsid w:val="33AB0337"/>
    <w:rsid w:val="33B349E2"/>
    <w:rsid w:val="33B73A4E"/>
    <w:rsid w:val="33B74D71"/>
    <w:rsid w:val="33C543BD"/>
    <w:rsid w:val="33C5697B"/>
    <w:rsid w:val="33CF6FEA"/>
    <w:rsid w:val="33D22636"/>
    <w:rsid w:val="33D30EC6"/>
    <w:rsid w:val="33D62126"/>
    <w:rsid w:val="33DE722D"/>
    <w:rsid w:val="33DF4656"/>
    <w:rsid w:val="33F10D85"/>
    <w:rsid w:val="33F151B2"/>
    <w:rsid w:val="33F15A98"/>
    <w:rsid w:val="33F56325"/>
    <w:rsid w:val="33FB7DDF"/>
    <w:rsid w:val="34051A7E"/>
    <w:rsid w:val="34062C50"/>
    <w:rsid w:val="34180991"/>
    <w:rsid w:val="341E1D1F"/>
    <w:rsid w:val="34284655"/>
    <w:rsid w:val="342B1D46"/>
    <w:rsid w:val="342C7F98"/>
    <w:rsid w:val="34496D9C"/>
    <w:rsid w:val="34565EA6"/>
    <w:rsid w:val="34594B05"/>
    <w:rsid w:val="345E036E"/>
    <w:rsid w:val="345E249A"/>
    <w:rsid w:val="34633EA9"/>
    <w:rsid w:val="34676195"/>
    <w:rsid w:val="34711E4F"/>
    <w:rsid w:val="34784F8C"/>
    <w:rsid w:val="34943D90"/>
    <w:rsid w:val="349C231E"/>
    <w:rsid w:val="349C3CDB"/>
    <w:rsid w:val="34AB53F0"/>
    <w:rsid w:val="34B561E0"/>
    <w:rsid w:val="34B65AB4"/>
    <w:rsid w:val="34BB131C"/>
    <w:rsid w:val="34BE4161"/>
    <w:rsid w:val="34BF4AE6"/>
    <w:rsid w:val="34C46423"/>
    <w:rsid w:val="34CA155F"/>
    <w:rsid w:val="34CC177B"/>
    <w:rsid w:val="34D154E0"/>
    <w:rsid w:val="34DB3F45"/>
    <w:rsid w:val="34E72111"/>
    <w:rsid w:val="34E8485A"/>
    <w:rsid w:val="34E93AAE"/>
    <w:rsid w:val="34EC3BCC"/>
    <w:rsid w:val="34EE4C4E"/>
    <w:rsid w:val="34F3447D"/>
    <w:rsid w:val="3504584B"/>
    <w:rsid w:val="350C19D9"/>
    <w:rsid w:val="350F3DCC"/>
    <w:rsid w:val="35176F74"/>
    <w:rsid w:val="351C28A5"/>
    <w:rsid w:val="351D5B33"/>
    <w:rsid w:val="35234FE0"/>
    <w:rsid w:val="35273295"/>
    <w:rsid w:val="352E7D40"/>
    <w:rsid w:val="352F7778"/>
    <w:rsid w:val="35324DD8"/>
    <w:rsid w:val="35335357"/>
    <w:rsid w:val="35417A73"/>
    <w:rsid w:val="35441312"/>
    <w:rsid w:val="354808CB"/>
    <w:rsid w:val="354A4D70"/>
    <w:rsid w:val="354B6BD7"/>
    <w:rsid w:val="354D2F7F"/>
    <w:rsid w:val="35586B6B"/>
    <w:rsid w:val="355A2295"/>
    <w:rsid w:val="356035C6"/>
    <w:rsid w:val="35626713"/>
    <w:rsid w:val="35655629"/>
    <w:rsid w:val="35675000"/>
    <w:rsid w:val="3569521C"/>
    <w:rsid w:val="356B0178"/>
    <w:rsid w:val="356C2617"/>
    <w:rsid w:val="357070B5"/>
    <w:rsid w:val="35717C54"/>
    <w:rsid w:val="358527EE"/>
    <w:rsid w:val="358D2CB9"/>
    <w:rsid w:val="358D5119"/>
    <w:rsid w:val="358E3F5F"/>
    <w:rsid w:val="358F4C83"/>
    <w:rsid w:val="359202CF"/>
    <w:rsid w:val="3592207D"/>
    <w:rsid w:val="35942299"/>
    <w:rsid w:val="359A3628"/>
    <w:rsid w:val="35AA3319"/>
    <w:rsid w:val="35B201FA"/>
    <w:rsid w:val="35B9536A"/>
    <w:rsid w:val="35BC534C"/>
    <w:rsid w:val="35C673BA"/>
    <w:rsid w:val="35C67F79"/>
    <w:rsid w:val="35CB373C"/>
    <w:rsid w:val="35D00DF7"/>
    <w:rsid w:val="35D20DC3"/>
    <w:rsid w:val="35D341BA"/>
    <w:rsid w:val="35D87FA9"/>
    <w:rsid w:val="35DE565D"/>
    <w:rsid w:val="35E6466D"/>
    <w:rsid w:val="35E7713D"/>
    <w:rsid w:val="35ED3757"/>
    <w:rsid w:val="35ED39E1"/>
    <w:rsid w:val="35EF74CF"/>
    <w:rsid w:val="35F32813"/>
    <w:rsid w:val="35F92F20"/>
    <w:rsid w:val="36054F45"/>
    <w:rsid w:val="360B1E2F"/>
    <w:rsid w:val="360C62D3"/>
    <w:rsid w:val="361115A1"/>
    <w:rsid w:val="361433DA"/>
    <w:rsid w:val="36195DA0"/>
    <w:rsid w:val="361E1B63"/>
    <w:rsid w:val="36204EC2"/>
    <w:rsid w:val="36233B90"/>
    <w:rsid w:val="36251143"/>
    <w:rsid w:val="362F4CE7"/>
    <w:rsid w:val="3632560E"/>
    <w:rsid w:val="36343134"/>
    <w:rsid w:val="363616CB"/>
    <w:rsid w:val="36394BEF"/>
    <w:rsid w:val="363B0967"/>
    <w:rsid w:val="363F1C03"/>
    <w:rsid w:val="364041CF"/>
    <w:rsid w:val="36431B73"/>
    <w:rsid w:val="36483084"/>
    <w:rsid w:val="364D2448"/>
    <w:rsid w:val="3650732A"/>
    <w:rsid w:val="365612FD"/>
    <w:rsid w:val="365B0E13"/>
    <w:rsid w:val="36633A19"/>
    <w:rsid w:val="36645416"/>
    <w:rsid w:val="366652B8"/>
    <w:rsid w:val="366C4FC4"/>
    <w:rsid w:val="366C716A"/>
    <w:rsid w:val="366F23BE"/>
    <w:rsid w:val="36732D61"/>
    <w:rsid w:val="367479D5"/>
    <w:rsid w:val="36764AC8"/>
    <w:rsid w:val="367B6F24"/>
    <w:rsid w:val="367C21A4"/>
    <w:rsid w:val="36841337"/>
    <w:rsid w:val="36873BAC"/>
    <w:rsid w:val="3687595A"/>
    <w:rsid w:val="368816D2"/>
    <w:rsid w:val="368A273F"/>
    <w:rsid w:val="36A06A1C"/>
    <w:rsid w:val="36A52284"/>
    <w:rsid w:val="36A57B46"/>
    <w:rsid w:val="36A940A6"/>
    <w:rsid w:val="36AC53C0"/>
    <w:rsid w:val="36B424C7"/>
    <w:rsid w:val="36B96E85"/>
    <w:rsid w:val="36BA092E"/>
    <w:rsid w:val="36BC355C"/>
    <w:rsid w:val="36C00E6C"/>
    <w:rsid w:val="36C01A5A"/>
    <w:rsid w:val="36C50003"/>
    <w:rsid w:val="36CE33E3"/>
    <w:rsid w:val="36CF7301"/>
    <w:rsid w:val="36D14E27"/>
    <w:rsid w:val="36D16B63"/>
    <w:rsid w:val="36D30B9F"/>
    <w:rsid w:val="36DC30A9"/>
    <w:rsid w:val="36E365E5"/>
    <w:rsid w:val="36E72F9D"/>
    <w:rsid w:val="36E763F9"/>
    <w:rsid w:val="36E96615"/>
    <w:rsid w:val="36EC3A0F"/>
    <w:rsid w:val="36F154C9"/>
    <w:rsid w:val="36F27057"/>
    <w:rsid w:val="36F36B33"/>
    <w:rsid w:val="37074CED"/>
    <w:rsid w:val="370C2303"/>
    <w:rsid w:val="37113475"/>
    <w:rsid w:val="371400F8"/>
    <w:rsid w:val="371D3512"/>
    <w:rsid w:val="372413FB"/>
    <w:rsid w:val="37296A11"/>
    <w:rsid w:val="372C02AF"/>
    <w:rsid w:val="372E4027"/>
    <w:rsid w:val="3732121D"/>
    <w:rsid w:val="373C4996"/>
    <w:rsid w:val="373F4487"/>
    <w:rsid w:val="37401061"/>
    <w:rsid w:val="37405F3D"/>
    <w:rsid w:val="37425D25"/>
    <w:rsid w:val="37476E97"/>
    <w:rsid w:val="37490E61"/>
    <w:rsid w:val="374B6987"/>
    <w:rsid w:val="375170C8"/>
    <w:rsid w:val="375F2433"/>
    <w:rsid w:val="37677539"/>
    <w:rsid w:val="37682828"/>
    <w:rsid w:val="37692E75"/>
    <w:rsid w:val="37702892"/>
    <w:rsid w:val="377063EE"/>
    <w:rsid w:val="37714C12"/>
    <w:rsid w:val="3773325A"/>
    <w:rsid w:val="37757EA8"/>
    <w:rsid w:val="377C2FE5"/>
    <w:rsid w:val="377E29CE"/>
    <w:rsid w:val="3784633D"/>
    <w:rsid w:val="37854BE4"/>
    <w:rsid w:val="37865C12"/>
    <w:rsid w:val="37945F4C"/>
    <w:rsid w:val="37972EC4"/>
    <w:rsid w:val="37983B97"/>
    <w:rsid w:val="379C29D4"/>
    <w:rsid w:val="37A34973"/>
    <w:rsid w:val="37A405B5"/>
    <w:rsid w:val="37A4253C"/>
    <w:rsid w:val="37B409D1"/>
    <w:rsid w:val="37C254A8"/>
    <w:rsid w:val="37C624B2"/>
    <w:rsid w:val="37CB7AC8"/>
    <w:rsid w:val="37CE1367"/>
    <w:rsid w:val="37D01583"/>
    <w:rsid w:val="37D7646D"/>
    <w:rsid w:val="37DA5F5D"/>
    <w:rsid w:val="37DD15AA"/>
    <w:rsid w:val="37E1553E"/>
    <w:rsid w:val="37E34E12"/>
    <w:rsid w:val="37E67829"/>
    <w:rsid w:val="37F54B45"/>
    <w:rsid w:val="37F60FE9"/>
    <w:rsid w:val="37F822F2"/>
    <w:rsid w:val="38033706"/>
    <w:rsid w:val="38044D88"/>
    <w:rsid w:val="380B5122"/>
    <w:rsid w:val="3810372D"/>
    <w:rsid w:val="381E5E4A"/>
    <w:rsid w:val="3834414C"/>
    <w:rsid w:val="3836588A"/>
    <w:rsid w:val="3837183F"/>
    <w:rsid w:val="38384202"/>
    <w:rsid w:val="383912C2"/>
    <w:rsid w:val="384503F0"/>
    <w:rsid w:val="3848463C"/>
    <w:rsid w:val="384F01E2"/>
    <w:rsid w:val="384F7C6E"/>
    <w:rsid w:val="38545D10"/>
    <w:rsid w:val="38547ABE"/>
    <w:rsid w:val="385512EB"/>
    <w:rsid w:val="38584521"/>
    <w:rsid w:val="38586FCF"/>
    <w:rsid w:val="385900D0"/>
    <w:rsid w:val="385A62F6"/>
    <w:rsid w:val="385B0E4C"/>
    <w:rsid w:val="385B52F0"/>
    <w:rsid w:val="38651CCB"/>
    <w:rsid w:val="386F794F"/>
    <w:rsid w:val="38736F13"/>
    <w:rsid w:val="38761CD2"/>
    <w:rsid w:val="38787C50"/>
    <w:rsid w:val="387A419F"/>
    <w:rsid w:val="388D2FD0"/>
    <w:rsid w:val="38912AC0"/>
    <w:rsid w:val="389431E7"/>
    <w:rsid w:val="38961E84"/>
    <w:rsid w:val="38966328"/>
    <w:rsid w:val="389725E0"/>
    <w:rsid w:val="389B56ED"/>
    <w:rsid w:val="389C7F90"/>
    <w:rsid w:val="38A04AB1"/>
    <w:rsid w:val="38B22A36"/>
    <w:rsid w:val="38B82F9B"/>
    <w:rsid w:val="38BB18EB"/>
    <w:rsid w:val="38BD5663"/>
    <w:rsid w:val="38CE5AC2"/>
    <w:rsid w:val="38E2156D"/>
    <w:rsid w:val="38E56968"/>
    <w:rsid w:val="38E70932"/>
    <w:rsid w:val="38EA0422"/>
    <w:rsid w:val="38EB6E2C"/>
    <w:rsid w:val="38F024E5"/>
    <w:rsid w:val="38F207D6"/>
    <w:rsid w:val="38F21E7C"/>
    <w:rsid w:val="38F31085"/>
    <w:rsid w:val="38F848ED"/>
    <w:rsid w:val="38FF3F16"/>
    <w:rsid w:val="390037A2"/>
    <w:rsid w:val="39006985"/>
    <w:rsid w:val="390F7E89"/>
    <w:rsid w:val="3911775D"/>
    <w:rsid w:val="39161217"/>
    <w:rsid w:val="39194863"/>
    <w:rsid w:val="3922196A"/>
    <w:rsid w:val="392960D1"/>
    <w:rsid w:val="392B23DF"/>
    <w:rsid w:val="392B4CC2"/>
    <w:rsid w:val="393C377D"/>
    <w:rsid w:val="393E57ED"/>
    <w:rsid w:val="39425C56"/>
    <w:rsid w:val="39445D84"/>
    <w:rsid w:val="394967A2"/>
    <w:rsid w:val="394B54F4"/>
    <w:rsid w:val="394E6C03"/>
    <w:rsid w:val="39505A0B"/>
    <w:rsid w:val="395C60AE"/>
    <w:rsid w:val="39613805"/>
    <w:rsid w:val="39616936"/>
    <w:rsid w:val="39625E6E"/>
    <w:rsid w:val="39683E29"/>
    <w:rsid w:val="396A50BF"/>
    <w:rsid w:val="396E2E01"/>
    <w:rsid w:val="39706B79"/>
    <w:rsid w:val="397C3770"/>
    <w:rsid w:val="397D27F8"/>
    <w:rsid w:val="39842348"/>
    <w:rsid w:val="39861EF9"/>
    <w:rsid w:val="398A5A01"/>
    <w:rsid w:val="399955C9"/>
    <w:rsid w:val="399D1DD6"/>
    <w:rsid w:val="399D7242"/>
    <w:rsid w:val="39A779B6"/>
    <w:rsid w:val="39AC0BAB"/>
    <w:rsid w:val="39B50A30"/>
    <w:rsid w:val="39BA7DF4"/>
    <w:rsid w:val="39BC591B"/>
    <w:rsid w:val="39BF18AF"/>
    <w:rsid w:val="39BF365D"/>
    <w:rsid w:val="39C42A21"/>
    <w:rsid w:val="39C5692B"/>
    <w:rsid w:val="39CD3FCC"/>
    <w:rsid w:val="39DA66B4"/>
    <w:rsid w:val="39E82BB3"/>
    <w:rsid w:val="39EB6200"/>
    <w:rsid w:val="39ED0C4F"/>
    <w:rsid w:val="39F350B4"/>
    <w:rsid w:val="39FF3B4C"/>
    <w:rsid w:val="3A0379ED"/>
    <w:rsid w:val="3A045513"/>
    <w:rsid w:val="3A053765"/>
    <w:rsid w:val="3A116A50"/>
    <w:rsid w:val="3A127C30"/>
    <w:rsid w:val="3A190FBF"/>
    <w:rsid w:val="3A1E0E30"/>
    <w:rsid w:val="3A2319B1"/>
    <w:rsid w:val="3A241712"/>
    <w:rsid w:val="3A2F07E2"/>
    <w:rsid w:val="3A2F2590"/>
    <w:rsid w:val="3A306308"/>
    <w:rsid w:val="3A322081"/>
    <w:rsid w:val="3A323E2F"/>
    <w:rsid w:val="3A325BDD"/>
    <w:rsid w:val="3A336466"/>
    <w:rsid w:val="3A3E4582"/>
    <w:rsid w:val="3A43603C"/>
    <w:rsid w:val="3A49605D"/>
    <w:rsid w:val="3A4A1178"/>
    <w:rsid w:val="3A4A561C"/>
    <w:rsid w:val="3A4D6EBA"/>
    <w:rsid w:val="3A533EB8"/>
    <w:rsid w:val="3A573895"/>
    <w:rsid w:val="3A5B46D2"/>
    <w:rsid w:val="3A5C3C90"/>
    <w:rsid w:val="3A5C70FE"/>
    <w:rsid w:val="3A5E69D2"/>
    <w:rsid w:val="3A63048C"/>
    <w:rsid w:val="3A6A0CCC"/>
    <w:rsid w:val="3A6F313C"/>
    <w:rsid w:val="3A7A7584"/>
    <w:rsid w:val="3A7E52C6"/>
    <w:rsid w:val="3A887EF3"/>
    <w:rsid w:val="3A896B3F"/>
    <w:rsid w:val="3A8B5B7E"/>
    <w:rsid w:val="3A8D7EEA"/>
    <w:rsid w:val="3A993EAE"/>
    <w:rsid w:val="3AA82343"/>
    <w:rsid w:val="3AAA0260"/>
    <w:rsid w:val="3AC0143A"/>
    <w:rsid w:val="3AC23D63"/>
    <w:rsid w:val="3ACC7DDF"/>
    <w:rsid w:val="3ACD3B57"/>
    <w:rsid w:val="3AD46C94"/>
    <w:rsid w:val="3AD566BC"/>
    <w:rsid w:val="3ADB0022"/>
    <w:rsid w:val="3AE47A81"/>
    <w:rsid w:val="3AEA2EEF"/>
    <w:rsid w:val="3AEF1277"/>
    <w:rsid w:val="3AEF4789"/>
    <w:rsid w:val="3AF80796"/>
    <w:rsid w:val="3B003F2D"/>
    <w:rsid w:val="3B057795"/>
    <w:rsid w:val="3B070E17"/>
    <w:rsid w:val="3B0B28A5"/>
    <w:rsid w:val="3B0E664A"/>
    <w:rsid w:val="3B11613A"/>
    <w:rsid w:val="3B1A0C17"/>
    <w:rsid w:val="3B295232"/>
    <w:rsid w:val="3B2B01AA"/>
    <w:rsid w:val="3B31058A"/>
    <w:rsid w:val="3B3756B1"/>
    <w:rsid w:val="3B3B31B7"/>
    <w:rsid w:val="3B473D10"/>
    <w:rsid w:val="3B4958D4"/>
    <w:rsid w:val="3B514788"/>
    <w:rsid w:val="3B567FF1"/>
    <w:rsid w:val="3B5A188F"/>
    <w:rsid w:val="3B5C72C2"/>
    <w:rsid w:val="3B5D312D"/>
    <w:rsid w:val="3B6049CB"/>
    <w:rsid w:val="3B62551E"/>
    <w:rsid w:val="3B631480"/>
    <w:rsid w:val="3B6A705F"/>
    <w:rsid w:val="3B6E0E96"/>
    <w:rsid w:val="3B732951"/>
    <w:rsid w:val="3B7364AD"/>
    <w:rsid w:val="3B74226D"/>
    <w:rsid w:val="3B774BD5"/>
    <w:rsid w:val="3B806E1C"/>
    <w:rsid w:val="3B8561E0"/>
    <w:rsid w:val="3B862684"/>
    <w:rsid w:val="3B9A04C3"/>
    <w:rsid w:val="3B9B7AE9"/>
    <w:rsid w:val="3BA24FE4"/>
    <w:rsid w:val="3BAD23FE"/>
    <w:rsid w:val="3BAF7702"/>
    <w:rsid w:val="3BB23D12"/>
    <w:rsid w:val="3BB6283D"/>
    <w:rsid w:val="3BBC60C0"/>
    <w:rsid w:val="3BCB62E9"/>
    <w:rsid w:val="3BCE3B9A"/>
    <w:rsid w:val="3BDA29D0"/>
    <w:rsid w:val="3BDB5D0D"/>
    <w:rsid w:val="3BDF7FE6"/>
    <w:rsid w:val="3BE66755"/>
    <w:rsid w:val="3BE70C49"/>
    <w:rsid w:val="3C0435A9"/>
    <w:rsid w:val="3C0C6E71"/>
    <w:rsid w:val="3C0D4F9C"/>
    <w:rsid w:val="3C1213D0"/>
    <w:rsid w:val="3C13403E"/>
    <w:rsid w:val="3C153A08"/>
    <w:rsid w:val="3C2105FF"/>
    <w:rsid w:val="3C277297"/>
    <w:rsid w:val="3C2974B3"/>
    <w:rsid w:val="3C2B4FD9"/>
    <w:rsid w:val="3C300842"/>
    <w:rsid w:val="3C335C3C"/>
    <w:rsid w:val="3C357C06"/>
    <w:rsid w:val="3C3C1319"/>
    <w:rsid w:val="3C4165AB"/>
    <w:rsid w:val="3C4E57F2"/>
    <w:rsid w:val="3C5307BA"/>
    <w:rsid w:val="3C5738CA"/>
    <w:rsid w:val="3C5F0C48"/>
    <w:rsid w:val="3C632457"/>
    <w:rsid w:val="3C6329C5"/>
    <w:rsid w:val="3C636521"/>
    <w:rsid w:val="3C683B38"/>
    <w:rsid w:val="3C6B3628"/>
    <w:rsid w:val="3C7265BA"/>
    <w:rsid w:val="3C7526A2"/>
    <w:rsid w:val="3C7B7D0F"/>
    <w:rsid w:val="3C7C6E25"/>
    <w:rsid w:val="3C830972"/>
    <w:rsid w:val="3C860462"/>
    <w:rsid w:val="3C88227A"/>
    <w:rsid w:val="3C88242C"/>
    <w:rsid w:val="3C8A79D9"/>
    <w:rsid w:val="3C911781"/>
    <w:rsid w:val="3C965237"/>
    <w:rsid w:val="3C9C5ED7"/>
    <w:rsid w:val="3C9E67F8"/>
    <w:rsid w:val="3CA4011E"/>
    <w:rsid w:val="3CA60B04"/>
    <w:rsid w:val="3CA74F18"/>
    <w:rsid w:val="3CAC7699"/>
    <w:rsid w:val="3CAF79B9"/>
    <w:rsid w:val="3CB82E16"/>
    <w:rsid w:val="3CBF4BC3"/>
    <w:rsid w:val="3CCA2A44"/>
    <w:rsid w:val="3CCC59C3"/>
    <w:rsid w:val="3CD64F45"/>
    <w:rsid w:val="3CD825B8"/>
    <w:rsid w:val="3CDE204C"/>
    <w:rsid w:val="3CE04016"/>
    <w:rsid w:val="3CE1705C"/>
    <w:rsid w:val="3CEB2A8A"/>
    <w:rsid w:val="3CF861D7"/>
    <w:rsid w:val="3CF950D8"/>
    <w:rsid w:val="3D073351"/>
    <w:rsid w:val="3D0C0967"/>
    <w:rsid w:val="3D127F47"/>
    <w:rsid w:val="3D1847CA"/>
    <w:rsid w:val="3D2008B6"/>
    <w:rsid w:val="3D3305EA"/>
    <w:rsid w:val="3D3879AE"/>
    <w:rsid w:val="3D422326"/>
    <w:rsid w:val="3D4520CB"/>
    <w:rsid w:val="3D485717"/>
    <w:rsid w:val="3D491BBB"/>
    <w:rsid w:val="3D4E0F7F"/>
    <w:rsid w:val="3D5159F3"/>
    <w:rsid w:val="3D536596"/>
    <w:rsid w:val="3D580050"/>
    <w:rsid w:val="3D5B369C"/>
    <w:rsid w:val="3D5D11C3"/>
    <w:rsid w:val="3D5E4F3B"/>
    <w:rsid w:val="3D6E33D0"/>
    <w:rsid w:val="3D6E3BAA"/>
    <w:rsid w:val="3D6F7148"/>
    <w:rsid w:val="3D7B5AED"/>
    <w:rsid w:val="3D8175A7"/>
    <w:rsid w:val="3D842BF3"/>
    <w:rsid w:val="3D85719F"/>
    <w:rsid w:val="3D8C3E06"/>
    <w:rsid w:val="3D931088"/>
    <w:rsid w:val="3D93111C"/>
    <w:rsid w:val="3D9A2417"/>
    <w:rsid w:val="3D9B45C1"/>
    <w:rsid w:val="3D9F17DB"/>
    <w:rsid w:val="3DA54918"/>
    <w:rsid w:val="3DA95C27"/>
    <w:rsid w:val="3DAD3404"/>
    <w:rsid w:val="3DB61BC4"/>
    <w:rsid w:val="3DB73E2A"/>
    <w:rsid w:val="3DB833E8"/>
    <w:rsid w:val="3DC6320C"/>
    <w:rsid w:val="3DC63F94"/>
    <w:rsid w:val="3DC92CFC"/>
    <w:rsid w:val="3DD27E02"/>
    <w:rsid w:val="3DD35929"/>
    <w:rsid w:val="3DDA6F1C"/>
    <w:rsid w:val="3DDD2303"/>
    <w:rsid w:val="3DE11DF4"/>
    <w:rsid w:val="3DE12EF9"/>
    <w:rsid w:val="3DF31B27"/>
    <w:rsid w:val="3DF633C5"/>
    <w:rsid w:val="3DF90C4F"/>
    <w:rsid w:val="3E083824"/>
    <w:rsid w:val="3E0A45E0"/>
    <w:rsid w:val="3E196E16"/>
    <w:rsid w:val="3E1C3664"/>
    <w:rsid w:val="3E1F7BD4"/>
    <w:rsid w:val="3E210442"/>
    <w:rsid w:val="3E29379B"/>
    <w:rsid w:val="3E2972F7"/>
    <w:rsid w:val="3E303ABD"/>
    <w:rsid w:val="3E341A3B"/>
    <w:rsid w:val="3E366DDC"/>
    <w:rsid w:val="3E375EB7"/>
    <w:rsid w:val="3E3C2C4E"/>
    <w:rsid w:val="3E3D55A3"/>
    <w:rsid w:val="3E4203B8"/>
    <w:rsid w:val="3E4405D4"/>
    <w:rsid w:val="3E481E73"/>
    <w:rsid w:val="3E495BEB"/>
    <w:rsid w:val="3E502AD5"/>
    <w:rsid w:val="3E536394"/>
    <w:rsid w:val="3E544B88"/>
    <w:rsid w:val="3E5A3954"/>
    <w:rsid w:val="3E5D51F2"/>
    <w:rsid w:val="3E6622F9"/>
    <w:rsid w:val="3E6E11AD"/>
    <w:rsid w:val="3E7013C9"/>
    <w:rsid w:val="3E704F26"/>
    <w:rsid w:val="3E72181C"/>
    <w:rsid w:val="3E772758"/>
    <w:rsid w:val="3E7E7642"/>
    <w:rsid w:val="3E7F0199"/>
    <w:rsid w:val="3E810EE1"/>
    <w:rsid w:val="3E833FCF"/>
    <w:rsid w:val="3E846C23"/>
    <w:rsid w:val="3E86735F"/>
    <w:rsid w:val="3E8D1F7B"/>
    <w:rsid w:val="3E8F3DDF"/>
    <w:rsid w:val="3E92505C"/>
    <w:rsid w:val="3E927592"/>
    <w:rsid w:val="3E9735A8"/>
    <w:rsid w:val="3E9E5F37"/>
    <w:rsid w:val="3EA42E21"/>
    <w:rsid w:val="3EB56DDC"/>
    <w:rsid w:val="3EBC016B"/>
    <w:rsid w:val="3EBC62C8"/>
    <w:rsid w:val="3EC3599D"/>
    <w:rsid w:val="3EC51715"/>
    <w:rsid w:val="3EC80C8D"/>
    <w:rsid w:val="3EC853EB"/>
    <w:rsid w:val="3ECA2888"/>
    <w:rsid w:val="3ED43706"/>
    <w:rsid w:val="3ED74FA5"/>
    <w:rsid w:val="3EE11CA2"/>
    <w:rsid w:val="3EE17BD1"/>
    <w:rsid w:val="3EED6576"/>
    <w:rsid w:val="3EF57598"/>
    <w:rsid w:val="3EF618CF"/>
    <w:rsid w:val="3F040BCB"/>
    <w:rsid w:val="3F092439"/>
    <w:rsid w:val="3F10433E"/>
    <w:rsid w:val="3F12422F"/>
    <w:rsid w:val="3F134431"/>
    <w:rsid w:val="3F163D1F"/>
    <w:rsid w:val="3F191BE0"/>
    <w:rsid w:val="3F1D32FF"/>
    <w:rsid w:val="3F270508"/>
    <w:rsid w:val="3F2D1069"/>
    <w:rsid w:val="3F36616F"/>
    <w:rsid w:val="3F3917BB"/>
    <w:rsid w:val="3F402B4A"/>
    <w:rsid w:val="3F431BC8"/>
    <w:rsid w:val="3F43263A"/>
    <w:rsid w:val="3F450160"/>
    <w:rsid w:val="3F4A7E6C"/>
    <w:rsid w:val="3F4D5267"/>
    <w:rsid w:val="3F4E4E59"/>
    <w:rsid w:val="3F5816A2"/>
    <w:rsid w:val="3F5834B6"/>
    <w:rsid w:val="3F5D5AEE"/>
    <w:rsid w:val="3F63453D"/>
    <w:rsid w:val="3F634A8A"/>
    <w:rsid w:val="3F773E18"/>
    <w:rsid w:val="3F776FA5"/>
    <w:rsid w:val="3F7C732E"/>
    <w:rsid w:val="3F7E4AE7"/>
    <w:rsid w:val="3F823162"/>
    <w:rsid w:val="3F8D3732"/>
    <w:rsid w:val="3F8F762D"/>
    <w:rsid w:val="3F9921E2"/>
    <w:rsid w:val="3F9C7D6C"/>
    <w:rsid w:val="3F9D7F9C"/>
    <w:rsid w:val="3FA70E1B"/>
    <w:rsid w:val="3FB05F21"/>
    <w:rsid w:val="3FB11C9A"/>
    <w:rsid w:val="3FB76478"/>
    <w:rsid w:val="3FB84DD6"/>
    <w:rsid w:val="3FC17179"/>
    <w:rsid w:val="3FC217B1"/>
    <w:rsid w:val="3FC419CD"/>
    <w:rsid w:val="3FC52C55"/>
    <w:rsid w:val="3FC94921"/>
    <w:rsid w:val="3FCA4B09"/>
    <w:rsid w:val="3FCB578F"/>
    <w:rsid w:val="3FDA4D4C"/>
    <w:rsid w:val="3FDB17C4"/>
    <w:rsid w:val="3FE23C01"/>
    <w:rsid w:val="3FE71D85"/>
    <w:rsid w:val="40041DC9"/>
    <w:rsid w:val="400E0E9A"/>
    <w:rsid w:val="400F5C1C"/>
    <w:rsid w:val="401144E6"/>
    <w:rsid w:val="40175E66"/>
    <w:rsid w:val="40183AC7"/>
    <w:rsid w:val="40194186"/>
    <w:rsid w:val="401B0F1D"/>
    <w:rsid w:val="401C5365"/>
    <w:rsid w:val="401F09B1"/>
    <w:rsid w:val="401F30A7"/>
    <w:rsid w:val="4021297B"/>
    <w:rsid w:val="40267F92"/>
    <w:rsid w:val="40273D0A"/>
    <w:rsid w:val="40286E5F"/>
    <w:rsid w:val="402F47C4"/>
    <w:rsid w:val="40303CBB"/>
    <w:rsid w:val="403F39C6"/>
    <w:rsid w:val="404448BC"/>
    <w:rsid w:val="40472746"/>
    <w:rsid w:val="4048251D"/>
    <w:rsid w:val="404A526A"/>
    <w:rsid w:val="404B0440"/>
    <w:rsid w:val="404B17A6"/>
    <w:rsid w:val="404C3770"/>
    <w:rsid w:val="40574C5C"/>
    <w:rsid w:val="405C1C05"/>
    <w:rsid w:val="40632F94"/>
    <w:rsid w:val="406A1BCA"/>
    <w:rsid w:val="4081490E"/>
    <w:rsid w:val="40833567"/>
    <w:rsid w:val="408829FA"/>
    <w:rsid w:val="40891C7B"/>
    <w:rsid w:val="408B24EB"/>
    <w:rsid w:val="4090365D"/>
    <w:rsid w:val="40951929"/>
    <w:rsid w:val="40956EC5"/>
    <w:rsid w:val="409A440B"/>
    <w:rsid w:val="409B2C7E"/>
    <w:rsid w:val="409C5EB9"/>
    <w:rsid w:val="409D24C0"/>
    <w:rsid w:val="40A35A86"/>
    <w:rsid w:val="40A47108"/>
    <w:rsid w:val="40A72962"/>
    <w:rsid w:val="40AD420F"/>
    <w:rsid w:val="40B01F51"/>
    <w:rsid w:val="40B07F23"/>
    <w:rsid w:val="40B25CC9"/>
    <w:rsid w:val="40B808FD"/>
    <w:rsid w:val="40BD5926"/>
    <w:rsid w:val="40C1415E"/>
    <w:rsid w:val="40C658B6"/>
    <w:rsid w:val="40D73D5E"/>
    <w:rsid w:val="40DF6392"/>
    <w:rsid w:val="40E439A9"/>
    <w:rsid w:val="40EA14BF"/>
    <w:rsid w:val="40F03B15"/>
    <w:rsid w:val="40F37AD9"/>
    <w:rsid w:val="40FA0F28"/>
    <w:rsid w:val="410249FD"/>
    <w:rsid w:val="410E0F55"/>
    <w:rsid w:val="41106F25"/>
    <w:rsid w:val="41124178"/>
    <w:rsid w:val="41140732"/>
    <w:rsid w:val="4114603C"/>
    <w:rsid w:val="41161732"/>
    <w:rsid w:val="41175B2C"/>
    <w:rsid w:val="41180F3A"/>
    <w:rsid w:val="411B386E"/>
    <w:rsid w:val="41216845"/>
    <w:rsid w:val="4122431B"/>
    <w:rsid w:val="41255810"/>
    <w:rsid w:val="4125649B"/>
    <w:rsid w:val="412A5860"/>
    <w:rsid w:val="412F10C8"/>
    <w:rsid w:val="41300A50"/>
    <w:rsid w:val="41391F47"/>
    <w:rsid w:val="414932AA"/>
    <w:rsid w:val="414D59F2"/>
    <w:rsid w:val="414F52C6"/>
    <w:rsid w:val="41594397"/>
    <w:rsid w:val="415B067C"/>
    <w:rsid w:val="41645156"/>
    <w:rsid w:val="416A2EBE"/>
    <w:rsid w:val="416C231C"/>
    <w:rsid w:val="416C40CA"/>
    <w:rsid w:val="41751ADF"/>
    <w:rsid w:val="4177481D"/>
    <w:rsid w:val="417E7959"/>
    <w:rsid w:val="417F18AB"/>
    <w:rsid w:val="418935C6"/>
    <w:rsid w:val="418F2C46"/>
    <w:rsid w:val="418F600A"/>
    <w:rsid w:val="41970A1B"/>
    <w:rsid w:val="41986B84"/>
    <w:rsid w:val="41A01FC6"/>
    <w:rsid w:val="41A2189A"/>
    <w:rsid w:val="41A41AB6"/>
    <w:rsid w:val="41AA69A0"/>
    <w:rsid w:val="41AC44C7"/>
    <w:rsid w:val="41BB6E00"/>
    <w:rsid w:val="41C04416"/>
    <w:rsid w:val="41C104AA"/>
    <w:rsid w:val="41C545E5"/>
    <w:rsid w:val="41C55588"/>
    <w:rsid w:val="41C757A4"/>
    <w:rsid w:val="41C77552"/>
    <w:rsid w:val="41CC6917"/>
    <w:rsid w:val="41D1217F"/>
    <w:rsid w:val="41D41C6F"/>
    <w:rsid w:val="41D54049"/>
    <w:rsid w:val="41D67795"/>
    <w:rsid w:val="41D70F57"/>
    <w:rsid w:val="41DB1250"/>
    <w:rsid w:val="41E00812"/>
    <w:rsid w:val="41E04573"/>
    <w:rsid w:val="41E33C60"/>
    <w:rsid w:val="41E77BF5"/>
    <w:rsid w:val="41EC520B"/>
    <w:rsid w:val="41ED03F9"/>
    <w:rsid w:val="41F45E6E"/>
    <w:rsid w:val="420F3A27"/>
    <w:rsid w:val="422624CB"/>
    <w:rsid w:val="42285F13"/>
    <w:rsid w:val="42293D69"/>
    <w:rsid w:val="42295B17"/>
    <w:rsid w:val="422A188F"/>
    <w:rsid w:val="422C351D"/>
    <w:rsid w:val="42336996"/>
    <w:rsid w:val="423430DF"/>
    <w:rsid w:val="42350FD1"/>
    <w:rsid w:val="423544BC"/>
    <w:rsid w:val="42360234"/>
    <w:rsid w:val="425F2158"/>
    <w:rsid w:val="42607AAF"/>
    <w:rsid w:val="4262727B"/>
    <w:rsid w:val="42755200"/>
    <w:rsid w:val="427C5A57"/>
    <w:rsid w:val="42844D1D"/>
    <w:rsid w:val="42845230"/>
    <w:rsid w:val="42845443"/>
    <w:rsid w:val="42944AD2"/>
    <w:rsid w:val="429529BC"/>
    <w:rsid w:val="42975177"/>
    <w:rsid w:val="429A4C67"/>
    <w:rsid w:val="429C09DF"/>
    <w:rsid w:val="429E219E"/>
    <w:rsid w:val="42A6360C"/>
    <w:rsid w:val="42B0448A"/>
    <w:rsid w:val="42B70B7D"/>
    <w:rsid w:val="42BB13EF"/>
    <w:rsid w:val="42BC4BDD"/>
    <w:rsid w:val="42BF231A"/>
    <w:rsid w:val="42C10446"/>
    <w:rsid w:val="42C62E87"/>
    <w:rsid w:val="42C713FF"/>
    <w:rsid w:val="42CB6BCE"/>
    <w:rsid w:val="42CD02C9"/>
    <w:rsid w:val="42CD79CC"/>
    <w:rsid w:val="42D71A17"/>
    <w:rsid w:val="42D75573"/>
    <w:rsid w:val="42D875A4"/>
    <w:rsid w:val="42E650B4"/>
    <w:rsid w:val="42F27259"/>
    <w:rsid w:val="42F273CF"/>
    <w:rsid w:val="42FE4D96"/>
    <w:rsid w:val="42FE6FA4"/>
    <w:rsid w:val="43016A94"/>
    <w:rsid w:val="43041F0A"/>
    <w:rsid w:val="43056584"/>
    <w:rsid w:val="43095949"/>
    <w:rsid w:val="430F11B1"/>
    <w:rsid w:val="43100A85"/>
    <w:rsid w:val="43151446"/>
    <w:rsid w:val="4315253F"/>
    <w:rsid w:val="431E13F4"/>
    <w:rsid w:val="432307B8"/>
    <w:rsid w:val="432D5ADB"/>
    <w:rsid w:val="43312BC4"/>
    <w:rsid w:val="43362BE2"/>
    <w:rsid w:val="4340580E"/>
    <w:rsid w:val="434075BC"/>
    <w:rsid w:val="434370AD"/>
    <w:rsid w:val="434A3F97"/>
    <w:rsid w:val="434E48F9"/>
    <w:rsid w:val="43525542"/>
    <w:rsid w:val="435272F0"/>
    <w:rsid w:val="4359242C"/>
    <w:rsid w:val="435B43F6"/>
    <w:rsid w:val="435C016E"/>
    <w:rsid w:val="43615785"/>
    <w:rsid w:val="436A4639"/>
    <w:rsid w:val="436B215F"/>
    <w:rsid w:val="436F6E91"/>
    <w:rsid w:val="4374652E"/>
    <w:rsid w:val="43762FDE"/>
    <w:rsid w:val="437817D5"/>
    <w:rsid w:val="437A6A42"/>
    <w:rsid w:val="438035E8"/>
    <w:rsid w:val="43805C0B"/>
    <w:rsid w:val="438B42E4"/>
    <w:rsid w:val="438C32CD"/>
    <w:rsid w:val="43923B90"/>
    <w:rsid w:val="43942E5F"/>
    <w:rsid w:val="439D3B2B"/>
    <w:rsid w:val="43A044FF"/>
    <w:rsid w:val="43A062AD"/>
    <w:rsid w:val="43AC6A00"/>
    <w:rsid w:val="43B9111D"/>
    <w:rsid w:val="43C401ED"/>
    <w:rsid w:val="43C4245E"/>
    <w:rsid w:val="43C71A8C"/>
    <w:rsid w:val="43C7383A"/>
    <w:rsid w:val="43C80859"/>
    <w:rsid w:val="43CB255C"/>
    <w:rsid w:val="43CD1D87"/>
    <w:rsid w:val="43D5430E"/>
    <w:rsid w:val="43D97719"/>
    <w:rsid w:val="43DC43C6"/>
    <w:rsid w:val="43E30F41"/>
    <w:rsid w:val="43E3619A"/>
    <w:rsid w:val="43E53CC0"/>
    <w:rsid w:val="43F6411F"/>
    <w:rsid w:val="43F644F6"/>
    <w:rsid w:val="44004F9E"/>
    <w:rsid w:val="44074311"/>
    <w:rsid w:val="440920A4"/>
    <w:rsid w:val="440E76BA"/>
    <w:rsid w:val="44114AB5"/>
    <w:rsid w:val="44154AB9"/>
    <w:rsid w:val="441D78FE"/>
    <w:rsid w:val="441E4BDC"/>
    <w:rsid w:val="442B201A"/>
    <w:rsid w:val="44380293"/>
    <w:rsid w:val="443864E5"/>
    <w:rsid w:val="44392A6D"/>
    <w:rsid w:val="443D58AA"/>
    <w:rsid w:val="4440539A"/>
    <w:rsid w:val="44450C02"/>
    <w:rsid w:val="44454CB5"/>
    <w:rsid w:val="445E35D2"/>
    <w:rsid w:val="446948F1"/>
    <w:rsid w:val="44695E35"/>
    <w:rsid w:val="446B638C"/>
    <w:rsid w:val="446C55DF"/>
    <w:rsid w:val="44742F80"/>
    <w:rsid w:val="4476700E"/>
    <w:rsid w:val="447B63D2"/>
    <w:rsid w:val="448224FD"/>
    <w:rsid w:val="448938A2"/>
    <w:rsid w:val="448D4A83"/>
    <w:rsid w:val="448E07FB"/>
    <w:rsid w:val="44935E12"/>
    <w:rsid w:val="44974BC1"/>
    <w:rsid w:val="449A0F4E"/>
    <w:rsid w:val="44A1408B"/>
    <w:rsid w:val="44A21BB1"/>
    <w:rsid w:val="44A6065D"/>
    <w:rsid w:val="44A8366B"/>
    <w:rsid w:val="44A973E3"/>
    <w:rsid w:val="44AD0C81"/>
    <w:rsid w:val="44AE03D8"/>
    <w:rsid w:val="44B30262"/>
    <w:rsid w:val="44C1768E"/>
    <w:rsid w:val="44C63AF1"/>
    <w:rsid w:val="44C64DC5"/>
    <w:rsid w:val="44CB735A"/>
    <w:rsid w:val="44CC46BA"/>
    <w:rsid w:val="44CD2D4F"/>
    <w:rsid w:val="44D31E62"/>
    <w:rsid w:val="44D75CFE"/>
    <w:rsid w:val="44D94BC1"/>
    <w:rsid w:val="44DD0E3B"/>
    <w:rsid w:val="44DF43FD"/>
    <w:rsid w:val="44E07874"/>
    <w:rsid w:val="44E977E0"/>
    <w:rsid w:val="44ED6C31"/>
    <w:rsid w:val="44FA19ED"/>
    <w:rsid w:val="44FE772F"/>
    <w:rsid w:val="44FF7003"/>
    <w:rsid w:val="45014B29"/>
    <w:rsid w:val="45062140"/>
    <w:rsid w:val="45174716"/>
    <w:rsid w:val="4524461F"/>
    <w:rsid w:val="45252F0E"/>
    <w:rsid w:val="45260245"/>
    <w:rsid w:val="45270B59"/>
    <w:rsid w:val="452D3B70"/>
    <w:rsid w:val="453C2005"/>
    <w:rsid w:val="45417B55"/>
    <w:rsid w:val="4554734F"/>
    <w:rsid w:val="455E01CE"/>
    <w:rsid w:val="455F3C69"/>
    <w:rsid w:val="45676F6B"/>
    <w:rsid w:val="45684BA8"/>
    <w:rsid w:val="456926CF"/>
    <w:rsid w:val="456C3C48"/>
    <w:rsid w:val="456E5467"/>
    <w:rsid w:val="456F5BF8"/>
    <w:rsid w:val="4577128F"/>
    <w:rsid w:val="457C5613"/>
    <w:rsid w:val="457F1EF2"/>
    <w:rsid w:val="45854E0B"/>
    <w:rsid w:val="458A4224"/>
    <w:rsid w:val="458E4348"/>
    <w:rsid w:val="458F359B"/>
    <w:rsid w:val="458F65D9"/>
    <w:rsid w:val="45912351"/>
    <w:rsid w:val="45965BB9"/>
    <w:rsid w:val="459C0CF6"/>
    <w:rsid w:val="45A81449"/>
    <w:rsid w:val="45AC7C5B"/>
    <w:rsid w:val="45B20519"/>
    <w:rsid w:val="45B7168C"/>
    <w:rsid w:val="45BD3146"/>
    <w:rsid w:val="45CC3389"/>
    <w:rsid w:val="45CE1EE4"/>
    <w:rsid w:val="45CF7050"/>
    <w:rsid w:val="45D109A0"/>
    <w:rsid w:val="45D364DE"/>
    <w:rsid w:val="45D4223E"/>
    <w:rsid w:val="45E561F9"/>
    <w:rsid w:val="45EC049F"/>
    <w:rsid w:val="45EC0586"/>
    <w:rsid w:val="45ED3300"/>
    <w:rsid w:val="45F20916"/>
    <w:rsid w:val="45F427F6"/>
    <w:rsid w:val="45FF375F"/>
    <w:rsid w:val="46014B0D"/>
    <w:rsid w:val="46037A58"/>
    <w:rsid w:val="46101274"/>
    <w:rsid w:val="4618037D"/>
    <w:rsid w:val="46180D70"/>
    <w:rsid w:val="463052D7"/>
    <w:rsid w:val="46411F54"/>
    <w:rsid w:val="46456C98"/>
    <w:rsid w:val="46511AE0"/>
    <w:rsid w:val="4651388E"/>
    <w:rsid w:val="46526980"/>
    <w:rsid w:val="465869CB"/>
    <w:rsid w:val="46596054"/>
    <w:rsid w:val="465966D9"/>
    <w:rsid w:val="465D66D7"/>
    <w:rsid w:val="46611733"/>
    <w:rsid w:val="466435C2"/>
    <w:rsid w:val="466C06C8"/>
    <w:rsid w:val="466D48FE"/>
    <w:rsid w:val="466E0628"/>
    <w:rsid w:val="467B6B5D"/>
    <w:rsid w:val="46804174"/>
    <w:rsid w:val="46821C9A"/>
    <w:rsid w:val="46890D28"/>
    <w:rsid w:val="468A6DA0"/>
    <w:rsid w:val="46933EA7"/>
    <w:rsid w:val="46935C55"/>
    <w:rsid w:val="4698770F"/>
    <w:rsid w:val="469D6AD4"/>
    <w:rsid w:val="46A208D4"/>
    <w:rsid w:val="46A61E2C"/>
    <w:rsid w:val="46A71276"/>
    <w:rsid w:val="46AE0CE1"/>
    <w:rsid w:val="46AE2A8F"/>
    <w:rsid w:val="46BE08EC"/>
    <w:rsid w:val="46C2653A"/>
    <w:rsid w:val="46C91677"/>
    <w:rsid w:val="46D07D86"/>
    <w:rsid w:val="46D1677D"/>
    <w:rsid w:val="46D324F5"/>
    <w:rsid w:val="46D544C0"/>
    <w:rsid w:val="46DD3374"/>
    <w:rsid w:val="46E65FF8"/>
    <w:rsid w:val="46ED5D07"/>
    <w:rsid w:val="46F5246C"/>
    <w:rsid w:val="46F87CD5"/>
    <w:rsid w:val="46FC5C72"/>
    <w:rsid w:val="46FC7C9E"/>
    <w:rsid w:val="470152B5"/>
    <w:rsid w:val="4702068F"/>
    <w:rsid w:val="47040901"/>
    <w:rsid w:val="47090486"/>
    <w:rsid w:val="470C5720"/>
    <w:rsid w:val="470E79D1"/>
    <w:rsid w:val="47100444"/>
    <w:rsid w:val="47121270"/>
    <w:rsid w:val="47186B04"/>
    <w:rsid w:val="471C3E9C"/>
    <w:rsid w:val="47317C5F"/>
    <w:rsid w:val="473C07E3"/>
    <w:rsid w:val="473F40DA"/>
    <w:rsid w:val="473F7B8B"/>
    <w:rsid w:val="47574ED5"/>
    <w:rsid w:val="476C2E00"/>
    <w:rsid w:val="476D35B4"/>
    <w:rsid w:val="47732375"/>
    <w:rsid w:val="47737835"/>
    <w:rsid w:val="477A0BC3"/>
    <w:rsid w:val="47833F1C"/>
    <w:rsid w:val="47842BED"/>
    <w:rsid w:val="478A52AA"/>
    <w:rsid w:val="478C352C"/>
    <w:rsid w:val="479223B1"/>
    <w:rsid w:val="4793090F"/>
    <w:rsid w:val="47961EA1"/>
    <w:rsid w:val="479954ED"/>
    <w:rsid w:val="479A7B3A"/>
    <w:rsid w:val="479B1265"/>
    <w:rsid w:val="479E2B03"/>
    <w:rsid w:val="47B265AF"/>
    <w:rsid w:val="47B70069"/>
    <w:rsid w:val="47BC742D"/>
    <w:rsid w:val="47C3256A"/>
    <w:rsid w:val="47C36A0E"/>
    <w:rsid w:val="47C666DA"/>
    <w:rsid w:val="47CA38F8"/>
    <w:rsid w:val="47CD4612"/>
    <w:rsid w:val="47D209FF"/>
    <w:rsid w:val="47D66741"/>
    <w:rsid w:val="47DE73A4"/>
    <w:rsid w:val="47E147AD"/>
    <w:rsid w:val="47E30E5E"/>
    <w:rsid w:val="47E565E6"/>
    <w:rsid w:val="47E86474"/>
    <w:rsid w:val="47E902C5"/>
    <w:rsid w:val="47F21382"/>
    <w:rsid w:val="47F81B94"/>
    <w:rsid w:val="47FA04F6"/>
    <w:rsid w:val="480C5CBF"/>
    <w:rsid w:val="480D386D"/>
    <w:rsid w:val="480E1C3D"/>
    <w:rsid w:val="48143143"/>
    <w:rsid w:val="481B057A"/>
    <w:rsid w:val="481B44EE"/>
    <w:rsid w:val="481C7815"/>
    <w:rsid w:val="482254E2"/>
    <w:rsid w:val="482D3E87"/>
    <w:rsid w:val="482F7405"/>
    <w:rsid w:val="483920A2"/>
    <w:rsid w:val="483A6E7D"/>
    <w:rsid w:val="483C1C86"/>
    <w:rsid w:val="48455B43"/>
    <w:rsid w:val="48515DC8"/>
    <w:rsid w:val="485458B8"/>
    <w:rsid w:val="48587156"/>
    <w:rsid w:val="48682051"/>
    <w:rsid w:val="4868542C"/>
    <w:rsid w:val="486A5AA8"/>
    <w:rsid w:val="487012E6"/>
    <w:rsid w:val="487970CD"/>
    <w:rsid w:val="4884254A"/>
    <w:rsid w:val="48895562"/>
    <w:rsid w:val="488B2612"/>
    <w:rsid w:val="488C2A1E"/>
    <w:rsid w:val="488E0DCA"/>
    <w:rsid w:val="48945CB4"/>
    <w:rsid w:val="48987185"/>
    <w:rsid w:val="489C3E24"/>
    <w:rsid w:val="48A01213"/>
    <w:rsid w:val="48A41746"/>
    <w:rsid w:val="48A64365"/>
    <w:rsid w:val="48A759E8"/>
    <w:rsid w:val="48B16E7B"/>
    <w:rsid w:val="48B620CF"/>
    <w:rsid w:val="48B85E47"/>
    <w:rsid w:val="48C1403F"/>
    <w:rsid w:val="48C52312"/>
    <w:rsid w:val="48C677D3"/>
    <w:rsid w:val="48C91E02"/>
    <w:rsid w:val="48CD6FC5"/>
    <w:rsid w:val="48D32C81"/>
    <w:rsid w:val="48D77AA7"/>
    <w:rsid w:val="48DA7B6B"/>
    <w:rsid w:val="48E2062C"/>
    <w:rsid w:val="490057C1"/>
    <w:rsid w:val="490A11F4"/>
    <w:rsid w:val="490B41C9"/>
    <w:rsid w:val="490C6426"/>
    <w:rsid w:val="490D6193"/>
    <w:rsid w:val="49134D90"/>
    <w:rsid w:val="491C07AA"/>
    <w:rsid w:val="49204B5B"/>
    <w:rsid w:val="492359B6"/>
    <w:rsid w:val="492360B3"/>
    <w:rsid w:val="4929464F"/>
    <w:rsid w:val="492C1A9B"/>
    <w:rsid w:val="492F1A7F"/>
    <w:rsid w:val="49366E75"/>
    <w:rsid w:val="49423962"/>
    <w:rsid w:val="49470F79"/>
    <w:rsid w:val="49500F32"/>
    <w:rsid w:val="495530D2"/>
    <w:rsid w:val="49553696"/>
    <w:rsid w:val="49555444"/>
    <w:rsid w:val="495C67D2"/>
    <w:rsid w:val="4961028C"/>
    <w:rsid w:val="49676D33"/>
    <w:rsid w:val="496E4757"/>
    <w:rsid w:val="496E70A9"/>
    <w:rsid w:val="49706721"/>
    <w:rsid w:val="49731D6E"/>
    <w:rsid w:val="497A3655"/>
    <w:rsid w:val="497E40D6"/>
    <w:rsid w:val="498521CD"/>
    <w:rsid w:val="498E6BA8"/>
    <w:rsid w:val="49900B72"/>
    <w:rsid w:val="4993545E"/>
    <w:rsid w:val="49975A5C"/>
    <w:rsid w:val="499E156A"/>
    <w:rsid w:val="49A62E0C"/>
    <w:rsid w:val="49A63EF1"/>
    <w:rsid w:val="49AB775A"/>
    <w:rsid w:val="49B7712F"/>
    <w:rsid w:val="49BF133E"/>
    <w:rsid w:val="49C34FDD"/>
    <w:rsid w:val="49C5081B"/>
    <w:rsid w:val="49C7275C"/>
    <w:rsid w:val="49D15412"/>
    <w:rsid w:val="49D61BFB"/>
    <w:rsid w:val="49E30CA1"/>
    <w:rsid w:val="49EA2030"/>
    <w:rsid w:val="49F92273"/>
    <w:rsid w:val="4A0364B4"/>
    <w:rsid w:val="4A0D21C2"/>
    <w:rsid w:val="4A0D3F70"/>
    <w:rsid w:val="4A161077"/>
    <w:rsid w:val="4A1674B3"/>
    <w:rsid w:val="4A180A44"/>
    <w:rsid w:val="4A1946C3"/>
    <w:rsid w:val="4A1E18DE"/>
    <w:rsid w:val="4A1F09D9"/>
    <w:rsid w:val="4A2B43F6"/>
    <w:rsid w:val="4A2F50C6"/>
    <w:rsid w:val="4A303A91"/>
    <w:rsid w:val="4A317C5F"/>
    <w:rsid w:val="4A404346"/>
    <w:rsid w:val="4A471230"/>
    <w:rsid w:val="4A477482"/>
    <w:rsid w:val="4A49144C"/>
    <w:rsid w:val="4A4A6F73"/>
    <w:rsid w:val="4A555052"/>
    <w:rsid w:val="4A597FDE"/>
    <w:rsid w:val="4A655B5A"/>
    <w:rsid w:val="4A67712D"/>
    <w:rsid w:val="4A6C513B"/>
    <w:rsid w:val="4A7909CA"/>
    <w:rsid w:val="4A7F09F2"/>
    <w:rsid w:val="4A82408B"/>
    <w:rsid w:val="4A842484"/>
    <w:rsid w:val="4A895CED"/>
    <w:rsid w:val="4A8A001A"/>
    <w:rsid w:val="4A8A24C6"/>
    <w:rsid w:val="4A8F2BD7"/>
    <w:rsid w:val="4A914BA1"/>
    <w:rsid w:val="4A981BBC"/>
    <w:rsid w:val="4AA04538"/>
    <w:rsid w:val="4AA04DE4"/>
    <w:rsid w:val="4AAE12AF"/>
    <w:rsid w:val="4AAF27E7"/>
    <w:rsid w:val="4AB05B48"/>
    <w:rsid w:val="4AB670D1"/>
    <w:rsid w:val="4AB8212E"/>
    <w:rsid w:val="4AC42881"/>
    <w:rsid w:val="4AC9180A"/>
    <w:rsid w:val="4AC9433B"/>
    <w:rsid w:val="4ACC6C2B"/>
    <w:rsid w:val="4ACE75C9"/>
    <w:rsid w:val="4ACF1226"/>
    <w:rsid w:val="4AD625B4"/>
    <w:rsid w:val="4ADB2DDC"/>
    <w:rsid w:val="4ADB7BCB"/>
    <w:rsid w:val="4ADF590D"/>
    <w:rsid w:val="4AE526E3"/>
    <w:rsid w:val="4AE57050"/>
    <w:rsid w:val="4AE6008A"/>
    <w:rsid w:val="4AE66C9B"/>
    <w:rsid w:val="4AE745B0"/>
    <w:rsid w:val="4AEA76CF"/>
    <w:rsid w:val="4AED46E6"/>
    <w:rsid w:val="4AF34F14"/>
    <w:rsid w:val="4AF55130"/>
    <w:rsid w:val="4AF960F9"/>
    <w:rsid w:val="4AFC7BF7"/>
    <w:rsid w:val="4B1230A7"/>
    <w:rsid w:val="4B124E43"/>
    <w:rsid w:val="4B1355B6"/>
    <w:rsid w:val="4B1410C5"/>
    <w:rsid w:val="4B15079E"/>
    <w:rsid w:val="4B1A06F3"/>
    <w:rsid w:val="4B2954D3"/>
    <w:rsid w:val="4B2E419E"/>
    <w:rsid w:val="4B314EED"/>
    <w:rsid w:val="4B3728F6"/>
    <w:rsid w:val="4B373195"/>
    <w:rsid w:val="4B3A4B33"/>
    <w:rsid w:val="4B4340EE"/>
    <w:rsid w:val="4B4C3D6B"/>
    <w:rsid w:val="4B517E8D"/>
    <w:rsid w:val="4B520BF6"/>
    <w:rsid w:val="4B553E21"/>
    <w:rsid w:val="4B582D83"/>
    <w:rsid w:val="4B5F07FC"/>
    <w:rsid w:val="4B5F25AA"/>
    <w:rsid w:val="4B6127C6"/>
    <w:rsid w:val="4B614574"/>
    <w:rsid w:val="4B62209A"/>
    <w:rsid w:val="4B63653E"/>
    <w:rsid w:val="4B644064"/>
    <w:rsid w:val="4B6D5228"/>
    <w:rsid w:val="4B6D5F85"/>
    <w:rsid w:val="4B720D9C"/>
    <w:rsid w:val="4B775B45"/>
    <w:rsid w:val="4B781760"/>
    <w:rsid w:val="4B7A73E4"/>
    <w:rsid w:val="4B8152AA"/>
    <w:rsid w:val="4B9121BA"/>
    <w:rsid w:val="4B920BD1"/>
    <w:rsid w:val="4B975420"/>
    <w:rsid w:val="4B9D30D2"/>
    <w:rsid w:val="4BA3418D"/>
    <w:rsid w:val="4BA50868"/>
    <w:rsid w:val="4BA62E22"/>
    <w:rsid w:val="4BAB2B88"/>
    <w:rsid w:val="4BAF514A"/>
    <w:rsid w:val="4BB5041C"/>
    <w:rsid w:val="4BB52B12"/>
    <w:rsid w:val="4BB5632A"/>
    <w:rsid w:val="4BB5666E"/>
    <w:rsid w:val="4BB63CB4"/>
    <w:rsid w:val="4BC82845"/>
    <w:rsid w:val="4BCD1C09"/>
    <w:rsid w:val="4BD42B0B"/>
    <w:rsid w:val="4BD42D84"/>
    <w:rsid w:val="4BDD134A"/>
    <w:rsid w:val="4BE31038"/>
    <w:rsid w:val="4BE62CCB"/>
    <w:rsid w:val="4BE64C2F"/>
    <w:rsid w:val="4BEA281D"/>
    <w:rsid w:val="4BEB208F"/>
    <w:rsid w:val="4BF16C54"/>
    <w:rsid w:val="4BF21670"/>
    <w:rsid w:val="4BF90D5C"/>
    <w:rsid w:val="4BFA22D2"/>
    <w:rsid w:val="4C043151"/>
    <w:rsid w:val="4C0629F4"/>
    <w:rsid w:val="4C066EC9"/>
    <w:rsid w:val="4C075DB9"/>
    <w:rsid w:val="4C0B6361"/>
    <w:rsid w:val="4C0E2C86"/>
    <w:rsid w:val="4C0F5D7E"/>
    <w:rsid w:val="4C107D48"/>
    <w:rsid w:val="4C121D12"/>
    <w:rsid w:val="4C17784E"/>
    <w:rsid w:val="4C194E4E"/>
    <w:rsid w:val="4C1E4213"/>
    <w:rsid w:val="4C254AA8"/>
    <w:rsid w:val="4C2A0B13"/>
    <w:rsid w:val="4C365239"/>
    <w:rsid w:val="4C3752D5"/>
    <w:rsid w:val="4C3942E9"/>
    <w:rsid w:val="4C404189"/>
    <w:rsid w:val="4C476DB4"/>
    <w:rsid w:val="4C56398F"/>
    <w:rsid w:val="4C577725"/>
    <w:rsid w:val="4C5A480D"/>
    <w:rsid w:val="4C5F726F"/>
    <w:rsid w:val="4C6919DE"/>
    <w:rsid w:val="4C7573D1"/>
    <w:rsid w:val="4C7A75E7"/>
    <w:rsid w:val="4C7F0276"/>
    <w:rsid w:val="4C8147A2"/>
    <w:rsid w:val="4C8521A4"/>
    <w:rsid w:val="4C891FD4"/>
    <w:rsid w:val="4C8A7AFA"/>
    <w:rsid w:val="4C92075D"/>
    <w:rsid w:val="4C927FCA"/>
    <w:rsid w:val="4C962698"/>
    <w:rsid w:val="4C9E35A6"/>
    <w:rsid w:val="4CAA3CF8"/>
    <w:rsid w:val="4CB132D9"/>
    <w:rsid w:val="4CBF3AD4"/>
    <w:rsid w:val="4CC4300C"/>
    <w:rsid w:val="4CC62F7D"/>
    <w:rsid w:val="4CC72AFC"/>
    <w:rsid w:val="4CCA390C"/>
    <w:rsid w:val="4CD64AED"/>
    <w:rsid w:val="4CD82614"/>
    <w:rsid w:val="4CE03BB7"/>
    <w:rsid w:val="4CEE62DB"/>
    <w:rsid w:val="4CEF5BAF"/>
    <w:rsid w:val="4CF907DC"/>
    <w:rsid w:val="4CFB27A6"/>
    <w:rsid w:val="4CFB6C7C"/>
    <w:rsid w:val="4CFE5DF2"/>
    <w:rsid w:val="4D023B34"/>
    <w:rsid w:val="4D034AFE"/>
    <w:rsid w:val="4D046750"/>
    <w:rsid w:val="4D0549EA"/>
    <w:rsid w:val="4D0F1DAD"/>
    <w:rsid w:val="4D167942"/>
    <w:rsid w:val="4D1D096E"/>
    <w:rsid w:val="4D205E29"/>
    <w:rsid w:val="4D2910C1"/>
    <w:rsid w:val="4D2E00B9"/>
    <w:rsid w:val="4D3006A2"/>
    <w:rsid w:val="4D3637DE"/>
    <w:rsid w:val="4D3A1520"/>
    <w:rsid w:val="4D4001B9"/>
    <w:rsid w:val="4D447CA9"/>
    <w:rsid w:val="4D493511"/>
    <w:rsid w:val="4D58225C"/>
    <w:rsid w:val="4D5A74CD"/>
    <w:rsid w:val="4D6420F9"/>
    <w:rsid w:val="4D7D269A"/>
    <w:rsid w:val="4D810EFD"/>
    <w:rsid w:val="4D84279B"/>
    <w:rsid w:val="4D875DE8"/>
    <w:rsid w:val="4D8C1650"/>
    <w:rsid w:val="4D8C2EB0"/>
    <w:rsid w:val="4D956757"/>
    <w:rsid w:val="4D981DA3"/>
    <w:rsid w:val="4D9C7AE5"/>
    <w:rsid w:val="4DA60964"/>
    <w:rsid w:val="4DA90454"/>
    <w:rsid w:val="4DAA281B"/>
    <w:rsid w:val="4DAB41CC"/>
    <w:rsid w:val="4DAB7D28"/>
    <w:rsid w:val="4DAC067B"/>
    <w:rsid w:val="4DAF4AFF"/>
    <w:rsid w:val="4DB12AB2"/>
    <w:rsid w:val="4DB12E65"/>
    <w:rsid w:val="4DBC1F35"/>
    <w:rsid w:val="4DBE3EFF"/>
    <w:rsid w:val="4DC4528E"/>
    <w:rsid w:val="4DC808DA"/>
    <w:rsid w:val="4DC80BAD"/>
    <w:rsid w:val="4DC94652"/>
    <w:rsid w:val="4DD80C70"/>
    <w:rsid w:val="4DDA060D"/>
    <w:rsid w:val="4DDC25D7"/>
    <w:rsid w:val="4DE17BEE"/>
    <w:rsid w:val="4DE66FB2"/>
    <w:rsid w:val="4DEA6AA2"/>
    <w:rsid w:val="4DEF7B87"/>
    <w:rsid w:val="4DF21A2E"/>
    <w:rsid w:val="4DF416CF"/>
    <w:rsid w:val="4DF53699"/>
    <w:rsid w:val="4DF63991"/>
    <w:rsid w:val="4DF67155"/>
    <w:rsid w:val="4DFA480C"/>
    <w:rsid w:val="4E087FAC"/>
    <w:rsid w:val="4E0B4C6B"/>
    <w:rsid w:val="4E0C4E48"/>
    <w:rsid w:val="4E137DBE"/>
    <w:rsid w:val="4E1C4782"/>
    <w:rsid w:val="4E1E5B1E"/>
    <w:rsid w:val="4E2C03DF"/>
    <w:rsid w:val="4E2E44B5"/>
    <w:rsid w:val="4E2F706B"/>
    <w:rsid w:val="4E3B5550"/>
    <w:rsid w:val="4E3B5606"/>
    <w:rsid w:val="4E3E0B9C"/>
    <w:rsid w:val="4E402B66"/>
    <w:rsid w:val="4E4361B3"/>
    <w:rsid w:val="4E4F6905"/>
    <w:rsid w:val="4E520621"/>
    <w:rsid w:val="4E555EE6"/>
    <w:rsid w:val="4E557C94"/>
    <w:rsid w:val="4E563BD2"/>
    <w:rsid w:val="4E581E19"/>
    <w:rsid w:val="4E5B34FC"/>
    <w:rsid w:val="4E5C5B29"/>
    <w:rsid w:val="4E5E123E"/>
    <w:rsid w:val="4E654842"/>
    <w:rsid w:val="4E656129"/>
    <w:rsid w:val="4E675DBB"/>
    <w:rsid w:val="4E6B4864"/>
    <w:rsid w:val="4E6B5729"/>
    <w:rsid w:val="4E6B74B7"/>
    <w:rsid w:val="4E712D20"/>
    <w:rsid w:val="4E766EAA"/>
    <w:rsid w:val="4E772300"/>
    <w:rsid w:val="4E7A071C"/>
    <w:rsid w:val="4E80063B"/>
    <w:rsid w:val="4E8205D5"/>
    <w:rsid w:val="4E8352EF"/>
    <w:rsid w:val="4E8A2033"/>
    <w:rsid w:val="4E9040B9"/>
    <w:rsid w:val="4E992277"/>
    <w:rsid w:val="4E9E788D"/>
    <w:rsid w:val="4E9F452F"/>
    <w:rsid w:val="4E9F5314"/>
    <w:rsid w:val="4EA40C60"/>
    <w:rsid w:val="4EA513D6"/>
    <w:rsid w:val="4EA604F0"/>
    <w:rsid w:val="4EA75D77"/>
    <w:rsid w:val="4EAF55F6"/>
    <w:rsid w:val="4EB250E6"/>
    <w:rsid w:val="4EB40E5E"/>
    <w:rsid w:val="4EB86BA1"/>
    <w:rsid w:val="4EBE7F2F"/>
    <w:rsid w:val="4EC245E1"/>
    <w:rsid w:val="4EC97B50"/>
    <w:rsid w:val="4ED14431"/>
    <w:rsid w:val="4ED67027"/>
    <w:rsid w:val="4ED80FF1"/>
    <w:rsid w:val="4EDC28EC"/>
    <w:rsid w:val="4EE00639"/>
    <w:rsid w:val="4EE47996"/>
    <w:rsid w:val="4EEA0D24"/>
    <w:rsid w:val="4EFD2805"/>
    <w:rsid w:val="4F043B94"/>
    <w:rsid w:val="4F073684"/>
    <w:rsid w:val="4F127F5B"/>
    <w:rsid w:val="4F171AF1"/>
    <w:rsid w:val="4F1D07B2"/>
    <w:rsid w:val="4F2002A2"/>
    <w:rsid w:val="4F207E56"/>
    <w:rsid w:val="4F244236"/>
    <w:rsid w:val="4F245314"/>
    <w:rsid w:val="4F275AD4"/>
    <w:rsid w:val="4F280FCE"/>
    <w:rsid w:val="4F2C30EB"/>
    <w:rsid w:val="4F2C338B"/>
    <w:rsid w:val="4F2C6C47"/>
    <w:rsid w:val="4F2D00A8"/>
    <w:rsid w:val="4F375EFC"/>
    <w:rsid w:val="4F434466"/>
    <w:rsid w:val="4F483C48"/>
    <w:rsid w:val="4F4A187E"/>
    <w:rsid w:val="4F4E3061"/>
    <w:rsid w:val="4F50502B"/>
    <w:rsid w:val="4F5706DD"/>
    <w:rsid w:val="4F5F0DCA"/>
    <w:rsid w:val="4F5F526E"/>
    <w:rsid w:val="4F670AE9"/>
    <w:rsid w:val="4F675ED1"/>
    <w:rsid w:val="4F67655E"/>
    <w:rsid w:val="4F6B3C13"/>
    <w:rsid w:val="4F6C1739"/>
    <w:rsid w:val="4F7108E5"/>
    <w:rsid w:val="4F754A92"/>
    <w:rsid w:val="4F786330"/>
    <w:rsid w:val="4F7A20A8"/>
    <w:rsid w:val="4F7E30BA"/>
    <w:rsid w:val="4F7F44DF"/>
    <w:rsid w:val="4F820F5D"/>
    <w:rsid w:val="4F8933C5"/>
    <w:rsid w:val="4F905428"/>
    <w:rsid w:val="4F93316A"/>
    <w:rsid w:val="4FA17635"/>
    <w:rsid w:val="4FA46A65"/>
    <w:rsid w:val="4FB01626"/>
    <w:rsid w:val="4FB20CF9"/>
    <w:rsid w:val="4FB629B4"/>
    <w:rsid w:val="4FB8497E"/>
    <w:rsid w:val="4FB8672C"/>
    <w:rsid w:val="4FBD1F95"/>
    <w:rsid w:val="4FBE01E7"/>
    <w:rsid w:val="4FC450D1"/>
    <w:rsid w:val="4FCB46B2"/>
    <w:rsid w:val="4FD03A76"/>
    <w:rsid w:val="4FDC11E8"/>
    <w:rsid w:val="4FDD7B7A"/>
    <w:rsid w:val="4FE10242"/>
    <w:rsid w:val="4FE439C5"/>
    <w:rsid w:val="4FE77892"/>
    <w:rsid w:val="4FE82F87"/>
    <w:rsid w:val="4FE94B38"/>
    <w:rsid w:val="4FF07507"/>
    <w:rsid w:val="4FF43C08"/>
    <w:rsid w:val="50041972"/>
    <w:rsid w:val="500951DA"/>
    <w:rsid w:val="500D4CCA"/>
    <w:rsid w:val="501535D2"/>
    <w:rsid w:val="5018600C"/>
    <w:rsid w:val="501A73E7"/>
    <w:rsid w:val="502142D2"/>
    <w:rsid w:val="50243DC2"/>
    <w:rsid w:val="50265D8C"/>
    <w:rsid w:val="502B33A2"/>
    <w:rsid w:val="50334405"/>
    <w:rsid w:val="50373211"/>
    <w:rsid w:val="50373AF5"/>
    <w:rsid w:val="503E1327"/>
    <w:rsid w:val="50447FC0"/>
    <w:rsid w:val="504B35D3"/>
    <w:rsid w:val="50526B81"/>
    <w:rsid w:val="505437FC"/>
    <w:rsid w:val="50582B48"/>
    <w:rsid w:val="505A77E4"/>
    <w:rsid w:val="50670288"/>
    <w:rsid w:val="506A211C"/>
    <w:rsid w:val="507B1DFB"/>
    <w:rsid w:val="50903205"/>
    <w:rsid w:val="50926093"/>
    <w:rsid w:val="5095081C"/>
    <w:rsid w:val="50A3118B"/>
    <w:rsid w:val="50A71C3B"/>
    <w:rsid w:val="50A82C45"/>
    <w:rsid w:val="50A868B7"/>
    <w:rsid w:val="50AA076B"/>
    <w:rsid w:val="50B1552B"/>
    <w:rsid w:val="50B76522"/>
    <w:rsid w:val="50B82E88"/>
    <w:rsid w:val="50B96C00"/>
    <w:rsid w:val="50BC0F04"/>
    <w:rsid w:val="50C3434E"/>
    <w:rsid w:val="50C80BF1"/>
    <w:rsid w:val="50C90B3C"/>
    <w:rsid w:val="50CE6117"/>
    <w:rsid w:val="50CE6290"/>
    <w:rsid w:val="50D91050"/>
    <w:rsid w:val="50DF476F"/>
    <w:rsid w:val="50E76819"/>
    <w:rsid w:val="50E81293"/>
    <w:rsid w:val="50EE11C2"/>
    <w:rsid w:val="50EE68AA"/>
    <w:rsid w:val="50EF43D0"/>
    <w:rsid w:val="50F25C6E"/>
    <w:rsid w:val="51031C29"/>
    <w:rsid w:val="51037E7B"/>
    <w:rsid w:val="510460CD"/>
    <w:rsid w:val="511135B4"/>
    <w:rsid w:val="51237AAF"/>
    <w:rsid w:val="51274842"/>
    <w:rsid w:val="512A7F85"/>
    <w:rsid w:val="512C5624"/>
    <w:rsid w:val="51413E72"/>
    <w:rsid w:val="51453FF0"/>
    <w:rsid w:val="5147420C"/>
    <w:rsid w:val="514D47AF"/>
    <w:rsid w:val="514F30C0"/>
    <w:rsid w:val="51542485"/>
    <w:rsid w:val="5158075A"/>
    <w:rsid w:val="51583D23"/>
    <w:rsid w:val="515943BF"/>
    <w:rsid w:val="515E0E2C"/>
    <w:rsid w:val="515E50B1"/>
    <w:rsid w:val="51600E2A"/>
    <w:rsid w:val="516721B8"/>
    <w:rsid w:val="516E3547"/>
    <w:rsid w:val="51764AF1"/>
    <w:rsid w:val="517E7F83"/>
    <w:rsid w:val="518100C7"/>
    <w:rsid w:val="51866C59"/>
    <w:rsid w:val="518E3BE9"/>
    <w:rsid w:val="519311FF"/>
    <w:rsid w:val="51956D25"/>
    <w:rsid w:val="51961050"/>
    <w:rsid w:val="51A00E0E"/>
    <w:rsid w:val="51A056CA"/>
    <w:rsid w:val="51A4340C"/>
    <w:rsid w:val="51A74CAA"/>
    <w:rsid w:val="51AA4BDA"/>
    <w:rsid w:val="51AC406F"/>
    <w:rsid w:val="51B87620"/>
    <w:rsid w:val="51BD19F2"/>
    <w:rsid w:val="51C07B1A"/>
    <w:rsid w:val="51C11286"/>
    <w:rsid w:val="51C55131"/>
    <w:rsid w:val="51C969CF"/>
    <w:rsid w:val="51C97FFB"/>
    <w:rsid w:val="51D51818"/>
    <w:rsid w:val="51D75590"/>
    <w:rsid w:val="51DA6E2E"/>
    <w:rsid w:val="51DF6252"/>
    <w:rsid w:val="51E26C0B"/>
    <w:rsid w:val="51F37EF0"/>
    <w:rsid w:val="51FC6DA4"/>
    <w:rsid w:val="52017FB5"/>
    <w:rsid w:val="520944E9"/>
    <w:rsid w:val="520D3D7D"/>
    <w:rsid w:val="52101C5C"/>
    <w:rsid w:val="52111B48"/>
    <w:rsid w:val="5212481A"/>
    <w:rsid w:val="52157E66"/>
    <w:rsid w:val="521C72AB"/>
    <w:rsid w:val="521E31BF"/>
    <w:rsid w:val="52214A5D"/>
    <w:rsid w:val="522C387C"/>
    <w:rsid w:val="52304CA0"/>
    <w:rsid w:val="523429E2"/>
    <w:rsid w:val="523A78CD"/>
    <w:rsid w:val="523C3645"/>
    <w:rsid w:val="523E560F"/>
    <w:rsid w:val="524424F9"/>
    <w:rsid w:val="52450E7A"/>
    <w:rsid w:val="52493686"/>
    <w:rsid w:val="524F16DC"/>
    <w:rsid w:val="524F1749"/>
    <w:rsid w:val="525210BA"/>
    <w:rsid w:val="52524C16"/>
    <w:rsid w:val="525720AB"/>
    <w:rsid w:val="525A7F6F"/>
    <w:rsid w:val="526037D7"/>
    <w:rsid w:val="52623B2E"/>
    <w:rsid w:val="526A01B2"/>
    <w:rsid w:val="526A3786"/>
    <w:rsid w:val="526C1BA5"/>
    <w:rsid w:val="52706F89"/>
    <w:rsid w:val="52714F0C"/>
    <w:rsid w:val="527346B5"/>
    <w:rsid w:val="52742FD2"/>
    <w:rsid w:val="527F1783"/>
    <w:rsid w:val="52853C31"/>
    <w:rsid w:val="52860D64"/>
    <w:rsid w:val="528D22A2"/>
    <w:rsid w:val="52930261"/>
    <w:rsid w:val="529671F9"/>
    <w:rsid w:val="529A65BD"/>
    <w:rsid w:val="52A3043F"/>
    <w:rsid w:val="52A42F98"/>
    <w:rsid w:val="52AA6800"/>
    <w:rsid w:val="52AF6572"/>
    <w:rsid w:val="52B94C95"/>
    <w:rsid w:val="52C0363A"/>
    <w:rsid w:val="52C5363A"/>
    <w:rsid w:val="52D615E9"/>
    <w:rsid w:val="52D94894"/>
    <w:rsid w:val="52DA40DA"/>
    <w:rsid w:val="52DA7EEA"/>
    <w:rsid w:val="52E55A8A"/>
    <w:rsid w:val="52E645AF"/>
    <w:rsid w:val="52E72679"/>
    <w:rsid w:val="52E73786"/>
    <w:rsid w:val="52E8557B"/>
    <w:rsid w:val="52F1442F"/>
    <w:rsid w:val="530A3743"/>
    <w:rsid w:val="530A729F"/>
    <w:rsid w:val="530C1269"/>
    <w:rsid w:val="530C3017"/>
    <w:rsid w:val="530C7471"/>
    <w:rsid w:val="530F0D59"/>
    <w:rsid w:val="53193986"/>
    <w:rsid w:val="531B14AC"/>
    <w:rsid w:val="531D3476"/>
    <w:rsid w:val="53227B62"/>
    <w:rsid w:val="53291ACA"/>
    <w:rsid w:val="532A5B93"/>
    <w:rsid w:val="532E5683"/>
    <w:rsid w:val="532E7431"/>
    <w:rsid w:val="532F31A9"/>
    <w:rsid w:val="533D249B"/>
    <w:rsid w:val="533E194C"/>
    <w:rsid w:val="533E519B"/>
    <w:rsid w:val="534505DD"/>
    <w:rsid w:val="534D2933"/>
    <w:rsid w:val="534D6F8E"/>
    <w:rsid w:val="534F6994"/>
    <w:rsid w:val="535449BE"/>
    <w:rsid w:val="535528D6"/>
    <w:rsid w:val="535D7D17"/>
    <w:rsid w:val="5361780D"/>
    <w:rsid w:val="53670C73"/>
    <w:rsid w:val="536A41E2"/>
    <w:rsid w:val="537137C2"/>
    <w:rsid w:val="5371731E"/>
    <w:rsid w:val="53760DD8"/>
    <w:rsid w:val="53784B50"/>
    <w:rsid w:val="537A2677"/>
    <w:rsid w:val="537B1F4B"/>
    <w:rsid w:val="5382777D"/>
    <w:rsid w:val="53876EDC"/>
    <w:rsid w:val="538E1C7E"/>
    <w:rsid w:val="539453CB"/>
    <w:rsid w:val="53A07C03"/>
    <w:rsid w:val="53B10C10"/>
    <w:rsid w:val="53B37937"/>
    <w:rsid w:val="53B51901"/>
    <w:rsid w:val="53BA7BC0"/>
    <w:rsid w:val="53BF62DB"/>
    <w:rsid w:val="53C10F5E"/>
    <w:rsid w:val="53C30726"/>
    <w:rsid w:val="53CB2ED2"/>
    <w:rsid w:val="53CD3DC9"/>
    <w:rsid w:val="53D578AD"/>
    <w:rsid w:val="53D73EFA"/>
    <w:rsid w:val="53D81D67"/>
    <w:rsid w:val="53E57A76"/>
    <w:rsid w:val="53EA0E7E"/>
    <w:rsid w:val="53EC2AE2"/>
    <w:rsid w:val="53EC7832"/>
    <w:rsid w:val="53EC7DF9"/>
    <w:rsid w:val="53F01C7A"/>
    <w:rsid w:val="53F11286"/>
    <w:rsid w:val="53F32E9D"/>
    <w:rsid w:val="53FC2850"/>
    <w:rsid w:val="54015FDB"/>
    <w:rsid w:val="54090339"/>
    <w:rsid w:val="540B4436"/>
    <w:rsid w:val="540B6CA6"/>
    <w:rsid w:val="54120B01"/>
    <w:rsid w:val="54136627"/>
    <w:rsid w:val="54161C73"/>
    <w:rsid w:val="541C372E"/>
    <w:rsid w:val="542677FD"/>
    <w:rsid w:val="543A3BB4"/>
    <w:rsid w:val="543C32FB"/>
    <w:rsid w:val="543C4994"/>
    <w:rsid w:val="544B7B6F"/>
    <w:rsid w:val="544C2B1C"/>
    <w:rsid w:val="544E765F"/>
    <w:rsid w:val="54505185"/>
    <w:rsid w:val="5468442D"/>
    <w:rsid w:val="546D4A68"/>
    <w:rsid w:val="54703A7A"/>
    <w:rsid w:val="54764304"/>
    <w:rsid w:val="547827D6"/>
    <w:rsid w:val="548A2B50"/>
    <w:rsid w:val="54917EAC"/>
    <w:rsid w:val="54962A1D"/>
    <w:rsid w:val="54992FD0"/>
    <w:rsid w:val="549C661D"/>
    <w:rsid w:val="549D29D2"/>
    <w:rsid w:val="549D3414"/>
    <w:rsid w:val="54A35606"/>
    <w:rsid w:val="54A43723"/>
    <w:rsid w:val="54A50D38"/>
    <w:rsid w:val="54AE2EBB"/>
    <w:rsid w:val="54B24092"/>
    <w:rsid w:val="54B90597"/>
    <w:rsid w:val="54C03FAD"/>
    <w:rsid w:val="54C12E33"/>
    <w:rsid w:val="54C33BA9"/>
    <w:rsid w:val="54C65448"/>
    <w:rsid w:val="54C85664"/>
    <w:rsid w:val="54C94F38"/>
    <w:rsid w:val="54C97AC2"/>
    <w:rsid w:val="54CC5154"/>
    <w:rsid w:val="54CF036A"/>
    <w:rsid w:val="54CF07A0"/>
    <w:rsid w:val="54D74D36"/>
    <w:rsid w:val="54D97871"/>
    <w:rsid w:val="54E029AD"/>
    <w:rsid w:val="54E45602"/>
    <w:rsid w:val="54E67898"/>
    <w:rsid w:val="55043940"/>
    <w:rsid w:val="55083CB2"/>
    <w:rsid w:val="550A054A"/>
    <w:rsid w:val="550A17D8"/>
    <w:rsid w:val="550B21BD"/>
    <w:rsid w:val="550F6319"/>
    <w:rsid w:val="551663CF"/>
    <w:rsid w:val="551673BB"/>
    <w:rsid w:val="551D66BB"/>
    <w:rsid w:val="55204FA6"/>
    <w:rsid w:val="55215ECC"/>
    <w:rsid w:val="55252FED"/>
    <w:rsid w:val="55284354"/>
    <w:rsid w:val="55284BA3"/>
    <w:rsid w:val="552A3C28"/>
    <w:rsid w:val="55314FB7"/>
    <w:rsid w:val="55347222"/>
    <w:rsid w:val="553500EF"/>
    <w:rsid w:val="55366A71"/>
    <w:rsid w:val="553737A4"/>
    <w:rsid w:val="553B7BE4"/>
    <w:rsid w:val="553E6717"/>
    <w:rsid w:val="5541780B"/>
    <w:rsid w:val="55436A98"/>
    <w:rsid w:val="55437456"/>
    <w:rsid w:val="554B78CD"/>
    <w:rsid w:val="554F368F"/>
    <w:rsid w:val="55515659"/>
    <w:rsid w:val="55546EF7"/>
    <w:rsid w:val="55591189"/>
    <w:rsid w:val="55591EDD"/>
    <w:rsid w:val="555B608D"/>
    <w:rsid w:val="555C4981"/>
    <w:rsid w:val="55603AEE"/>
    <w:rsid w:val="55676C2B"/>
    <w:rsid w:val="556829A3"/>
    <w:rsid w:val="556C1B80"/>
    <w:rsid w:val="55717AA9"/>
    <w:rsid w:val="55752B46"/>
    <w:rsid w:val="55805F3E"/>
    <w:rsid w:val="55807CEC"/>
    <w:rsid w:val="55810B07"/>
    <w:rsid w:val="55814ABE"/>
    <w:rsid w:val="55821CB6"/>
    <w:rsid w:val="55822F90"/>
    <w:rsid w:val="55886BA1"/>
    <w:rsid w:val="558E2409"/>
    <w:rsid w:val="559B573E"/>
    <w:rsid w:val="559D7851"/>
    <w:rsid w:val="55A207B9"/>
    <w:rsid w:val="55A84A80"/>
    <w:rsid w:val="55AF05D2"/>
    <w:rsid w:val="55B160F8"/>
    <w:rsid w:val="55B90CEE"/>
    <w:rsid w:val="55BA31FE"/>
    <w:rsid w:val="55BB2AD2"/>
    <w:rsid w:val="55BC72BE"/>
    <w:rsid w:val="55C36971"/>
    <w:rsid w:val="55CA66C5"/>
    <w:rsid w:val="55CC4990"/>
    <w:rsid w:val="55D32512"/>
    <w:rsid w:val="55DB79C3"/>
    <w:rsid w:val="55DE50EE"/>
    <w:rsid w:val="55E32B88"/>
    <w:rsid w:val="55E66EAF"/>
    <w:rsid w:val="55E7736B"/>
    <w:rsid w:val="55E97EA9"/>
    <w:rsid w:val="55EA7987"/>
    <w:rsid w:val="55EB0ED2"/>
    <w:rsid w:val="55F06C20"/>
    <w:rsid w:val="55F12998"/>
    <w:rsid w:val="55FF274A"/>
    <w:rsid w:val="56056FB0"/>
    <w:rsid w:val="56085295"/>
    <w:rsid w:val="56091A90"/>
    <w:rsid w:val="560B4AC1"/>
    <w:rsid w:val="560E70A6"/>
    <w:rsid w:val="5613290E"/>
    <w:rsid w:val="561346BC"/>
    <w:rsid w:val="5619038A"/>
    <w:rsid w:val="561F4B23"/>
    <w:rsid w:val="562436D3"/>
    <w:rsid w:val="5627460C"/>
    <w:rsid w:val="56292132"/>
    <w:rsid w:val="5641637A"/>
    <w:rsid w:val="5645760D"/>
    <w:rsid w:val="564F2AFF"/>
    <w:rsid w:val="56510FA5"/>
    <w:rsid w:val="565E52DC"/>
    <w:rsid w:val="56644F18"/>
    <w:rsid w:val="566E2FB6"/>
    <w:rsid w:val="567D422C"/>
    <w:rsid w:val="567F7FA4"/>
    <w:rsid w:val="56890E23"/>
    <w:rsid w:val="568D446F"/>
    <w:rsid w:val="569524AD"/>
    <w:rsid w:val="569535EC"/>
    <w:rsid w:val="569C2904"/>
    <w:rsid w:val="569D042A"/>
    <w:rsid w:val="569F41A2"/>
    <w:rsid w:val="56A00E23"/>
    <w:rsid w:val="56A352E7"/>
    <w:rsid w:val="56A47A0A"/>
    <w:rsid w:val="56A7D3F4"/>
    <w:rsid w:val="56B532A8"/>
    <w:rsid w:val="56B86644"/>
    <w:rsid w:val="56BC4D54"/>
    <w:rsid w:val="56C02A96"/>
    <w:rsid w:val="56C10E3F"/>
    <w:rsid w:val="56C34335"/>
    <w:rsid w:val="56C45044"/>
    <w:rsid w:val="56C60725"/>
    <w:rsid w:val="56CC72A7"/>
    <w:rsid w:val="56CF0F2B"/>
    <w:rsid w:val="56D007FF"/>
    <w:rsid w:val="56D226C4"/>
    <w:rsid w:val="56E15C15"/>
    <w:rsid w:val="56E16569"/>
    <w:rsid w:val="56E61DD1"/>
    <w:rsid w:val="56E85B49"/>
    <w:rsid w:val="56F269C8"/>
    <w:rsid w:val="56F444EE"/>
    <w:rsid w:val="56F52014"/>
    <w:rsid w:val="56F91D2C"/>
    <w:rsid w:val="56FC7846"/>
    <w:rsid w:val="56FD7708"/>
    <w:rsid w:val="57001653"/>
    <w:rsid w:val="570514BB"/>
    <w:rsid w:val="5705494D"/>
    <w:rsid w:val="570D735E"/>
    <w:rsid w:val="570E7F1D"/>
    <w:rsid w:val="57160908"/>
    <w:rsid w:val="57174680"/>
    <w:rsid w:val="571E77BD"/>
    <w:rsid w:val="572172AD"/>
    <w:rsid w:val="57270910"/>
    <w:rsid w:val="5735078A"/>
    <w:rsid w:val="57354F79"/>
    <w:rsid w:val="57362D58"/>
    <w:rsid w:val="57376AD1"/>
    <w:rsid w:val="573979F0"/>
    <w:rsid w:val="573C407B"/>
    <w:rsid w:val="5740350D"/>
    <w:rsid w:val="574115C2"/>
    <w:rsid w:val="57435BFB"/>
    <w:rsid w:val="574468EB"/>
    <w:rsid w:val="5748072D"/>
    <w:rsid w:val="57535931"/>
    <w:rsid w:val="575E22AF"/>
    <w:rsid w:val="576D604E"/>
    <w:rsid w:val="576F1DC6"/>
    <w:rsid w:val="577E3A1C"/>
    <w:rsid w:val="577E64AD"/>
    <w:rsid w:val="578315A7"/>
    <w:rsid w:val="578A6C00"/>
    <w:rsid w:val="578E2F55"/>
    <w:rsid w:val="579251E4"/>
    <w:rsid w:val="579D4B86"/>
    <w:rsid w:val="579E08FE"/>
    <w:rsid w:val="579E26AC"/>
    <w:rsid w:val="57B10631"/>
    <w:rsid w:val="57B222F1"/>
    <w:rsid w:val="57B40121"/>
    <w:rsid w:val="57B70A7D"/>
    <w:rsid w:val="57BB325E"/>
    <w:rsid w:val="57C06AC6"/>
    <w:rsid w:val="57C15A78"/>
    <w:rsid w:val="57C9597B"/>
    <w:rsid w:val="57CD4D3F"/>
    <w:rsid w:val="57D60097"/>
    <w:rsid w:val="57D61E46"/>
    <w:rsid w:val="57D87E82"/>
    <w:rsid w:val="57DB5405"/>
    <w:rsid w:val="57DE484E"/>
    <w:rsid w:val="57DE6F4C"/>
    <w:rsid w:val="57E5652D"/>
    <w:rsid w:val="57E65F61"/>
    <w:rsid w:val="57E83927"/>
    <w:rsid w:val="57E91B79"/>
    <w:rsid w:val="57EF541B"/>
    <w:rsid w:val="57F06B69"/>
    <w:rsid w:val="57F347A6"/>
    <w:rsid w:val="57F624E8"/>
    <w:rsid w:val="57FB7AFE"/>
    <w:rsid w:val="58022C3B"/>
    <w:rsid w:val="58086E95"/>
    <w:rsid w:val="58095D77"/>
    <w:rsid w:val="580D4685"/>
    <w:rsid w:val="580F2C04"/>
    <w:rsid w:val="581B1F4E"/>
    <w:rsid w:val="581D7A74"/>
    <w:rsid w:val="58214DBF"/>
    <w:rsid w:val="5823259F"/>
    <w:rsid w:val="58246A59"/>
    <w:rsid w:val="58262DCD"/>
    <w:rsid w:val="582726A1"/>
    <w:rsid w:val="582C32BD"/>
    <w:rsid w:val="582C5F09"/>
    <w:rsid w:val="582E3A30"/>
    <w:rsid w:val="58373FC8"/>
    <w:rsid w:val="583D0117"/>
    <w:rsid w:val="583F5C3D"/>
    <w:rsid w:val="58450D79"/>
    <w:rsid w:val="584D0864"/>
    <w:rsid w:val="584E3738"/>
    <w:rsid w:val="58555B49"/>
    <w:rsid w:val="58584F50"/>
    <w:rsid w:val="585A0446"/>
    <w:rsid w:val="585A4825"/>
    <w:rsid w:val="585A7223"/>
    <w:rsid w:val="585F1E3B"/>
    <w:rsid w:val="586133E2"/>
    <w:rsid w:val="58641614"/>
    <w:rsid w:val="58676F42"/>
    <w:rsid w:val="586A7C9A"/>
    <w:rsid w:val="586B6A32"/>
    <w:rsid w:val="58703715"/>
    <w:rsid w:val="587753D7"/>
    <w:rsid w:val="587A159C"/>
    <w:rsid w:val="58816255"/>
    <w:rsid w:val="58831FCD"/>
    <w:rsid w:val="58863CF4"/>
    <w:rsid w:val="5886561A"/>
    <w:rsid w:val="588C69A8"/>
    <w:rsid w:val="589866DF"/>
    <w:rsid w:val="58992446"/>
    <w:rsid w:val="589F492D"/>
    <w:rsid w:val="589F66DB"/>
    <w:rsid w:val="58BE3729"/>
    <w:rsid w:val="58C1542B"/>
    <w:rsid w:val="58D14BF8"/>
    <w:rsid w:val="58DD0FB2"/>
    <w:rsid w:val="58E80082"/>
    <w:rsid w:val="58E81E30"/>
    <w:rsid w:val="58F06F37"/>
    <w:rsid w:val="58F9693D"/>
    <w:rsid w:val="59060509"/>
    <w:rsid w:val="590824D3"/>
    <w:rsid w:val="590D43CD"/>
    <w:rsid w:val="590E45F0"/>
    <w:rsid w:val="590E7422"/>
    <w:rsid w:val="59170968"/>
    <w:rsid w:val="591866BE"/>
    <w:rsid w:val="591D1020"/>
    <w:rsid w:val="59265506"/>
    <w:rsid w:val="59301A29"/>
    <w:rsid w:val="5932477C"/>
    <w:rsid w:val="59376DAF"/>
    <w:rsid w:val="593C217C"/>
    <w:rsid w:val="5943350B"/>
    <w:rsid w:val="594A2B8C"/>
    <w:rsid w:val="594D6182"/>
    <w:rsid w:val="59513E7A"/>
    <w:rsid w:val="595268F8"/>
    <w:rsid w:val="595410DD"/>
    <w:rsid w:val="59594ADC"/>
    <w:rsid w:val="5971703E"/>
    <w:rsid w:val="597829FF"/>
    <w:rsid w:val="597931D9"/>
    <w:rsid w:val="598036E9"/>
    <w:rsid w:val="598707FA"/>
    <w:rsid w:val="598F49A2"/>
    <w:rsid w:val="59957B6A"/>
    <w:rsid w:val="5999137D"/>
    <w:rsid w:val="599F20BC"/>
    <w:rsid w:val="59A1611D"/>
    <w:rsid w:val="59A44A9E"/>
    <w:rsid w:val="59A85A64"/>
    <w:rsid w:val="59AC5E01"/>
    <w:rsid w:val="59B937CD"/>
    <w:rsid w:val="59CA59DA"/>
    <w:rsid w:val="59CC1752"/>
    <w:rsid w:val="59D46859"/>
    <w:rsid w:val="59D52E71"/>
    <w:rsid w:val="59D625D1"/>
    <w:rsid w:val="59D9376A"/>
    <w:rsid w:val="59D979CB"/>
    <w:rsid w:val="59E470D5"/>
    <w:rsid w:val="59E8782F"/>
    <w:rsid w:val="59F9006D"/>
    <w:rsid w:val="59FB30B7"/>
    <w:rsid w:val="59FB6B97"/>
    <w:rsid w:val="5A0233C6"/>
    <w:rsid w:val="5A0E3BCE"/>
    <w:rsid w:val="5A0E58C7"/>
    <w:rsid w:val="5A117165"/>
    <w:rsid w:val="5A124512"/>
    <w:rsid w:val="5A15680D"/>
    <w:rsid w:val="5A191BE6"/>
    <w:rsid w:val="5A1923F9"/>
    <w:rsid w:val="5A1B5F64"/>
    <w:rsid w:val="5A1B6236"/>
    <w:rsid w:val="5A284D19"/>
    <w:rsid w:val="5A2E23C2"/>
    <w:rsid w:val="5A33532D"/>
    <w:rsid w:val="5A341C86"/>
    <w:rsid w:val="5A3C75F3"/>
    <w:rsid w:val="5A407A4A"/>
    <w:rsid w:val="5A427C66"/>
    <w:rsid w:val="5A451A71"/>
    <w:rsid w:val="5A470DD9"/>
    <w:rsid w:val="5A5752C7"/>
    <w:rsid w:val="5A5A2462"/>
    <w:rsid w:val="5A5D1D55"/>
    <w:rsid w:val="5A5D23AA"/>
    <w:rsid w:val="5A655703"/>
    <w:rsid w:val="5A696FA1"/>
    <w:rsid w:val="5A763A35"/>
    <w:rsid w:val="5A7871E4"/>
    <w:rsid w:val="5A7E78BA"/>
    <w:rsid w:val="5A803A2A"/>
    <w:rsid w:val="5A8A32D1"/>
    <w:rsid w:val="5A9545B4"/>
    <w:rsid w:val="5A9866CB"/>
    <w:rsid w:val="5A991113"/>
    <w:rsid w:val="5A9C26BF"/>
    <w:rsid w:val="5A9F0C15"/>
    <w:rsid w:val="5A9F29C3"/>
    <w:rsid w:val="5AA1673B"/>
    <w:rsid w:val="5AA52142"/>
    <w:rsid w:val="5AA86F2A"/>
    <w:rsid w:val="5AAB58AA"/>
    <w:rsid w:val="5AAE4AD1"/>
    <w:rsid w:val="5AAE7261"/>
    <w:rsid w:val="5AB02B36"/>
    <w:rsid w:val="5ABA3CA0"/>
    <w:rsid w:val="5ABE5A4B"/>
    <w:rsid w:val="5AC235DA"/>
    <w:rsid w:val="5AC40C23"/>
    <w:rsid w:val="5AC73CC7"/>
    <w:rsid w:val="5ACC12DE"/>
    <w:rsid w:val="5ACE61DC"/>
    <w:rsid w:val="5AD03C8C"/>
    <w:rsid w:val="5AD16875"/>
    <w:rsid w:val="5AD26E2D"/>
    <w:rsid w:val="5AD563E4"/>
    <w:rsid w:val="5AD7215D"/>
    <w:rsid w:val="5AD73E78"/>
    <w:rsid w:val="5AD76600"/>
    <w:rsid w:val="5AD9043E"/>
    <w:rsid w:val="5ADC3C17"/>
    <w:rsid w:val="5AEB2409"/>
    <w:rsid w:val="5AEB46F4"/>
    <w:rsid w:val="5B0A4CC1"/>
    <w:rsid w:val="5B0C34C9"/>
    <w:rsid w:val="5B0D3DD0"/>
    <w:rsid w:val="5B10566E"/>
    <w:rsid w:val="5B1769FD"/>
    <w:rsid w:val="5B184523"/>
    <w:rsid w:val="5B294982"/>
    <w:rsid w:val="5B2F0D88"/>
    <w:rsid w:val="5B300444"/>
    <w:rsid w:val="5B3C3D40"/>
    <w:rsid w:val="5B3F5F54"/>
    <w:rsid w:val="5B44356A"/>
    <w:rsid w:val="5B532E3D"/>
    <w:rsid w:val="5B600B84"/>
    <w:rsid w:val="5B64295D"/>
    <w:rsid w:val="5B667984"/>
    <w:rsid w:val="5B6D0899"/>
    <w:rsid w:val="5B6D23BF"/>
    <w:rsid w:val="5B793214"/>
    <w:rsid w:val="5B7E0775"/>
    <w:rsid w:val="5B7E4CCE"/>
    <w:rsid w:val="5B8A5421"/>
    <w:rsid w:val="5B8A71CF"/>
    <w:rsid w:val="5B9A3702"/>
    <w:rsid w:val="5B9C5154"/>
    <w:rsid w:val="5B9E559A"/>
    <w:rsid w:val="5BA02E96"/>
    <w:rsid w:val="5BA4183C"/>
    <w:rsid w:val="5BA52334"/>
    <w:rsid w:val="5BA81D4B"/>
    <w:rsid w:val="5BAC22FE"/>
    <w:rsid w:val="5BAF7A77"/>
    <w:rsid w:val="5BB71BBE"/>
    <w:rsid w:val="5BB97AB4"/>
    <w:rsid w:val="5BBC75A4"/>
    <w:rsid w:val="5BC14BBB"/>
    <w:rsid w:val="5BC50070"/>
    <w:rsid w:val="5BC546AB"/>
    <w:rsid w:val="5BC56459"/>
    <w:rsid w:val="5BD3602A"/>
    <w:rsid w:val="5BD562EB"/>
    <w:rsid w:val="5BD90F68"/>
    <w:rsid w:val="5BD963A8"/>
    <w:rsid w:val="5BDB0B4F"/>
    <w:rsid w:val="5BE34B31"/>
    <w:rsid w:val="5BE619C4"/>
    <w:rsid w:val="5BE865EB"/>
    <w:rsid w:val="5BEA5EBF"/>
    <w:rsid w:val="5BF262AC"/>
    <w:rsid w:val="5BF6163A"/>
    <w:rsid w:val="5BF64013"/>
    <w:rsid w:val="5BFD30FD"/>
    <w:rsid w:val="5BFE7BBD"/>
    <w:rsid w:val="5BFF264F"/>
    <w:rsid w:val="5C02145B"/>
    <w:rsid w:val="5C05719D"/>
    <w:rsid w:val="5C090A3C"/>
    <w:rsid w:val="5C116A3E"/>
    <w:rsid w:val="5C125416"/>
    <w:rsid w:val="5C163158"/>
    <w:rsid w:val="5C1B251D"/>
    <w:rsid w:val="5C202EEF"/>
    <w:rsid w:val="5C207B33"/>
    <w:rsid w:val="5C2873D7"/>
    <w:rsid w:val="5C29540E"/>
    <w:rsid w:val="5C29658B"/>
    <w:rsid w:val="5C3062DA"/>
    <w:rsid w:val="5C3261B0"/>
    <w:rsid w:val="5C365107"/>
    <w:rsid w:val="5C367357"/>
    <w:rsid w:val="5C3C4A4A"/>
    <w:rsid w:val="5C447CC6"/>
    <w:rsid w:val="5C48632D"/>
    <w:rsid w:val="5C593045"/>
    <w:rsid w:val="5C5A4567"/>
    <w:rsid w:val="5C5C1AD2"/>
    <w:rsid w:val="5C613755"/>
    <w:rsid w:val="5C684A54"/>
    <w:rsid w:val="5C7026BF"/>
    <w:rsid w:val="5C71213D"/>
    <w:rsid w:val="5C7779C1"/>
    <w:rsid w:val="5C7F0756"/>
    <w:rsid w:val="5C817592"/>
    <w:rsid w:val="5C8400C2"/>
    <w:rsid w:val="5C871960"/>
    <w:rsid w:val="5C8B76A2"/>
    <w:rsid w:val="5C8E620D"/>
    <w:rsid w:val="5C8F1D6F"/>
    <w:rsid w:val="5C8F58F1"/>
    <w:rsid w:val="5C906302"/>
    <w:rsid w:val="5C9522CF"/>
    <w:rsid w:val="5C9824FE"/>
    <w:rsid w:val="5CA70254"/>
    <w:rsid w:val="5CA942DB"/>
    <w:rsid w:val="5CAA0F94"/>
    <w:rsid w:val="5CAB1AF3"/>
    <w:rsid w:val="5CB07109"/>
    <w:rsid w:val="5CB10EA2"/>
    <w:rsid w:val="5CB11FA4"/>
    <w:rsid w:val="5CB84210"/>
    <w:rsid w:val="5CBD748C"/>
    <w:rsid w:val="5CC13E93"/>
    <w:rsid w:val="5CC20BEA"/>
    <w:rsid w:val="5CC606DB"/>
    <w:rsid w:val="5CC613FD"/>
    <w:rsid w:val="5CC901CB"/>
    <w:rsid w:val="5CC93D27"/>
    <w:rsid w:val="5CCC1A69"/>
    <w:rsid w:val="5CD64696"/>
    <w:rsid w:val="5CDF179C"/>
    <w:rsid w:val="5CE15514"/>
    <w:rsid w:val="5CE172C2"/>
    <w:rsid w:val="5CE62B2B"/>
    <w:rsid w:val="5CEA6DC8"/>
    <w:rsid w:val="5CF039A9"/>
    <w:rsid w:val="5CF76BF6"/>
    <w:rsid w:val="5CF90780"/>
    <w:rsid w:val="5CFB2E43"/>
    <w:rsid w:val="5CFF1508"/>
    <w:rsid w:val="5D011940"/>
    <w:rsid w:val="5D082026"/>
    <w:rsid w:val="5D0C1211"/>
    <w:rsid w:val="5D0C652A"/>
    <w:rsid w:val="5D16458D"/>
    <w:rsid w:val="5D1D4073"/>
    <w:rsid w:val="5D213E18"/>
    <w:rsid w:val="5D230C5E"/>
    <w:rsid w:val="5D29317B"/>
    <w:rsid w:val="5D3F4F5B"/>
    <w:rsid w:val="5D480AC5"/>
    <w:rsid w:val="5D5850AB"/>
    <w:rsid w:val="5D5977A1"/>
    <w:rsid w:val="5D650153"/>
    <w:rsid w:val="5D656145"/>
    <w:rsid w:val="5D6C29E3"/>
    <w:rsid w:val="5D7A1058"/>
    <w:rsid w:val="5D83037A"/>
    <w:rsid w:val="5D8660BC"/>
    <w:rsid w:val="5D8D11F8"/>
    <w:rsid w:val="5D902A97"/>
    <w:rsid w:val="5D9205BD"/>
    <w:rsid w:val="5D92680F"/>
    <w:rsid w:val="5D9407D9"/>
    <w:rsid w:val="5D942587"/>
    <w:rsid w:val="5D9A3915"/>
    <w:rsid w:val="5D9A7EF9"/>
    <w:rsid w:val="5DA16A52"/>
    <w:rsid w:val="5DA30A1C"/>
    <w:rsid w:val="5DAB23BA"/>
    <w:rsid w:val="5DAB5B22"/>
    <w:rsid w:val="5DAD2381"/>
    <w:rsid w:val="5DB1365C"/>
    <w:rsid w:val="5DB20AD8"/>
    <w:rsid w:val="5DB70023"/>
    <w:rsid w:val="5DC85264"/>
    <w:rsid w:val="5DCC6257"/>
    <w:rsid w:val="5DCF35BF"/>
    <w:rsid w:val="5DD10F21"/>
    <w:rsid w:val="5DDB07E6"/>
    <w:rsid w:val="5DDB6ECD"/>
    <w:rsid w:val="5DDC2B85"/>
    <w:rsid w:val="5DDC7A8A"/>
    <w:rsid w:val="5DE23EB2"/>
    <w:rsid w:val="5DEB5F1F"/>
    <w:rsid w:val="5DEC23C3"/>
    <w:rsid w:val="5DED10A9"/>
    <w:rsid w:val="5DF179D9"/>
    <w:rsid w:val="5DF72B16"/>
    <w:rsid w:val="5DFD637E"/>
    <w:rsid w:val="5E000678"/>
    <w:rsid w:val="5E14609B"/>
    <w:rsid w:val="5E192A8C"/>
    <w:rsid w:val="5E1B121A"/>
    <w:rsid w:val="5E1B4A56"/>
    <w:rsid w:val="5E1B74ED"/>
    <w:rsid w:val="5E26402E"/>
    <w:rsid w:val="5E2F0501"/>
    <w:rsid w:val="5E3641C2"/>
    <w:rsid w:val="5E394EDC"/>
    <w:rsid w:val="5E412BD5"/>
    <w:rsid w:val="5E413D91"/>
    <w:rsid w:val="5E455DA7"/>
    <w:rsid w:val="5E4F4700"/>
    <w:rsid w:val="5E4F64AE"/>
    <w:rsid w:val="5E510478"/>
    <w:rsid w:val="5E543EED"/>
    <w:rsid w:val="5E5D4F0E"/>
    <w:rsid w:val="5E5E4943"/>
    <w:rsid w:val="5E631F59"/>
    <w:rsid w:val="5E6C7772"/>
    <w:rsid w:val="5E6D2BCC"/>
    <w:rsid w:val="5E714676"/>
    <w:rsid w:val="5E791F2E"/>
    <w:rsid w:val="5E7C41D6"/>
    <w:rsid w:val="5E824AD5"/>
    <w:rsid w:val="5E84084D"/>
    <w:rsid w:val="5E8720EC"/>
    <w:rsid w:val="5E882D8F"/>
    <w:rsid w:val="5E8A5738"/>
    <w:rsid w:val="5E8B1BDC"/>
    <w:rsid w:val="5E8B6F2B"/>
    <w:rsid w:val="5E916AC6"/>
    <w:rsid w:val="5E920B70"/>
    <w:rsid w:val="5E930A90"/>
    <w:rsid w:val="5E97134D"/>
    <w:rsid w:val="5E9A1E1F"/>
    <w:rsid w:val="5E9B5B97"/>
    <w:rsid w:val="5E9D190F"/>
    <w:rsid w:val="5EA84833"/>
    <w:rsid w:val="5EAB448B"/>
    <w:rsid w:val="5EAD0156"/>
    <w:rsid w:val="5EBB3B43"/>
    <w:rsid w:val="5EBD515A"/>
    <w:rsid w:val="5EC40C4A"/>
    <w:rsid w:val="5ED15115"/>
    <w:rsid w:val="5ED51534"/>
    <w:rsid w:val="5ED645AC"/>
    <w:rsid w:val="5ED66574"/>
    <w:rsid w:val="5EDB5F93"/>
    <w:rsid w:val="5EE035AA"/>
    <w:rsid w:val="5EE44E48"/>
    <w:rsid w:val="5EE60876"/>
    <w:rsid w:val="5EE70DDC"/>
    <w:rsid w:val="5EF86B45"/>
    <w:rsid w:val="5EFA28BD"/>
    <w:rsid w:val="5F061262"/>
    <w:rsid w:val="5F0674B4"/>
    <w:rsid w:val="5F083FC2"/>
    <w:rsid w:val="5F0907C3"/>
    <w:rsid w:val="5F094B35"/>
    <w:rsid w:val="5F0B6879"/>
    <w:rsid w:val="5F0D3DD3"/>
    <w:rsid w:val="5F0E2F6D"/>
    <w:rsid w:val="5F1020E1"/>
    <w:rsid w:val="5F10721B"/>
    <w:rsid w:val="5F11646E"/>
    <w:rsid w:val="5F185A65"/>
    <w:rsid w:val="5F197863"/>
    <w:rsid w:val="5F1F1321"/>
    <w:rsid w:val="5F1F2324"/>
    <w:rsid w:val="5F225970"/>
    <w:rsid w:val="5F27114E"/>
    <w:rsid w:val="5F2711D9"/>
    <w:rsid w:val="5F273564"/>
    <w:rsid w:val="5F2C67EF"/>
    <w:rsid w:val="5F2D4A41"/>
    <w:rsid w:val="5F3062DF"/>
    <w:rsid w:val="5F342CE9"/>
    <w:rsid w:val="5F37766E"/>
    <w:rsid w:val="5F420993"/>
    <w:rsid w:val="5F4D50E3"/>
    <w:rsid w:val="5F50744C"/>
    <w:rsid w:val="5F546472"/>
    <w:rsid w:val="5F557AF4"/>
    <w:rsid w:val="5F5875E4"/>
    <w:rsid w:val="5F5A6D0B"/>
    <w:rsid w:val="5F5C0E82"/>
    <w:rsid w:val="5F610B6B"/>
    <w:rsid w:val="5F7D0A29"/>
    <w:rsid w:val="5F8421A1"/>
    <w:rsid w:val="5F851ACB"/>
    <w:rsid w:val="5F8A1DD7"/>
    <w:rsid w:val="5F8B79B9"/>
    <w:rsid w:val="5F93686E"/>
    <w:rsid w:val="5F942FDA"/>
    <w:rsid w:val="5F9A7BFD"/>
    <w:rsid w:val="5FA44665"/>
    <w:rsid w:val="5FAE5456"/>
    <w:rsid w:val="5FB23198"/>
    <w:rsid w:val="5FBA204D"/>
    <w:rsid w:val="5FC058B5"/>
    <w:rsid w:val="5FC44C79"/>
    <w:rsid w:val="5FC5355C"/>
    <w:rsid w:val="5FC66C44"/>
    <w:rsid w:val="5FCA6734"/>
    <w:rsid w:val="5FCF7980"/>
    <w:rsid w:val="5FD21144"/>
    <w:rsid w:val="5FD6132E"/>
    <w:rsid w:val="5FD852C8"/>
    <w:rsid w:val="5FDC78E1"/>
    <w:rsid w:val="5FDE017F"/>
    <w:rsid w:val="5FE13A7D"/>
    <w:rsid w:val="5FEA2274"/>
    <w:rsid w:val="5FEB66AA"/>
    <w:rsid w:val="5FED5F7E"/>
    <w:rsid w:val="5FF94923"/>
    <w:rsid w:val="5FFC4413"/>
    <w:rsid w:val="600707CF"/>
    <w:rsid w:val="600778F8"/>
    <w:rsid w:val="601856F1"/>
    <w:rsid w:val="60194FC5"/>
    <w:rsid w:val="601B085C"/>
    <w:rsid w:val="601B5475"/>
    <w:rsid w:val="601C6864"/>
    <w:rsid w:val="601E082E"/>
    <w:rsid w:val="6024439E"/>
    <w:rsid w:val="60262323"/>
    <w:rsid w:val="602816AC"/>
    <w:rsid w:val="602A2D2E"/>
    <w:rsid w:val="603B26DF"/>
    <w:rsid w:val="603B4F3C"/>
    <w:rsid w:val="603C4F45"/>
    <w:rsid w:val="60410ACC"/>
    <w:rsid w:val="6045514E"/>
    <w:rsid w:val="604858AA"/>
    <w:rsid w:val="60555389"/>
    <w:rsid w:val="605E4CD9"/>
    <w:rsid w:val="605F7FCA"/>
    <w:rsid w:val="60615122"/>
    <w:rsid w:val="60631B06"/>
    <w:rsid w:val="60640345"/>
    <w:rsid w:val="60671922"/>
    <w:rsid w:val="60673F83"/>
    <w:rsid w:val="606B0428"/>
    <w:rsid w:val="607516DD"/>
    <w:rsid w:val="607B1ADE"/>
    <w:rsid w:val="607C0D31"/>
    <w:rsid w:val="607F2287"/>
    <w:rsid w:val="60806FCC"/>
    <w:rsid w:val="60864C65"/>
    <w:rsid w:val="608763D3"/>
    <w:rsid w:val="608A1A1F"/>
    <w:rsid w:val="608C5797"/>
    <w:rsid w:val="609603C4"/>
    <w:rsid w:val="60966616"/>
    <w:rsid w:val="60A21AE9"/>
    <w:rsid w:val="60A222B4"/>
    <w:rsid w:val="60A54AAB"/>
    <w:rsid w:val="60A62CF8"/>
    <w:rsid w:val="60AA172A"/>
    <w:rsid w:val="60AC5E39"/>
    <w:rsid w:val="60AF1486"/>
    <w:rsid w:val="60B42F40"/>
    <w:rsid w:val="60BA4FC1"/>
    <w:rsid w:val="60C03560"/>
    <w:rsid w:val="60C110E1"/>
    <w:rsid w:val="60C458D1"/>
    <w:rsid w:val="60C90799"/>
    <w:rsid w:val="60D31618"/>
    <w:rsid w:val="60E2185B"/>
    <w:rsid w:val="60E46FA6"/>
    <w:rsid w:val="60E530F9"/>
    <w:rsid w:val="60EC6236"/>
    <w:rsid w:val="60F2699F"/>
    <w:rsid w:val="60F375C4"/>
    <w:rsid w:val="60F408E6"/>
    <w:rsid w:val="60FA66B2"/>
    <w:rsid w:val="60FE6A9C"/>
    <w:rsid w:val="610D0E27"/>
    <w:rsid w:val="610E2650"/>
    <w:rsid w:val="610F0B89"/>
    <w:rsid w:val="610F15C6"/>
    <w:rsid w:val="611539DF"/>
    <w:rsid w:val="611A0FF5"/>
    <w:rsid w:val="612A54F8"/>
    <w:rsid w:val="612B56E9"/>
    <w:rsid w:val="6130196A"/>
    <w:rsid w:val="613528A4"/>
    <w:rsid w:val="61382BDD"/>
    <w:rsid w:val="613B24C6"/>
    <w:rsid w:val="614442C4"/>
    <w:rsid w:val="61561BDD"/>
    <w:rsid w:val="615D49C2"/>
    <w:rsid w:val="61695482"/>
    <w:rsid w:val="616A3183"/>
    <w:rsid w:val="616E0F53"/>
    <w:rsid w:val="616F12F4"/>
    <w:rsid w:val="61730705"/>
    <w:rsid w:val="61822AAF"/>
    <w:rsid w:val="61857F0D"/>
    <w:rsid w:val="61882403"/>
    <w:rsid w:val="618F63D5"/>
    <w:rsid w:val="61923281"/>
    <w:rsid w:val="61987A25"/>
    <w:rsid w:val="619C1A0A"/>
    <w:rsid w:val="619D5782"/>
    <w:rsid w:val="619E0BB2"/>
    <w:rsid w:val="61A44D62"/>
    <w:rsid w:val="61AD00BB"/>
    <w:rsid w:val="61B551C2"/>
    <w:rsid w:val="61C176C2"/>
    <w:rsid w:val="61C23AE6"/>
    <w:rsid w:val="61C918FB"/>
    <w:rsid w:val="61CA2A1B"/>
    <w:rsid w:val="61D45C00"/>
    <w:rsid w:val="61D70C94"/>
    <w:rsid w:val="61D93DC9"/>
    <w:rsid w:val="61DF265F"/>
    <w:rsid w:val="61E810F3"/>
    <w:rsid w:val="61F86F7D"/>
    <w:rsid w:val="61FE35A2"/>
    <w:rsid w:val="620241F5"/>
    <w:rsid w:val="6204008E"/>
    <w:rsid w:val="62060C13"/>
    <w:rsid w:val="62093D23"/>
    <w:rsid w:val="621041A6"/>
    <w:rsid w:val="62147075"/>
    <w:rsid w:val="62165C60"/>
    <w:rsid w:val="62175534"/>
    <w:rsid w:val="62216E10"/>
    <w:rsid w:val="62217500"/>
    <w:rsid w:val="62230D10"/>
    <w:rsid w:val="622A170C"/>
    <w:rsid w:val="622A34BA"/>
    <w:rsid w:val="622B7232"/>
    <w:rsid w:val="62306F99"/>
    <w:rsid w:val="62343871"/>
    <w:rsid w:val="623C4F9B"/>
    <w:rsid w:val="624A590A"/>
    <w:rsid w:val="62514EEA"/>
    <w:rsid w:val="62522A10"/>
    <w:rsid w:val="62533A5E"/>
    <w:rsid w:val="625422E5"/>
    <w:rsid w:val="62570027"/>
    <w:rsid w:val="625C563D"/>
    <w:rsid w:val="625F2D55"/>
    <w:rsid w:val="62607EDA"/>
    <w:rsid w:val="626562A0"/>
    <w:rsid w:val="626A1B08"/>
    <w:rsid w:val="627209BD"/>
    <w:rsid w:val="62792267"/>
    <w:rsid w:val="627F4ED0"/>
    <w:rsid w:val="62857471"/>
    <w:rsid w:val="62871D26"/>
    <w:rsid w:val="628752D0"/>
    <w:rsid w:val="628A03FC"/>
    <w:rsid w:val="628A21AA"/>
    <w:rsid w:val="628E1C9B"/>
    <w:rsid w:val="628F09B1"/>
    <w:rsid w:val="62944DD7"/>
    <w:rsid w:val="6296008D"/>
    <w:rsid w:val="62966B4B"/>
    <w:rsid w:val="629767E0"/>
    <w:rsid w:val="6299063F"/>
    <w:rsid w:val="629B4C99"/>
    <w:rsid w:val="629B6043"/>
    <w:rsid w:val="62A068F8"/>
    <w:rsid w:val="62A312B7"/>
    <w:rsid w:val="62A50D92"/>
    <w:rsid w:val="62A6471A"/>
    <w:rsid w:val="62A96AD4"/>
    <w:rsid w:val="62AB71BB"/>
    <w:rsid w:val="62AC3E23"/>
    <w:rsid w:val="62B11E8C"/>
    <w:rsid w:val="62B31701"/>
    <w:rsid w:val="62B45479"/>
    <w:rsid w:val="62BB05B6"/>
    <w:rsid w:val="62C03E1E"/>
    <w:rsid w:val="62C0791B"/>
    <w:rsid w:val="62CD2097"/>
    <w:rsid w:val="62D376AD"/>
    <w:rsid w:val="62D501CC"/>
    <w:rsid w:val="62E713AB"/>
    <w:rsid w:val="62E85D48"/>
    <w:rsid w:val="62EB6B6B"/>
    <w:rsid w:val="62EC076F"/>
    <w:rsid w:val="62FD0BCE"/>
    <w:rsid w:val="62FD148D"/>
    <w:rsid w:val="63051831"/>
    <w:rsid w:val="63097D61"/>
    <w:rsid w:val="630A309B"/>
    <w:rsid w:val="630B122A"/>
    <w:rsid w:val="6311467A"/>
    <w:rsid w:val="631551E4"/>
    <w:rsid w:val="63227125"/>
    <w:rsid w:val="63267D59"/>
    <w:rsid w:val="632E2B36"/>
    <w:rsid w:val="6333639E"/>
    <w:rsid w:val="633769A9"/>
    <w:rsid w:val="633C3C47"/>
    <w:rsid w:val="633D0FCB"/>
    <w:rsid w:val="634A66AF"/>
    <w:rsid w:val="634C7460"/>
    <w:rsid w:val="635655AC"/>
    <w:rsid w:val="635B76A3"/>
    <w:rsid w:val="63626220"/>
    <w:rsid w:val="63636F83"/>
    <w:rsid w:val="636F3027"/>
    <w:rsid w:val="636F31DD"/>
    <w:rsid w:val="637B2A75"/>
    <w:rsid w:val="637D1D0F"/>
    <w:rsid w:val="637D586B"/>
    <w:rsid w:val="63802FCE"/>
    <w:rsid w:val="638906B4"/>
    <w:rsid w:val="63953F38"/>
    <w:rsid w:val="63A2011E"/>
    <w:rsid w:val="63A40A5E"/>
    <w:rsid w:val="63A66B70"/>
    <w:rsid w:val="63AA3963"/>
    <w:rsid w:val="63AD6150"/>
    <w:rsid w:val="63C82223"/>
    <w:rsid w:val="63CD05A1"/>
    <w:rsid w:val="63CE475E"/>
    <w:rsid w:val="63DA5861"/>
    <w:rsid w:val="63DE27AE"/>
    <w:rsid w:val="63E20330"/>
    <w:rsid w:val="63E56E61"/>
    <w:rsid w:val="63ED479F"/>
    <w:rsid w:val="63F06011"/>
    <w:rsid w:val="63FC228E"/>
    <w:rsid w:val="63FD4CFE"/>
    <w:rsid w:val="63FE0581"/>
    <w:rsid w:val="63FE69AC"/>
    <w:rsid w:val="64041AE8"/>
    <w:rsid w:val="64095A64"/>
    <w:rsid w:val="6419500B"/>
    <w:rsid w:val="64236413"/>
    <w:rsid w:val="64281C7B"/>
    <w:rsid w:val="643B38FE"/>
    <w:rsid w:val="644C6440"/>
    <w:rsid w:val="645A385E"/>
    <w:rsid w:val="645C1924"/>
    <w:rsid w:val="645D71A4"/>
    <w:rsid w:val="64630F05"/>
    <w:rsid w:val="64637FCC"/>
    <w:rsid w:val="6466552F"/>
    <w:rsid w:val="646D768E"/>
    <w:rsid w:val="646F4FC1"/>
    <w:rsid w:val="647355BB"/>
    <w:rsid w:val="64770C25"/>
    <w:rsid w:val="64813139"/>
    <w:rsid w:val="64845C90"/>
    <w:rsid w:val="64872E45"/>
    <w:rsid w:val="64882719"/>
    <w:rsid w:val="648844C8"/>
    <w:rsid w:val="64896393"/>
    <w:rsid w:val="648A0A78"/>
    <w:rsid w:val="648A33DE"/>
    <w:rsid w:val="648D5F82"/>
    <w:rsid w:val="649317EA"/>
    <w:rsid w:val="64986E00"/>
    <w:rsid w:val="649F0962"/>
    <w:rsid w:val="64A70DF2"/>
    <w:rsid w:val="64A91186"/>
    <w:rsid w:val="64AA6B34"/>
    <w:rsid w:val="64AC465A"/>
    <w:rsid w:val="64B251B8"/>
    <w:rsid w:val="64B65AB0"/>
    <w:rsid w:val="64B67136"/>
    <w:rsid w:val="64B82FFF"/>
    <w:rsid w:val="64BB2AEF"/>
    <w:rsid w:val="64C017F2"/>
    <w:rsid w:val="64C31056"/>
    <w:rsid w:val="64C5450D"/>
    <w:rsid w:val="64D16632"/>
    <w:rsid w:val="64D43A61"/>
    <w:rsid w:val="64DE2339"/>
    <w:rsid w:val="64E27616"/>
    <w:rsid w:val="64E50514"/>
    <w:rsid w:val="64EB5977"/>
    <w:rsid w:val="64F13D73"/>
    <w:rsid w:val="64F43E76"/>
    <w:rsid w:val="64F56864"/>
    <w:rsid w:val="64F953C5"/>
    <w:rsid w:val="64FA4DF8"/>
    <w:rsid w:val="64FB2EEB"/>
    <w:rsid w:val="65037FF2"/>
    <w:rsid w:val="650647F6"/>
    <w:rsid w:val="650877CF"/>
    <w:rsid w:val="65115EE0"/>
    <w:rsid w:val="65154819"/>
    <w:rsid w:val="651641C9"/>
    <w:rsid w:val="651D2E62"/>
    <w:rsid w:val="651D5558"/>
    <w:rsid w:val="651E0CDF"/>
    <w:rsid w:val="651E4E2C"/>
    <w:rsid w:val="651F307E"/>
    <w:rsid w:val="652341F0"/>
    <w:rsid w:val="65246E69"/>
    <w:rsid w:val="652F11A9"/>
    <w:rsid w:val="65434531"/>
    <w:rsid w:val="65442AE4"/>
    <w:rsid w:val="6553497A"/>
    <w:rsid w:val="6554084E"/>
    <w:rsid w:val="655645C6"/>
    <w:rsid w:val="6562740E"/>
    <w:rsid w:val="65644665"/>
    <w:rsid w:val="656627D7"/>
    <w:rsid w:val="656767D3"/>
    <w:rsid w:val="65720209"/>
    <w:rsid w:val="65752C9E"/>
    <w:rsid w:val="65784C78"/>
    <w:rsid w:val="657A02B4"/>
    <w:rsid w:val="657B5DDA"/>
    <w:rsid w:val="657C1324"/>
    <w:rsid w:val="65824922"/>
    <w:rsid w:val="65826DC3"/>
    <w:rsid w:val="65830CD1"/>
    <w:rsid w:val="65864514"/>
    <w:rsid w:val="65895532"/>
    <w:rsid w:val="658A139D"/>
    <w:rsid w:val="658A426F"/>
    <w:rsid w:val="658A4348"/>
    <w:rsid w:val="659A2704"/>
    <w:rsid w:val="659E3379"/>
    <w:rsid w:val="65A43583"/>
    <w:rsid w:val="65A65CF0"/>
    <w:rsid w:val="65AE7F5E"/>
    <w:rsid w:val="65B33BEC"/>
    <w:rsid w:val="65B71508"/>
    <w:rsid w:val="65BA2DA7"/>
    <w:rsid w:val="65BB267B"/>
    <w:rsid w:val="65BC08CD"/>
    <w:rsid w:val="65C321BE"/>
    <w:rsid w:val="65C77271"/>
    <w:rsid w:val="65D025CA"/>
    <w:rsid w:val="65D26BC2"/>
    <w:rsid w:val="65D3539A"/>
    <w:rsid w:val="65D908CE"/>
    <w:rsid w:val="65E009C1"/>
    <w:rsid w:val="65E25E59"/>
    <w:rsid w:val="65E74EC8"/>
    <w:rsid w:val="65E971E8"/>
    <w:rsid w:val="65EB2F60"/>
    <w:rsid w:val="65F020AE"/>
    <w:rsid w:val="65F02F3A"/>
    <w:rsid w:val="65F22540"/>
    <w:rsid w:val="65FC7F22"/>
    <w:rsid w:val="65FF6A0B"/>
    <w:rsid w:val="66043B5E"/>
    <w:rsid w:val="66081D64"/>
    <w:rsid w:val="66091638"/>
    <w:rsid w:val="660A796C"/>
    <w:rsid w:val="661827C5"/>
    <w:rsid w:val="661E50E3"/>
    <w:rsid w:val="66285F62"/>
    <w:rsid w:val="66350592"/>
    <w:rsid w:val="6635242D"/>
    <w:rsid w:val="66372649"/>
    <w:rsid w:val="663A5C95"/>
    <w:rsid w:val="66467922"/>
    <w:rsid w:val="66480DDF"/>
    <w:rsid w:val="66520009"/>
    <w:rsid w:val="665F56FC"/>
    <w:rsid w:val="665F74AA"/>
    <w:rsid w:val="66621261"/>
    <w:rsid w:val="666351EC"/>
    <w:rsid w:val="66646AFD"/>
    <w:rsid w:val="666F3B91"/>
    <w:rsid w:val="667558EB"/>
    <w:rsid w:val="66756CCD"/>
    <w:rsid w:val="66786D41"/>
    <w:rsid w:val="66797C0C"/>
    <w:rsid w:val="667D0F18"/>
    <w:rsid w:val="66862C89"/>
    <w:rsid w:val="66886A01"/>
    <w:rsid w:val="668F1B3D"/>
    <w:rsid w:val="669C24AC"/>
    <w:rsid w:val="66A14FAA"/>
    <w:rsid w:val="66AB0941"/>
    <w:rsid w:val="66AC6B93"/>
    <w:rsid w:val="66B20D8A"/>
    <w:rsid w:val="66B912B0"/>
    <w:rsid w:val="66B9284F"/>
    <w:rsid w:val="66BE391F"/>
    <w:rsid w:val="66C06ACC"/>
    <w:rsid w:val="66C55096"/>
    <w:rsid w:val="66CD08B8"/>
    <w:rsid w:val="66CF63DE"/>
    <w:rsid w:val="66D656D0"/>
    <w:rsid w:val="66E225B5"/>
    <w:rsid w:val="66E35699"/>
    <w:rsid w:val="66E520A5"/>
    <w:rsid w:val="66EE6344"/>
    <w:rsid w:val="66F10A4A"/>
    <w:rsid w:val="66F57C08"/>
    <w:rsid w:val="66F92084"/>
    <w:rsid w:val="67000C8D"/>
    <w:rsid w:val="67006EDF"/>
    <w:rsid w:val="67065096"/>
    <w:rsid w:val="670B5813"/>
    <w:rsid w:val="67112E9A"/>
    <w:rsid w:val="671464E6"/>
    <w:rsid w:val="671751C7"/>
    <w:rsid w:val="671B6634"/>
    <w:rsid w:val="671D070D"/>
    <w:rsid w:val="671E7365"/>
    <w:rsid w:val="672030DD"/>
    <w:rsid w:val="67256946"/>
    <w:rsid w:val="67364FD3"/>
    <w:rsid w:val="67411AF6"/>
    <w:rsid w:val="674212A6"/>
    <w:rsid w:val="674548F2"/>
    <w:rsid w:val="67456875"/>
    <w:rsid w:val="674E19F8"/>
    <w:rsid w:val="67544B35"/>
    <w:rsid w:val="67580AC9"/>
    <w:rsid w:val="67582877"/>
    <w:rsid w:val="675B2367"/>
    <w:rsid w:val="675B2D5F"/>
    <w:rsid w:val="675D7E8D"/>
    <w:rsid w:val="676072E5"/>
    <w:rsid w:val="676905E0"/>
    <w:rsid w:val="676B2854"/>
    <w:rsid w:val="67704D8F"/>
    <w:rsid w:val="677167C2"/>
    <w:rsid w:val="67746C87"/>
    <w:rsid w:val="67760F4F"/>
    <w:rsid w:val="677D0530"/>
    <w:rsid w:val="678A568E"/>
    <w:rsid w:val="6793565D"/>
    <w:rsid w:val="67957A04"/>
    <w:rsid w:val="679A1181"/>
    <w:rsid w:val="679A4285"/>
    <w:rsid w:val="679D472E"/>
    <w:rsid w:val="679D64DC"/>
    <w:rsid w:val="67A07FE7"/>
    <w:rsid w:val="67A21D44"/>
    <w:rsid w:val="67AB5CD9"/>
    <w:rsid w:val="67B56013"/>
    <w:rsid w:val="67B75265"/>
    <w:rsid w:val="67BA708E"/>
    <w:rsid w:val="67C47F0C"/>
    <w:rsid w:val="67C54599"/>
    <w:rsid w:val="67C61FB6"/>
    <w:rsid w:val="67CB3B5A"/>
    <w:rsid w:val="67CD3358"/>
    <w:rsid w:val="67CE7576"/>
    <w:rsid w:val="67DA775B"/>
    <w:rsid w:val="67DB0DB2"/>
    <w:rsid w:val="67E4410B"/>
    <w:rsid w:val="67EC2CD6"/>
    <w:rsid w:val="67F500C6"/>
    <w:rsid w:val="67F72090"/>
    <w:rsid w:val="67FA392E"/>
    <w:rsid w:val="67FC1454"/>
    <w:rsid w:val="67FD2842"/>
    <w:rsid w:val="68040309"/>
    <w:rsid w:val="680E0640"/>
    <w:rsid w:val="680F4007"/>
    <w:rsid w:val="68103152"/>
    <w:rsid w:val="6812347F"/>
    <w:rsid w:val="68126ECA"/>
    <w:rsid w:val="68150768"/>
    <w:rsid w:val="681542C4"/>
    <w:rsid w:val="68203D1B"/>
    <w:rsid w:val="68285AB0"/>
    <w:rsid w:val="68294EC3"/>
    <w:rsid w:val="682D4D6B"/>
    <w:rsid w:val="682E35D8"/>
    <w:rsid w:val="6832131A"/>
    <w:rsid w:val="6833299C"/>
    <w:rsid w:val="68344EC3"/>
    <w:rsid w:val="68352BB8"/>
    <w:rsid w:val="68395D25"/>
    <w:rsid w:val="683A5BDD"/>
    <w:rsid w:val="683F0A82"/>
    <w:rsid w:val="683F206E"/>
    <w:rsid w:val="68403010"/>
    <w:rsid w:val="68457B77"/>
    <w:rsid w:val="684626D0"/>
    <w:rsid w:val="68541290"/>
    <w:rsid w:val="68591BA6"/>
    <w:rsid w:val="685D28CA"/>
    <w:rsid w:val="68662D72"/>
    <w:rsid w:val="686E1C26"/>
    <w:rsid w:val="686E7D63"/>
    <w:rsid w:val="687436E1"/>
    <w:rsid w:val="68757459"/>
    <w:rsid w:val="687A05CB"/>
    <w:rsid w:val="687C0B2F"/>
    <w:rsid w:val="68801FD4"/>
    <w:rsid w:val="6888733A"/>
    <w:rsid w:val="688C0519"/>
    <w:rsid w:val="688E2782"/>
    <w:rsid w:val="68907DEF"/>
    <w:rsid w:val="68967864"/>
    <w:rsid w:val="68993147"/>
    <w:rsid w:val="68995170"/>
    <w:rsid w:val="68A815DC"/>
    <w:rsid w:val="68A93ABD"/>
    <w:rsid w:val="68B26F13"/>
    <w:rsid w:val="68B453E0"/>
    <w:rsid w:val="68B63CF9"/>
    <w:rsid w:val="68B86055"/>
    <w:rsid w:val="68BE2BAE"/>
    <w:rsid w:val="68DB72BC"/>
    <w:rsid w:val="68DD224F"/>
    <w:rsid w:val="68E0736D"/>
    <w:rsid w:val="68E36170"/>
    <w:rsid w:val="68EA74FF"/>
    <w:rsid w:val="68EB3277"/>
    <w:rsid w:val="68F04817"/>
    <w:rsid w:val="68F95994"/>
    <w:rsid w:val="68FD14C7"/>
    <w:rsid w:val="68FD36D6"/>
    <w:rsid w:val="690206D5"/>
    <w:rsid w:val="69091302"/>
    <w:rsid w:val="690A194F"/>
    <w:rsid w:val="690C3919"/>
    <w:rsid w:val="690F0772"/>
    <w:rsid w:val="690F6F65"/>
    <w:rsid w:val="69197DE4"/>
    <w:rsid w:val="691B3B5C"/>
    <w:rsid w:val="691C1682"/>
    <w:rsid w:val="691C4781"/>
    <w:rsid w:val="69224EEB"/>
    <w:rsid w:val="692377D1"/>
    <w:rsid w:val="692A1FF1"/>
    <w:rsid w:val="692D388F"/>
    <w:rsid w:val="692E3098"/>
    <w:rsid w:val="692F585A"/>
    <w:rsid w:val="69306C4B"/>
    <w:rsid w:val="69385DFB"/>
    <w:rsid w:val="69416EAD"/>
    <w:rsid w:val="69456E2B"/>
    <w:rsid w:val="69567F28"/>
    <w:rsid w:val="695931B4"/>
    <w:rsid w:val="69596B1B"/>
    <w:rsid w:val="695F23CC"/>
    <w:rsid w:val="6968464F"/>
    <w:rsid w:val="696A4AE4"/>
    <w:rsid w:val="6971708A"/>
    <w:rsid w:val="69794D27"/>
    <w:rsid w:val="69797C48"/>
    <w:rsid w:val="697D0373"/>
    <w:rsid w:val="69825989"/>
    <w:rsid w:val="69845BA5"/>
    <w:rsid w:val="699055E4"/>
    <w:rsid w:val="69934A52"/>
    <w:rsid w:val="69AA4EE0"/>
    <w:rsid w:val="69B54C3C"/>
    <w:rsid w:val="69B95123"/>
    <w:rsid w:val="69C15059"/>
    <w:rsid w:val="69C31FC8"/>
    <w:rsid w:val="69D361E5"/>
    <w:rsid w:val="69D41F5D"/>
    <w:rsid w:val="69DA38BA"/>
    <w:rsid w:val="69DA57C5"/>
    <w:rsid w:val="69DB153D"/>
    <w:rsid w:val="69DB7894"/>
    <w:rsid w:val="69DD71DF"/>
    <w:rsid w:val="69EA28FC"/>
    <w:rsid w:val="69F276C2"/>
    <w:rsid w:val="69FA3F2F"/>
    <w:rsid w:val="6A01271B"/>
    <w:rsid w:val="6A0154E3"/>
    <w:rsid w:val="6A05231D"/>
    <w:rsid w:val="6A070584"/>
    <w:rsid w:val="6A0E1913"/>
    <w:rsid w:val="6A0E36C1"/>
    <w:rsid w:val="6A0E7573"/>
    <w:rsid w:val="6A107439"/>
    <w:rsid w:val="6A116D0D"/>
    <w:rsid w:val="6A174619"/>
    <w:rsid w:val="6A20314C"/>
    <w:rsid w:val="6A282820"/>
    <w:rsid w:val="6A2829D5"/>
    <w:rsid w:val="6A317BB1"/>
    <w:rsid w:val="6A3220F4"/>
    <w:rsid w:val="6A331379"/>
    <w:rsid w:val="6A386990"/>
    <w:rsid w:val="6A3A44B6"/>
    <w:rsid w:val="6A413A96"/>
    <w:rsid w:val="6A4175F2"/>
    <w:rsid w:val="6A425119"/>
    <w:rsid w:val="6A4415E9"/>
    <w:rsid w:val="6A51241A"/>
    <w:rsid w:val="6A554E4C"/>
    <w:rsid w:val="6A59195E"/>
    <w:rsid w:val="6A59526A"/>
    <w:rsid w:val="6A5E4E3D"/>
    <w:rsid w:val="6A634419"/>
    <w:rsid w:val="6A6C7050"/>
    <w:rsid w:val="6A6E4160"/>
    <w:rsid w:val="6A701C86"/>
    <w:rsid w:val="6A75300F"/>
    <w:rsid w:val="6A7A6FA8"/>
    <w:rsid w:val="6A8120E5"/>
    <w:rsid w:val="6A890F99"/>
    <w:rsid w:val="6A8D6CDC"/>
    <w:rsid w:val="6A931EB3"/>
    <w:rsid w:val="6A976A4E"/>
    <w:rsid w:val="6A9811DC"/>
    <w:rsid w:val="6A987242"/>
    <w:rsid w:val="6A99744E"/>
    <w:rsid w:val="6AB2229E"/>
    <w:rsid w:val="6AB46016"/>
    <w:rsid w:val="6AB853DB"/>
    <w:rsid w:val="6ABA1195"/>
    <w:rsid w:val="6ABE4303"/>
    <w:rsid w:val="6AC83870"/>
    <w:rsid w:val="6AD46F87"/>
    <w:rsid w:val="6AD73E66"/>
    <w:rsid w:val="6ADA35A3"/>
    <w:rsid w:val="6ADC37BF"/>
    <w:rsid w:val="6AE306AA"/>
    <w:rsid w:val="6AE461D0"/>
    <w:rsid w:val="6AF04B97"/>
    <w:rsid w:val="6AF26B3F"/>
    <w:rsid w:val="6AFD62A9"/>
    <w:rsid w:val="6B086362"/>
    <w:rsid w:val="6B0C67D6"/>
    <w:rsid w:val="6B105217"/>
    <w:rsid w:val="6B1B690C"/>
    <w:rsid w:val="6B1B7E43"/>
    <w:rsid w:val="6B1D1F48"/>
    <w:rsid w:val="6B214954"/>
    <w:rsid w:val="6B2C46D3"/>
    <w:rsid w:val="6B2D401B"/>
    <w:rsid w:val="6B2D5DC9"/>
    <w:rsid w:val="6B3453A9"/>
    <w:rsid w:val="6B382482"/>
    <w:rsid w:val="6B3929BF"/>
    <w:rsid w:val="6B3C52FC"/>
    <w:rsid w:val="6B3C600C"/>
    <w:rsid w:val="6B3E2FEB"/>
    <w:rsid w:val="6B464B12"/>
    <w:rsid w:val="6B4661DD"/>
    <w:rsid w:val="6B4750DC"/>
    <w:rsid w:val="6B481316"/>
    <w:rsid w:val="6B4B67A2"/>
    <w:rsid w:val="6B4C26F3"/>
    <w:rsid w:val="6B4D1FC7"/>
    <w:rsid w:val="6B5131AB"/>
    <w:rsid w:val="6B576D51"/>
    <w:rsid w:val="6B5C4E20"/>
    <w:rsid w:val="6B5E5F82"/>
    <w:rsid w:val="6B615D5C"/>
    <w:rsid w:val="6B6A614A"/>
    <w:rsid w:val="6B6B2D4C"/>
    <w:rsid w:val="6B6F55EE"/>
    <w:rsid w:val="6B712E92"/>
    <w:rsid w:val="6B714110"/>
    <w:rsid w:val="6B767770"/>
    <w:rsid w:val="6B8050BC"/>
    <w:rsid w:val="6B8A321B"/>
    <w:rsid w:val="6B90398C"/>
    <w:rsid w:val="6B96396E"/>
    <w:rsid w:val="6BA80310"/>
    <w:rsid w:val="6BAC4F3F"/>
    <w:rsid w:val="6BAF5C40"/>
    <w:rsid w:val="6BB01AF4"/>
    <w:rsid w:val="6BB64010"/>
    <w:rsid w:val="6BB838E4"/>
    <w:rsid w:val="6BBB6967"/>
    <w:rsid w:val="6BC067F1"/>
    <w:rsid w:val="6BC06C3D"/>
    <w:rsid w:val="6BC56001"/>
    <w:rsid w:val="6BC566A0"/>
    <w:rsid w:val="6BC832CE"/>
    <w:rsid w:val="6BD12BF8"/>
    <w:rsid w:val="6BD51DC2"/>
    <w:rsid w:val="6BD95F7D"/>
    <w:rsid w:val="6BE85816"/>
    <w:rsid w:val="6BEA55F0"/>
    <w:rsid w:val="6BF15572"/>
    <w:rsid w:val="6BF201CB"/>
    <w:rsid w:val="6BF652DA"/>
    <w:rsid w:val="6BFD39ED"/>
    <w:rsid w:val="6C046B2A"/>
    <w:rsid w:val="6C197B1D"/>
    <w:rsid w:val="6C1B2BFE"/>
    <w:rsid w:val="6C1E2C9D"/>
    <w:rsid w:val="6C2216A6"/>
    <w:rsid w:val="6C2E10E7"/>
    <w:rsid w:val="6C3B62C3"/>
    <w:rsid w:val="6C427652"/>
    <w:rsid w:val="6C445178"/>
    <w:rsid w:val="6C456BEF"/>
    <w:rsid w:val="6C496C32"/>
    <w:rsid w:val="6C4E5FF7"/>
    <w:rsid w:val="6C5630FD"/>
    <w:rsid w:val="6C580C23"/>
    <w:rsid w:val="6C5F1FB2"/>
    <w:rsid w:val="6C6237C8"/>
    <w:rsid w:val="6C643A6C"/>
    <w:rsid w:val="6C645A1C"/>
    <w:rsid w:val="6C6E48EB"/>
    <w:rsid w:val="6C787517"/>
    <w:rsid w:val="6C7C1180"/>
    <w:rsid w:val="6C804793"/>
    <w:rsid w:val="6C8862A4"/>
    <w:rsid w:val="6C951E77"/>
    <w:rsid w:val="6C975BF0"/>
    <w:rsid w:val="6CA35367"/>
    <w:rsid w:val="6CA43E69"/>
    <w:rsid w:val="6CA64085"/>
    <w:rsid w:val="6CAB3449"/>
    <w:rsid w:val="6CB57E24"/>
    <w:rsid w:val="6CBC7404"/>
    <w:rsid w:val="6CBD4D91"/>
    <w:rsid w:val="6CC91B21"/>
    <w:rsid w:val="6CD04C5E"/>
    <w:rsid w:val="6CD96208"/>
    <w:rsid w:val="6CDD04AE"/>
    <w:rsid w:val="6CEA21C3"/>
    <w:rsid w:val="6CED1CB3"/>
    <w:rsid w:val="6CF272CA"/>
    <w:rsid w:val="6CF7668E"/>
    <w:rsid w:val="6CF92406"/>
    <w:rsid w:val="6CFA1CDB"/>
    <w:rsid w:val="6CFC1EF7"/>
    <w:rsid w:val="6D035033"/>
    <w:rsid w:val="6D090170"/>
    <w:rsid w:val="6D0B213A"/>
    <w:rsid w:val="6D107750"/>
    <w:rsid w:val="6D116100"/>
    <w:rsid w:val="6D146A78"/>
    <w:rsid w:val="6D267E2D"/>
    <w:rsid w:val="6D317DF2"/>
    <w:rsid w:val="6D3E7C18"/>
    <w:rsid w:val="6D472D32"/>
    <w:rsid w:val="6D4C4C2C"/>
    <w:rsid w:val="6D4D62AE"/>
    <w:rsid w:val="6D5725A5"/>
    <w:rsid w:val="6D594C53"/>
    <w:rsid w:val="6D5976EE"/>
    <w:rsid w:val="6D621CE7"/>
    <w:rsid w:val="6D625D54"/>
    <w:rsid w:val="6D642862"/>
    <w:rsid w:val="6D6535F8"/>
    <w:rsid w:val="6D6736B6"/>
    <w:rsid w:val="6D681DF9"/>
    <w:rsid w:val="6D6830E8"/>
    <w:rsid w:val="6D6D46FB"/>
    <w:rsid w:val="6D6E2CE4"/>
    <w:rsid w:val="6D6F4477"/>
    <w:rsid w:val="6D6F7FD1"/>
    <w:rsid w:val="6D7221B9"/>
    <w:rsid w:val="6D7E5FDA"/>
    <w:rsid w:val="6D865EAD"/>
    <w:rsid w:val="6D883FC0"/>
    <w:rsid w:val="6D894E98"/>
    <w:rsid w:val="6D8A12B0"/>
    <w:rsid w:val="6D8C0517"/>
    <w:rsid w:val="6D9D7236"/>
    <w:rsid w:val="6DA5433C"/>
    <w:rsid w:val="6DA700B4"/>
    <w:rsid w:val="6DAD63B8"/>
    <w:rsid w:val="6DB200AD"/>
    <w:rsid w:val="6DB225B5"/>
    <w:rsid w:val="6DB66549"/>
    <w:rsid w:val="6DBB590E"/>
    <w:rsid w:val="6DC74BF1"/>
    <w:rsid w:val="6DCA78FF"/>
    <w:rsid w:val="6DCE0124"/>
    <w:rsid w:val="6DD124A0"/>
    <w:rsid w:val="6DD43C64"/>
    <w:rsid w:val="6DE46888"/>
    <w:rsid w:val="6DF24EEA"/>
    <w:rsid w:val="6DFB59C4"/>
    <w:rsid w:val="6E054896"/>
    <w:rsid w:val="6E122090"/>
    <w:rsid w:val="6E1F1379"/>
    <w:rsid w:val="6E1F67A8"/>
    <w:rsid w:val="6E201C15"/>
    <w:rsid w:val="6E2214E9"/>
    <w:rsid w:val="6E272FA3"/>
    <w:rsid w:val="6E29244A"/>
    <w:rsid w:val="6E292877"/>
    <w:rsid w:val="6E2F5A53"/>
    <w:rsid w:val="6E34575E"/>
    <w:rsid w:val="6E386BAD"/>
    <w:rsid w:val="6E3A4A84"/>
    <w:rsid w:val="6E3C2A15"/>
    <w:rsid w:val="6E3D6323"/>
    <w:rsid w:val="6E427DDD"/>
    <w:rsid w:val="6E493F8C"/>
    <w:rsid w:val="6E4B4EE4"/>
    <w:rsid w:val="6E4C2A0A"/>
    <w:rsid w:val="6E4F2C85"/>
    <w:rsid w:val="6E5518BE"/>
    <w:rsid w:val="6E565636"/>
    <w:rsid w:val="6E565912"/>
    <w:rsid w:val="6E58077C"/>
    <w:rsid w:val="6E59732E"/>
    <w:rsid w:val="6E5A7B9C"/>
    <w:rsid w:val="6E5E27AB"/>
    <w:rsid w:val="6E647D14"/>
    <w:rsid w:val="6E677844"/>
    <w:rsid w:val="6E68642E"/>
    <w:rsid w:val="6E6B6823"/>
    <w:rsid w:val="6E6C3021"/>
    <w:rsid w:val="6E753D0F"/>
    <w:rsid w:val="6E804461"/>
    <w:rsid w:val="6E813DB4"/>
    <w:rsid w:val="6E8403F6"/>
    <w:rsid w:val="6E8413DA"/>
    <w:rsid w:val="6E876C2D"/>
    <w:rsid w:val="6E8F6D71"/>
    <w:rsid w:val="6E924562"/>
    <w:rsid w:val="6EA2087C"/>
    <w:rsid w:val="6EA445F4"/>
    <w:rsid w:val="6EA77C40"/>
    <w:rsid w:val="6EA97E5C"/>
    <w:rsid w:val="6EAC2A1D"/>
    <w:rsid w:val="6EAE3E11"/>
    <w:rsid w:val="6EBA3E17"/>
    <w:rsid w:val="6EBA5477"/>
    <w:rsid w:val="6EBC193D"/>
    <w:rsid w:val="6EBC3CD3"/>
    <w:rsid w:val="6EBE0699"/>
    <w:rsid w:val="6EC46A44"/>
    <w:rsid w:val="6EC5370C"/>
    <w:rsid w:val="6ECA7B67"/>
    <w:rsid w:val="6ECC76A7"/>
    <w:rsid w:val="6ECE1BA8"/>
    <w:rsid w:val="6ED016DF"/>
    <w:rsid w:val="6ED07197"/>
    <w:rsid w:val="6ED30A35"/>
    <w:rsid w:val="6ED529FF"/>
    <w:rsid w:val="6ED93E30"/>
    <w:rsid w:val="6ED96CB9"/>
    <w:rsid w:val="6EDD3662"/>
    <w:rsid w:val="6EE13152"/>
    <w:rsid w:val="6EE175F6"/>
    <w:rsid w:val="6EE907A8"/>
    <w:rsid w:val="6EEB3FD1"/>
    <w:rsid w:val="6EEE3AC1"/>
    <w:rsid w:val="6EFFD290"/>
    <w:rsid w:val="6F0E7CBF"/>
    <w:rsid w:val="6F1654F2"/>
    <w:rsid w:val="6F21311C"/>
    <w:rsid w:val="6F235519"/>
    <w:rsid w:val="6F2614AD"/>
    <w:rsid w:val="6F2D45E9"/>
    <w:rsid w:val="6F2F12E7"/>
    <w:rsid w:val="6F340D22"/>
    <w:rsid w:val="6F3E05A4"/>
    <w:rsid w:val="6F401996"/>
    <w:rsid w:val="6F4C3EA0"/>
    <w:rsid w:val="6F4D7453"/>
    <w:rsid w:val="6F55769C"/>
    <w:rsid w:val="6F57185C"/>
    <w:rsid w:val="6F5A2461"/>
    <w:rsid w:val="6F5C6C7D"/>
    <w:rsid w:val="6F5E29F5"/>
    <w:rsid w:val="6F5F3261"/>
    <w:rsid w:val="6F6D19E7"/>
    <w:rsid w:val="6F6D3BF0"/>
    <w:rsid w:val="6F6D447C"/>
    <w:rsid w:val="6F6E1F5B"/>
    <w:rsid w:val="6F7044D6"/>
    <w:rsid w:val="6F712728"/>
    <w:rsid w:val="6F774DE6"/>
    <w:rsid w:val="6F7C6A4D"/>
    <w:rsid w:val="6F7E0543"/>
    <w:rsid w:val="6F814935"/>
    <w:rsid w:val="6F9E7295"/>
    <w:rsid w:val="6FA26D85"/>
    <w:rsid w:val="6FA973ED"/>
    <w:rsid w:val="6FAC19B2"/>
    <w:rsid w:val="6FAF3250"/>
    <w:rsid w:val="6FB46AB9"/>
    <w:rsid w:val="6FBB074D"/>
    <w:rsid w:val="6FBC771B"/>
    <w:rsid w:val="6FC30AAA"/>
    <w:rsid w:val="6FCD36D6"/>
    <w:rsid w:val="6FD42CB7"/>
    <w:rsid w:val="6FD607DD"/>
    <w:rsid w:val="6FE80510"/>
    <w:rsid w:val="6FEFB5FC"/>
    <w:rsid w:val="6FF173C5"/>
    <w:rsid w:val="6FF5758C"/>
    <w:rsid w:val="6FFE7D34"/>
    <w:rsid w:val="70057314"/>
    <w:rsid w:val="700B7F67"/>
    <w:rsid w:val="700E0A89"/>
    <w:rsid w:val="70126F4F"/>
    <w:rsid w:val="701E3F32"/>
    <w:rsid w:val="70265F85"/>
    <w:rsid w:val="70293003"/>
    <w:rsid w:val="702979D5"/>
    <w:rsid w:val="70342CA5"/>
    <w:rsid w:val="703A5210"/>
    <w:rsid w:val="7040659E"/>
    <w:rsid w:val="70421D2D"/>
    <w:rsid w:val="70465819"/>
    <w:rsid w:val="704D10EC"/>
    <w:rsid w:val="704D4357"/>
    <w:rsid w:val="705362D1"/>
    <w:rsid w:val="7056191E"/>
    <w:rsid w:val="70591B05"/>
    <w:rsid w:val="705C7751"/>
    <w:rsid w:val="7060279C"/>
    <w:rsid w:val="706202C3"/>
    <w:rsid w:val="70645DE9"/>
    <w:rsid w:val="70666005"/>
    <w:rsid w:val="70691651"/>
    <w:rsid w:val="706C1141"/>
    <w:rsid w:val="706E0500"/>
    <w:rsid w:val="70785D38"/>
    <w:rsid w:val="707A2988"/>
    <w:rsid w:val="707B75D6"/>
    <w:rsid w:val="7080699B"/>
    <w:rsid w:val="70814BED"/>
    <w:rsid w:val="70817FDC"/>
    <w:rsid w:val="708741CD"/>
    <w:rsid w:val="70882C31"/>
    <w:rsid w:val="708C17E3"/>
    <w:rsid w:val="70912956"/>
    <w:rsid w:val="70967F6C"/>
    <w:rsid w:val="709E387E"/>
    <w:rsid w:val="70AD5102"/>
    <w:rsid w:val="70AF47ED"/>
    <w:rsid w:val="70B54896"/>
    <w:rsid w:val="70C0121E"/>
    <w:rsid w:val="70C1148D"/>
    <w:rsid w:val="70C307ED"/>
    <w:rsid w:val="70D178EA"/>
    <w:rsid w:val="70DD5B9B"/>
    <w:rsid w:val="70F22642"/>
    <w:rsid w:val="70F311BD"/>
    <w:rsid w:val="70F33611"/>
    <w:rsid w:val="70F34AF9"/>
    <w:rsid w:val="70F84783"/>
    <w:rsid w:val="70FC296E"/>
    <w:rsid w:val="70FE5BAC"/>
    <w:rsid w:val="71017ADB"/>
    <w:rsid w:val="71117FF6"/>
    <w:rsid w:val="71254DC0"/>
    <w:rsid w:val="712A2806"/>
    <w:rsid w:val="713003C1"/>
    <w:rsid w:val="71321543"/>
    <w:rsid w:val="713559D7"/>
    <w:rsid w:val="7135696F"/>
    <w:rsid w:val="713E2ADE"/>
    <w:rsid w:val="714874B8"/>
    <w:rsid w:val="714B51FB"/>
    <w:rsid w:val="71597917"/>
    <w:rsid w:val="715A71EC"/>
    <w:rsid w:val="715C39D4"/>
    <w:rsid w:val="716270CD"/>
    <w:rsid w:val="71755DD4"/>
    <w:rsid w:val="717715C3"/>
    <w:rsid w:val="71775FF0"/>
    <w:rsid w:val="71787B04"/>
    <w:rsid w:val="71836742"/>
    <w:rsid w:val="71890B8B"/>
    <w:rsid w:val="718C272C"/>
    <w:rsid w:val="71927848"/>
    <w:rsid w:val="71933F02"/>
    <w:rsid w:val="71946BA2"/>
    <w:rsid w:val="71A41A51"/>
    <w:rsid w:val="71A5490B"/>
    <w:rsid w:val="71AA1F21"/>
    <w:rsid w:val="71B44B4E"/>
    <w:rsid w:val="71B479B0"/>
    <w:rsid w:val="71C9582B"/>
    <w:rsid w:val="71CC633B"/>
    <w:rsid w:val="71D32B1D"/>
    <w:rsid w:val="71DD1DFA"/>
    <w:rsid w:val="71E47292"/>
    <w:rsid w:val="71E511AB"/>
    <w:rsid w:val="71E70167"/>
    <w:rsid w:val="71EA5BEF"/>
    <w:rsid w:val="71EC253A"/>
    <w:rsid w:val="71ED0060"/>
    <w:rsid w:val="71F04481"/>
    <w:rsid w:val="71F94B9F"/>
    <w:rsid w:val="71F94C57"/>
    <w:rsid w:val="71FE04BF"/>
    <w:rsid w:val="72004E62"/>
    <w:rsid w:val="720751EB"/>
    <w:rsid w:val="720A29C0"/>
    <w:rsid w:val="721101F2"/>
    <w:rsid w:val="72146BC2"/>
    <w:rsid w:val="72154D9D"/>
    <w:rsid w:val="72177B92"/>
    <w:rsid w:val="721B697B"/>
    <w:rsid w:val="721E1865"/>
    <w:rsid w:val="72203F91"/>
    <w:rsid w:val="72263FCD"/>
    <w:rsid w:val="722F3836"/>
    <w:rsid w:val="723143F0"/>
    <w:rsid w:val="72340F20"/>
    <w:rsid w:val="72387208"/>
    <w:rsid w:val="723B0DCB"/>
    <w:rsid w:val="72457067"/>
    <w:rsid w:val="72516841"/>
    <w:rsid w:val="72564FB8"/>
    <w:rsid w:val="7258372B"/>
    <w:rsid w:val="725A3947"/>
    <w:rsid w:val="72677E12"/>
    <w:rsid w:val="726A6D4B"/>
    <w:rsid w:val="726B6F53"/>
    <w:rsid w:val="726F6CC7"/>
    <w:rsid w:val="72783DCD"/>
    <w:rsid w:val="727A15DA"/>
    <w:rsid w:val="727D786C"/>
    <w:rsid w:val="72802C82"/>
    <w:rsid w:val="728269FA"/>
    <w:rsid w:val="72827C28"/>
    <w:rsid w:val="728722E5"/>
    <w:rsid w:val="728761FF"/>
    <w:rsid w:val="728953FE"/>
    <w:rsid w:val="728E2A0C"/>
    <w:rsid w:val="72953538"/>
    <w:rsid w:val="72966949"/>
    <w:rsid w:val="729D3834"/>
    <w:rsid w:val="729F66CC"/>
    <w:rsid w:val="72A5093A"/>
    <w:rsid w:val="72A746B3"/>
    <w:rsid w:val="72A9667D"/>
    <w:rsid w:val="72BF19FC"/>
    <w:rsid w:val="72C62E8F"/>
    <w:rsid w:val="72C708B1"/>
    <w:rsid w:val="72C87C57"/>
    <w:rsid w:val="72CB03A1"/>
    <w:rsid w:val="72CE60E3"/>
    <w:rsid w:val="72D40675"/>
    <w:rsid w:val="72D80D10"/>
    <w:rsid w:val="72E52D82"/>
    <w:rsid w:val="72E72F51"/>
    <w:rsid w:val="72ED47BB"/>
    <w:rsid w:val="72F242CD"/>
    <w:rsid w:val="72FE5336"/>
    <w:rsid w:val="73012015"/>
    <w:rsid w:val="73064D3D"/>
    <w:rsid w:val="731070EB"/>
    <w:rsid w:val="73132E9B"/>
    <w:rsid w:val="73214465"/>
    <w:rsid w:val="73263829"/>
    <w:rsid w:val="73267CCD"/>
    <w:rsid w:val="73281A91"/>
    <w:rsid w:val="733472B3"/>
    <w:rsid w:val="733817AF"/>
    <w:rsid w:val="733E0A28"/>
    <w:rsid w:val="733F48EB"/>
    <w:rsid w:val="73533E8E"/>
    <w:rsid w:val="73555EBD"/>
    <w:rsid w:val="73577E87"/>
    <w:rsid w:val="735A1725"/>
    <w:rsid w:val="735E1215"/>
    <w:rsid w:val="735F6D3B"/>
    <w:rsid w:val="73685BF0"/>
    <w:rsid w:val="736D76AA"/>
    <w:rsid w:val="73700F48"/>
    <w:rsid w:val="7370719A"/>
    <w:rsid w:val="73747C66"/>
    <w:rsid w:val="73774085"/>
    <w:rsid w:val="73777ED7"/>
    <w:rsid w:val="738D1AFA"/>
    <w:rsid w:val="73972979"/>
    <w:rsid w:val="73987BB2"/>
    <w:rsid w:val="739C7F8F"/>
    <w:rsid w:val="739F35DC"/>
    <w:rsid w:val="73A26F86"/>
    <w:rsid w:val="73AA445A"/>
    <w:rsid w:val="73B72B30"/>
    <w:rsid w:val="73B9644B"/>
    <w:rsid w:val="73BA5622"/>
    <w:rsid w:val="73BB0416"/>
    <w:rsid w:val="73C05A2C"/>
    <w:rsid w:val="73C13552"/>
    <w:rsid w:val="73C648DE"/>
    <w:rsid w:val="73CF139C"/>
    <w:rsid w:val="73CF5C6F"/>
    <w:rsid w:val="73D43285"/>
    <w:rsid w:val="73D6524F"/>
    <w:rsid w:val="73DB2866"/>
    <w:rsid w:val="73DC04CA"/>
    <w:rsid w:val="73E01C2A"/>
    <w:rsid w:val="73EF00BF"/>
    <w:rsid w:val="73EF1E6D"/>
    <w:rsid w:val="73F05BE5"/>
    <w:rsid w:val="73F25E01"/>
    <w:rsid w:val="73F7134B"/>
    <w:rsid w:val="73F76F74"/>
    <w:rsid w:val="73FD6130"/>
    <w:rsid w:val="740718AD"/>
    <w:rsid w:val="740D2C3B"/>
    <w:rsid w:val="740D5963"/>
    <w:rsid w:val="740F0761"/>
    <w:rsid w:val="74127055"/>
    <w:rsid w:val="74277859"/>
    <w:rsid w:val="742B6FB3"/>
    <w:rsid w:val="742E25B0"/>
    <w:rsid w:val="7431624A"/>
    <w:rsid w:val="74363F40"/>
    <w:rsid w:val="743B05C1"/>
    <w:rsid w:val="743E1047"/>
    <w:rsid w:val="7444547F"/>
    <w:rsid w:val="74492800"/>
    <w:rsid w:val="744964FD"/>
    <w:rsid w:val="744D4DE6"/>
    <w:rsid w:val="744F4FD5"/>
    <w:rsid w:val="745148D6"/>
    <w:rsid w:val="74584E88"/>
    <w:rsid w:val="7458686C"/>
    <w:rsid w:val="745C569E"/>
    <w:rsid w:val="74640AAD"/>
    <w:rsid w:val="746A3319"/>
    <w:rsid w:val="746E2FE9"/>
    <w:rsid w:val="74744A68"/>
    <w:rsid w:val="74785E04"/>
    <w:rsid w:val="747A3995"/>
    <w:rsid w:val="74841399"/>
    <w:rsid w:val="74850A24"/>
    <w:rsid w:val="748A4EA4"/>
    <w:rsid w:val="748A7DE8"/>
    <w:rsid w:val="748F3650"/>
    <w:rsid w:val="74936C9D"/>
    <w:rsid w:val="74943BA7"/>
    <w:rsid w:val="749E5641"/>
    <w:rsid w:val="74A44097"/>
    <w:rsid w:val="74B35591"/>
    <w:rsid w:val="74B70317"/>
    <w:rsid w:val="74B96196"/>
    <w:rsid w:val="74BB4393"/>
    <w:rsid w:val="74C24C4A"/>
    <w:rsid w:val="74C90910"/>
    <w:rsid w:val="74D15A17"/>
    <w:rsid w:val="74F1487F"/>
    <w:rsid w:val="74F33BDF"/>
    <w:rsid w:val="74F51705"/>
    <w:rsid w:val="74F82FA3"/>
    <w:rsid w:val="74FD0EB1"/>
    <w:rsid w:val="74FD4A5E"/>
    <w:rsid w:val="750162FC"/>
    <w:rsid w:val="75022074"/>
    <w:rsid w:val="750758DC"/>
    <w:rsid w:val="75121B9E"/>
    <w:rsid w:val="75124117"/>
    <w:rsid w:val="7513602F"/>
    <w:rsid w:val="75151DA7"/>
    <w:rsid w:val="7516167C"/>
    <w:rsid w:val="75181898"/>
    <w:rsid w:val="751A73BE"/>
    <w:rsid w:val="75200FC0"/>
    <w:rsid w:val="75261128"/>
    <w:rsid w:val="75263FB5"/>
    <w:rsid w:val="752726A4"/>
    <w:rsid w:val="7528245B"/>
    <w:rsid w:val="753366D1"/>
    <w:rsid w:val="75383CE8"/>
    <w:rsid w:val="754461E9"/>
    <w:rsid w:val="754E52B9"/>
    <w:rsid w:val="75502DDF"/>
    <w:rsid w:val="75552EF7"/>
    <w:rsid w:val="755C1339"/>
    <w:rsid w:val="755C31BB"/>
    <w:rsid w:val="755C3532"/>
    <w:rsid w:val="755F74C6"/>
    <w:rsid w:val="75616D9B"/>
    <w:rsid w:val="75657F46"/>
    <w:rsid w:val="7567254C"/>
    <w:rsid w:val="75686015"/>
    <w:rsid w:val="756878A0"/>
    <w:rsid w:val="75693D8F"/>
    <w:rsid w:val="756B19C7"/>
    <w:rsid w:val="756D4275"/>
    <w:rsid w:val="7572236F"/>
    <w:rsid w:val="757403BC"/>
    <w:rsid w:val="7577691F"/>
    <w:rsid w:val="757F5473"/>
    <w:rsid w:val="75882579"/>
    <w:rsid w:val="75897582"/>
    <w:rsid w:val="7592164A"/>
    <w:rsid w:val="759233F8"/>
    <w:rsid w:val="759A04FF"/>
    <w:rsid w:val="759E10C5"/>
    <w:rsid w:val="759E1D9D"/>
    <w:rsid w:val="75A06266"/>
    <w:rsid w:val="75A44ED9"/>
    <w:rsid w:val="75A91B22"/>
    <w:rsid w:val="75B710B1"/>
    <w:rsid w:val="75B82733"/>
    <w:rsid w:val="75BB0783"/>
    <w:rsid w:val="75BC2223"/>
    <w:rsid w:val="75C34BC5"/>
    <w:rsid w:val="75CA04F1"/>
    <w:rsid w:val="75D16838"/>
    <w:rsid w:val="75D21A46"/>
    <w:rsid w:val="75D41399"/>
    <w:rsid w:val="75D7355A"/>
    <w:rsid w:val="75DA5042"/>
    <w:rsid w:val="75E11C8A"/>
    <w:rsid w:val="75E7447F"/>
    <w:rsid w:val="75E74F8A"/>
    <w:rsid w:val="75F24E23"/>
    <w:rsid w:val="75F714AD"/>
    <w:rsid w:val="75F75C0E"/>
    <w:rsid w:val="75FB0F9D"/>
    <w:rsid w:val="75FC216D"/>
    <w:rsid w:val="75FF0362"/>
    <w:rsid w:val="760360A4"/>
    <w:rsid w:val="76191423"/>
    <w:rsid w:val="762027B2"/>
    <w:rsid w:val="762248D0"/>
    <w:rsid w:val="762F3B18"/>
    <w:rsid w:val="763E0E8A"/>
    <w:rsid w:val="76410F6A"/>
    <w:rsid w:val="76424E1E"/>
    <w:rsid w:val="764D5571"/>
    <w:rsid w:val="764E2B25"/>
    <w:rsid w:val="764F3097"/>
    <w:rsid w:val="76524935"/>
    <w:rsid w:val="765B1A3C"/>
    <w:rsid w:val="766052A4"/>
    <w:rsid w:val="7662101C"/>
    <w:rsid w:val="76623575"/>
    <w:rsid w:val="76642E13"/>
    <w:rsid w:val="76654669"/>
    <w:rsid w:val="766755D0"/>
    <w:rsid w:val="766E5F92"/>
    <w:rsid w:val="767103C8"/>
    <w:rsid w:val="76742AFE"/>
    <w:rsid w:val="76754361"/>
    <w:rsid w:val="768216BE"/>
    <w:rsid w:val="7683724D"/>
    <w:rsid w:val="769255CE"/>
    <w:rsid w:val="7693567A"/>
    <w:rsid w:val="76967C55"/>
    <w:rsid w:val="76970420"/>
    <w:rsid w:val="76992564"/>
    <w:rsid w:val="76A52BBD"/>
    <w:rsid w:val="76A74BBA"/>
    <w:rsid w:val="76AE24B4"/>
    <w:rsid w:val="76AE7A2F"/>
    <w:rsid w:val="76B24594"/>
    <w:rsid w:val="76BB279C"/>
    <w:rsid w:val="76C07AF1"/>
    <w:rsid w:val="76C408B4"/>
    <w:rsid w:val="76C43A85"/>
    <w:rsid w:val="76CB6DA4"/>
    <w:rsid w:val="76D41472"/>
    <w:rsid w:val="76D4359C"/>
    <w:rsid w:val="76D65566"/>
    <w:rsid w:val="76DC4B08"/>
    <w:rsid w:val="76DD06A3"/>
    <w:rsid w:val="76DF6B4E"/>
    <w:rsid w:val="76E46E0A"/>
    <w:rsid w:val="76E94996"/>
    <w:rsid w:val="76F138B2"/>
    <w:rsid w:val="76F679B7"/>
    <w:rsid w:val="76F8372F"/>
    <w:rsid w:val="77085369"/>
    <w:rsid w:val="77127CEF"/>
    <w:rsid w:val="771816DB"/>
    <w:rsid w:val="771C433D"/>
    <w:rsid w:val="771D3195"/>
    <w:rsid w:val="77204A34"/>
    <w:rsid w:val="772067E2"/>
    <w:rsid w:val="77255F2B"/>
    <w:rsid w:val="7734451E"/>
    <w:rsid w:val="77392429"/>
    <w:rsid w:val="773B361B"/>
    <w:rsid w:val="77585F7B"/>
    <w:rsid w:val="775A7F45"/>
    <w:rsid w:val="77613082"/>
    <w:rsid w:val="7763329E"/>
    <w:rsid w:val="776437A4"/>
    <w:rsid w:val="77682FA6"/>
    <w:rsid w:val="776F7873"/>
    <w:rsid w:val="777422CD"/>
    <w:rsid w:val="77767A95"/>
    <w:rsid w:val="777D52D5"/>
    <w:rsid w:val="777F291C"/>
    <w:rsid w:val="77822FF8"/>
    <w:rsid w:val="77844FC2"/>
    <w:rsid w:val="77894387"/>
    <w:rsid w:val="778B6351"/>
    <w:rsid w:val="778E5B87"/>
    <w:rsid w:val="7798281C"/>
    <w:rsid w:val="779C0D98"/>
    <w:rsid w:val="779F3BAA"/>
    <w:rsid w:val="77B21B30"/>
    <w:rsid w:val="77B42785"/>
    <w:rsid w:val="77B91110"/>
    <w:rsid w:val="77BB11A3"/>
    <w:rsid w:val="77BE2401"/>
    <w:rsid w:val="77C65B17"/>
    <w:rsid w:val="77DC4DFE"/>
    <w:rsid w:val="77DF044B"/>
    <w:rsid w:val="77E1610E"/>
    <w:rsid w:val="77F02658"/>
    <w:rsid w:val="77FC2DAB"/>
    <w:rsid w:val="77FE2FC7"/>
    <w:rsid w:val="77FF4937"/>
    <w:rsid w:val="780305DD"/>
    <w:rsid w:val="780813B3"/>
    <w:rsid w:val="7808174F"/>
    <w:rsid w:val="780F0D30"/>
    <w:rsid w:val="78174088"/>
    <w:rsid w:val="781F6C46"/>
    <w:rsid w:val="7820118F"/>
    <w:rsid w:val="78212811"/>
    <w:rsid w:val="782D565A"/>
    <w:rsid w:val="782F3180"/>
    <w:rsid w:val="783A7290"/>
    <w:rsid w:val="783F0EE9"/>
    <w:rsid w:val="78450BF6"/>
    <w:rsid w:val="784E53E2"/>
    <w:rsid w:val="78543787"/>
    <w:rsid w:val="78544995"/>
    <w:rsid w:val="78564A07"/>
    <w:rsid w:val="785969B5"/>
    <w:rsid w:val="785E5813"/>
    <w:rsid w:val="785E5986"/>
    <w:rsid w:val="786077DD"/>
    <w:rsid w:val="78681D5F"/>
    <w:rsid w:val="78707678"/>
    <w:rsid w:val="7874624B"/>
    <w:rsid w:val="787578A8"/>
    <w:rsid w:val="78760DAF"/>
    <w:rsid w:val="787D3A43"/>
    <w:rsid w:val="787E1A12"/>
    <w:rsid w:val="78804BB1"/>
    <w:rsid w:val="78827E4F"/>
    <w:rsid w:val="788A2AAC"/>
    <w:rsid w:val="78912E9A"/>
    <w:rsid w:val="78923839"/>
    <w:rsid w:val="78994A9D"/>
    <w:rsid w:val="789E20B4"/>
    <w:rsid w:val="78A045C6"/>
    <w:rsid w:val="78A23952"/>
    <w:rsid w:val="78A31478"/>
    <w:rsid w:val="78A67E00"/>
    <w:rsid w:val="78A760B7"/>
    <w:rsid w:val="78B014A0"/>
    <w:rsid w:val="78B31AEF"/>
    <w:rsid w:val="78BA77F5"/>
    <w:rsid w:val="78CE2508"/>
    <w:rsid w:val="78CF04BF"/>
    <w:rsid w:val="78D863D1"/>
    <w:rsid w:val="78E24696"/>
    <w:rsid w:val="78E84DF7"/>
    <w:rsid w:val="78EF47A9"/>
    <w:rsid w:val="78F16B46"/>
    <w:rsid w:val="78F341AE"/>
    <w:rsid w:val="78FF3C38"/>
    <w:rsid w:val="79084528"/>
    <w:rsid w:val="79091C23"/>
    <w:rsid w:val="790C78A0"/>
    <w:rsid w:val="79102FB2"/>
    <w:rsid w:val="79112886"/>
    <w:rsid w:val="791304A6"/>
    <w:rsid w:val="79167E9C"/>
    <w:rsid w:val="79222CE5"/>
    <w:rsid w:val="79254583"/>
    <w:rsid w:val="793547C6"/>
    <w:rsid w:val="7938529F"/>
    <w:rsid w:val="79394A97"/>
    <w:rsid w:val="793A002E"/>
    <w:rsid w:val="793A6280"/>
    <w:rsid w:val="793D18CD"/>
    <w:rsid w:val="79430114"/>
    <w:rsid w:val="79442C5B"/>
    <w:rsid w:val="79490272"/>
    <w:rsid w:val="795038ED"/>
    <w:rsid w:val="7955517B"/>
    <w:rsid w:val="79583F69"/>
    <w:rsid w:val="79586E78"/>
    <w:rsid w:val="795E20DD"/>
    <w:rsid w:val="796054FD"/>
    <w:rsid w:val="7963707B"/>
    <w:rsid w:val="796C21B2"/>
    <w:rsid w:val="796D5C89"/>
    <w:rsid w:val="79701CA2"/>
    <w:rsid w:val="79764DDF"/>
    <w:rsid w:val="797C0647"/>
    <w:rsid w:val="797D43BF"/>
    <w:rsid w:val="79863274"/>
    <w:rsid w:val="798C63B0"/>
    <w:rsid w:val="79915775"/>
    <w:rsid w:val="79921C19"/>
    <w:rsid w:val="799314ED"/>
    <w:rsid w:val="7993773F"/>
    <w:rsid w:val="79983E9C"/>
    <w:rsid w:val="79A61220"/>
    <w:rsid w:val="79A951B4"/>
    <w:rsid w:val="79B02B8C"/>
    <w:rsid w:val="79B3393D"/>
    <w:rsid w:val="79BF6786"/>
    <w:rsid w:val="79C91054"/>
    <w:rsid w:val="79D12015"/>
    <w:rsid w:val="79D7762B"/>
    <w:rsid w:val="79D815F5"/>
    <w:rsid w:val="79DC721E"/>
    <w:rsid w:val="79E033A0"/>
    <w:rsid w:val="79E04296"/>
    <w:rsid w:val="79E13F3E"/>
    <w:rsid w:val="79E24222"/>
    <w:rsid w:val="79E65AC0"/>
    <w:rsid w:val="79F36270"/>
    <w:rsid w:val="79FB0A5C"/>
    <w:rsid w:val="79FB72EC"/>
    <w:rsid w:val="79FD7400"/>
    <w:rsid w:val="79FE72AE"/>
    <w:rsid w:val="7A004027"/>
    <w:rsid w:val="7A036751"/>
    <w:rsid w:val="7A092C03"/>
    <w:rsid w:val="7A100D8F"/>
    <w:rsid w:val="7A1C1107"/>
    <w:rsid w:val="7A2250EE"/>
    <w:rsid w:val="7A29110F"/>
    <w:rsid w:val="7A2B18F4"/>
    <w:rsid w:val="7A2D1941"/>
    <w:rsid w:val="7A3031E0"/>
    <w:rsid w:val="7A325833"/>
    <w:rsid w:val="7A37371F"/>
    <w:rsid w:val="7A423D9D"/>
    <w:rsid w:val="7A443CA9"/>
    <w:rsid w:val="7A4C0DC6"/>
    <w:rsid w:val="7A537945"/>
    <w:rsid w:val="7A541141"/>
    <w:rsid w:val="7A55010F"/>
    <w:rsid w:val="7A5769BE"/>
    <w:rsid w:val="7A5A6CFF"/>
    <w:rsid w:val="7A5F030A"/>
    <w:rsid w:val="7A6652E1"/>
    <w:rsid w:val="7A6D2D01"/>
    <w:rsid w:val="7A794B87"/>
    <w:rsid w:val="7A7C01D3"/>
    <w:rsid w:val="7A7F70CA"/>
    <w:rsid w:val="7A805F15"/>
    <w:rsid w:val="7A8157E9"/>
    <w:rsid w:val="7A831561"/>
    <w:rsid w:val="7A8871E0"/>
    <w:rsid w:val="7A9153FC"/>
    <w:rsid w:val="7A971E74"/>
    <w:rsid w:val="7A9B506A"/>
    <w:rsid w:val="7AA1145D"/>
    <w:rsid w:val="7AA57C46"/>
    <w:rsid w:val="7AA66392"/>
    <w:rsid w:val="7AA733BB"/>
    <w:rsid w:val="7AAB101F"/>
    <w:rsid w:val="7AAB2866"/>
    <w:rsid w:val="7AAD6FA5"/>
    <w:rsid w:val="7AB83901"/>
    <w:rsid w:val="7AB91427"/>
    <w:rsid w:val="7ABB200E"/>
    <w:rsid w:val="7ABFF75C"/>
    <w:rsid w:val="7AC83418"/>
    <w:rsid w:val="7ACA53E2"/>
    <w:rsid w:val="7ACA7190"/>
    <w:rsid w:val="7ACB0136"/>
    <w:rsid w:val="7ACE4ED2"/>
    <w:rsid w:val="7AD6665F"/>
    <w:rsid w:val="7ADD3367"/>
    <w:rsid w:val="7AE14018"/>
    <w:rsid w:val="7AE30252"/>
    <w:rsid w:val="7AE364A4"/>
    <w:rsid w:val="7AE5221C"/>
    <w:rsid w:val="7AE55D78"/>
    <w:rsid w:val="7AE85868"/>
    <w:rsid w:val="7AF366E7"/>
    <w:rsid w:val="7AF406B1"/>
    <w:rsid w:val="7AF42393"/>
    <w:rsid w:val="7AF64429"/>
    <w:rsid w:val="7AF83E4D"/>
    <w:rsid w:val="7AFE508C"/>
    <w:rsid w:val="7B007431"/>
    <w:rsid w:val="7B083DED"/>
    <w:rsid w:val="7B087CB8"/>
    <w:rsid w:val="7B0C1557"/>
    <w:rsid w:val="7B0F1047"/>
    <w:rsid w:val="7B1903A3"/>
    <w:rsid w:val="7B2B25BE"/>
    <w:rsid w:val="7B391059"/>
    <w:rsid w:val="7B3960C4"/>
    <w:rsid w:val="7B452A8D"/>
    <w:rsid w:val="7B454A69"/>
    <w:rsid w:val="7B476A33"/>
    <w:rsid w:val="7B482A6B"/>
    <w:rsid w:val="7B494559"/>
    <w:rsid w:val="7B511AC2"/>
    <w:rsid w:val="7B537186"/>
    <w:rsid w:val="7B5B428C"/>
    <w:rsid w:val="7B6475E5"/>
    <w:rsid w:val="7B6C0247"/>
    <w:rsid w:val="7B735A7A"/>
    <w:rsid w:val="7B7470FC"/>
    <w:rsid w:val="7B7E3E42"/>
    <w:rsid w:val="7B827A6B"/>
    <w:rsid w:val="7B892BA7"/>
    <w:rsid w:val="7B971768"/>
    <w:rsid w:val="7B9A4DB4"/>
    <w:rsid w:val="7B9D48A5"/>
    <w:rsid w:val="7BAA4093"/>
    <w:rsid w:val="7BAB6FC2"/>
    <w:rsid w:val="7BAC4AE8"/>
    <w:rsid w:val="7BAE2AFA"/>
    <w:rsid w:val="7BAE6AB2"/>
    <w:rsid w:val="7BB01A69"/>
    <w:rsid w:val="7BB34580"/>
    <w:rsid w:val="7BB34F44"/>
    <w:rsid w:val="7BB57E40"/>
    <w:rsid w:val="7BBD4F47"/>
    <w:rsid w:val="7BC167E5"/>
    <w:rsid w:val="7BCB17DA"/>
    <w:rsid w:val="7BCC6F38"/>
    <w:rsid w:val="7BCD52F3"/>
    <w:rsid w:val="7BD007D6"/>
    <w:rsid w:val="7BD37F49"/>
    <w:rsid w:val="7BDC6642"/>
    <w:rsid w:val="7BE86FD9"/>
    <w:rsid w:val="7BE97AEA"/>
    <w:rsid w:val="7BEE6EAE"/>
    <w:rsid w:val="7BF22E42"/>
    <w:rsid w:val="7BF32717"/>
    <w:rsid w:val="7BF81ADB"/>
    <w:rsid w:val="7BF87D2D"/>
    <w:rsid w:val="7C0469D6"/>
    <w:rsid w:val="7C0A3132"/>
    <w:rsid w:val="7C0D4D78"/>
    <w:rsid w:val="7C10151B"/>
    <w:rsid w:val="7C120DEF"/>
    <w:rsid w:val="7C15268D"/>
    <w:rsid w:val="7C1619BF"/>
    <w:rsid w:val="7C1C7EBF"/>
    <w:rsid w:val="7C287DC2"/>
    <w:rsid w:val="7C2E45E0"/>
    <w:rsid w:val="7C3A20F4"/>
    <w:rsid w:val="7C3B67A3"/>
    <w:rsid w:val="7C3F1D3C"/>
    <w:rsid w:val="7C436C51"/>
    <w:rsid w:val="7C4411C4"/>
    <w:rsid w:val="7C4453CC"/>
    <w:rsid w:val="7C4A67DB"/>
    <w:rsid w:val="7C507B69"/>
    <w:rsid w:val="7C514439"/>
    <w:rsid w:val="7C52031C"/>
    <w:rsid w:val="7C5C4760"/>
    <w:rsid w:val="7C600C5C"/>
    <w:rsid w:val="7C653096"/>
    <w:rsid w:val="7C6D071B"/>
    <w:rsid w:val="7C7074C9"/>
    <w:rsid w:val="7C715DD6"/>
    <w:rsid w:val="7C7A1B53"/>
    <w:rsid w:val="7C7B0FDD"/>
    <w:rsid w:val="7C8021FC"/>
    <w:rsid w:val="7C815F74"/>
    <w:rsid w:val="7C8617DD"/>
    <w:rsid w:val="7C887303"/>
    <w:rsid w:val="7C8B294F"/>
    <w:rsid w:val="7C8D4919"/>
    <w:rsid w:val="7C92535B"/>
    <w:rsid w:val="7C926ED7"/>
    <w:rsid w:val="7C964821"/>
    <w:rsid w:val="7C981F07"/>
    <w:rsid w:val="7C99506C"/>
    <w:rsid w:val="7CAA5E7A"/>
    <w:rsid w:val="7CB0319E"/>
    <w:rsid w:val="7CBB1363"/>
    <w:rsid w:val="7CBE4AD3"/>
    <w:rsid w:val="7CC55E61"/>
    <w:rsid w:val="7CCA791B"/>
    <w:rsid w:val="7CCF6CE0"/>
    <w:rsid w:val="7CD46C06"/>
    <w:rsid w:val="7CD552C0"/>
    <w:rsid w:val="7CD75B94"/>
    <w:rsid w:val="7CD75D15"/>
    <w:rsid w:val="7CD82038"/>
    <w:rsid w:val="7CE00EED"/>
    <w:rsid w:val="7CE043F9"/>
    <w:rsid w:val="7CED53B8"/>
    <w:rsid w:val="7CEF1130"/>
    <w:rsid w:val="7CF14EA8"/>
    <w:rsid w:val="7CF3470C"/>
    <w:rsid w:val="7CF36337"/>
    <w:rsid w:val="7CF404F4"/>
    <w:rsid w:val="7CFB5525"/>
    <w:rsid w:val="7D006117"/>
    <w:rsid w:val="7D014DE3"/>
    <w:rsid w:val="7D034BDB"/>
    <w:rsid w:val="7D04762F"/>
    <w:rsid w:val="7D066E8C"/>
    <w:rsid w:val="7D07647A"/>
    <w:rsid w:val="7D0A41BC"/>
    <w:rsid w:val="7D0D15B6"/>
    <w:rsid w:val="7D0D7808"/>
    <w:rsid w:val="7D0F63A0"/>
    <w:rsid w:val="7D1312C2"/>
    <w:rsid w:val="7D20753B"/>
    <w:rsid w:val="7D23702C"/>
    <w:rsid w:val="7D2E1973"/>
    <w:rsid w:val="7D2E1974"/>
    <w:rsid w:val="7D3354C1"/>
    <w:rsid w:val="7D3905FD"/>
    <w:rsid w:val="7D3E79C1"/>
    <w:rsid w:val="7D4274B2"/>
    <w:rsid w:val="7D4551D9"/>
    <w:rsid w:val="7D496A92"/>
    <w:rsid w:val="7D4A267A"/>
    <w:rsid w:val="7D52346D"/>
    <w:rsid w:val="7D61447C"/>
    <w:rsid w:val="7D6513F2"/>
    <w:rsid w:val="7D657644"/>
    <w:rsid w:val="7D66685D"/>
    <w:rsid w:val="7D6C2781"/>
    <w:rsid w:val="7D747887"/>
    <w:rsid w:val="7D772F67"/>
    <w:rsid w:val="7D79E84A"/>
    <w:rsid w:val="7D7D673C"/>
    <w:rsid w:val="7D800764"/>
    <w:rsid w:val="7D830876"/>
    <w:rsid w:val="7D902913"/>
    <w:rsid w:val="7D9505DD"/>
    <w:rsid w:val="7D9A533C"/>
    <w:rsid w:val="7DA02AA7"/>
    <w:rsid w:val="7DA261A2"/>
    <w:rsid w:val="7DA64ED7"/>
    <w:rsid w:val="7DAF266D"/>
    <w:rsid w:val="7DB12040"/>
    <w:rsid w:val="7DB44158"/>
    <w:rsid w:val="7DB859C6"/>
    <w:rsid w:val="7DBB7264"/>
    <w:rsid w:val="7DDD290B"/>
    <w:rsid w:val="7DE40569"/>
    <w:rsid w:val="7DE95B7F"/>
    <w:rsid w:val="7DEA0F6E"/>
    <w:rsid w:val="7DEE3196"/>
    <w:rsid w:val="7DF77AF3"/>
    <w:rsid w:val="7DF804B8"/>
    <w:rsid w:val="7DFD37EB"/>
    <w:rsid w:val="7E03113A"/>
    <w:rsid w:val="7E0D3F64"/>
    <w:rsid w:val="7E0E1A8A"/>
    <w:rsid w:val="7E1352F2"/>
    <w:rsid w:val="7E196074"/>
    <w:rsid w:val="7E1A2F82"/>
    <w:rsid w:val="7E1D5039"/>
    <w:rsid w:val="7E202141"/>
    <w:rsid w:val="7E2117BD"/>
    <w:rsid w:val="7E235E07"/>
    <w:rsid w:val="7E266DD3"/>
    <w:rsid w:val="7E280DDE"/>
    <w:rsid w:val="7E2D7EC0"/>
    <w:rsid w:val="7E317FCB"/>
    <w:rsid w:val="7E34149E"/>
    <w:rsid w:val="7E3F3321"/>
    <w:rsid w:val="7E4251F7"/>
    <w:rsid w:val="7E49211A"/>
    <w:rsid w:val="7E4B05E8"/>
    <w:rsid w:val="7E5576B9"/>
    <w:rsid w:val="7E5E656D"/>
    <w:rsid w:val="7E6478FC"/>
    <w:rsid w:val="7E66526B"/>
    <w:rsid w:val="7E6B47E6"/>
    <w:rsid w:val="7E70223E"/>
    <w:rsid w:val="7E78058B"/>
    <w:rsid w:val="7E7C2E97"/>
    <w:rsid w:val="7E92027A"/>
    <w:rsid w:val="7E97382D"/>
    <w:rsid w:val="7E977CD1"/>
    <w:rsid w:val="7E9A331D"/>
    <w:rsid w:val="7E9A50CB"/>
    <w:rsid w:val="7E9C28CC"/>
    <w:rsid w:val="7E9C7095"/>
    <w:rsid w:val="7E9D3FBA"/>
    <w:rsid w:val="7EA01A8C"/>
    <w:rsid w:val="7EA13CB9"/>
    <w:rsid w:val="7EA67F14"/>
    <w:rsid w:val="7EA80822"/>
    <w:rsid w:val="7EAF0B77"/>
    <w:rsid w:val="7EBB576E"/>
    <w:rsid w:val="7EBE5059"/>
    <w:rsid w:val="7EC04EBF"/>
    <w:rsid w:val="7EC125E3"/>
    <w:rsid w:val="7EC81C39"/>
    <w:rsid w:val="7ECA3C03"/>
    <w:rsid w:val="7ECB1729"/>
    <w:rsid w:val="7ECD54A1"/>
    <w:rsid w:val="7ED14AF9"/>
    <w:rsid w:val="7EE3256C"/>
    <w:rsid w:val="7EE822DB"/>
    <w:rsid w:val="7EE9311A"/>
    <w:rsid w:val="7EEB5927"/>
    <w:rsid w:val="7EED7801"/>
    <w:rsid w:val="7EEF0839"/>
    <w:rsid w:val="7EEF6BA4"/>
    <w:rsid w:val="7EF24F07"/>
    <w:rsid w:val="7EF46ED2"/>
    <w:rsid w:val="7EF50D7A"/>
    <w:rsid w:val="7EF667A6"/>
    <w:rsid w:val="7EF925C3"/>
    <w:rsid w:val="7EFE565A"/>
    <w:rsid w:val="7F00119D"/>
    <w:rsid w:val="7F04697D"/>
    <w:rsid w:val="7F1827C6"/>
    <w:rsid w:val="7F250E39"/>
    <w:rsid w:val="7F280929"/>
    <w:rsid w:val="7F2A46A1"/>
    <w:rsid w:val="7F2B282B"/>
    <w:rsid w:val="7F2C21C7"/>
    <w:rsid w:val="7F322B55"/>
    <w:rsid w:val="7F3273AE"/>
    <w:rsid w:val="7F3752F9"/>
    <w:rsid w:val="7F392B36"/>
    <w:rsid w:val="7F427796"/>
    <w:rsid w:val="7F435763"/>
    <w:rsid w:val="7F4461C4"/>
    <w:rsid w:val="7F455939"/>
    <w:rsid w:val="7F4649BB"/>
    <w:rsid w:val="7F4E65E2"/>
    <w:rsid w:val="7F5434CC"/>
    <w:rsid w:val="7F556E2D"/>
    <w:rsid w:val="7F5B0CFF"/>
    <w:rsid w:val="7F6B5DBA"/>
    <w:rsid w:val="7F7327AE"/>
    <w:rsid w:val="7F744857"/>
    <w:rsid w:val="7F791185"/>
    <w:rsid w:val="7F7D6EC7"/>
    <w:rsid w:val="7F875650"/>
    <w:rsid w:val="7F9E0AE4"/>
    <w:rsid w:val="7F9F6E3D"/>
    <w:rsid w:val="7FA2248A"/>
    <w:rsid w:val="7FA272D5"/>
    <w:rsid w:val="7FA501CC"/>
    <w:rsid w:val="7FA60AE3"/>
    <w:rsid w:val="7FA73CE8"/>
    <w:rsid w:val="7FA75CF2"/>
    <w:rsid w:val="7FB448BB"/>
    <w:rsid w:val="7FB56661"/>
    <w:rsid w:val="7FB843A8"/>
    <w:rsid w:val="7FBF128D"/>
    <w:rsid w:val="7FBF44D0"/>
    <w:rsid w:val="7FC308B3"/>
    <w:rsid w:val="7FCE7723"/>
    <w:rsid w:val="7FD32DC6"/>
    <w:rsid w:val="7FDD34C2"/>
    <w:rsid w:val="7FE13AD2"/>
    <w:rsid w:val="7FE74340"/>
    <w:rsid w:val="7FE9630A"/>
    <w:rsid w:val="7FEE1B73"/>
    <w:rsid w:val="7FF32CE5"/>
    <w:rsid w:val="7FF37189"/>
    <w:rsid w:val="7FF467D9"/>
    <w:rsid w:val="7FF74606"/>
    <w:rsid w:val="7FFA2769"/>
    <w:rsid w:val="7FFD5912"/>
    <w:rsid w:val="AEAF437E"/>
    <w:rsid w:val="F1EC398A"/>
    <w:rsid w:val="F6FEE39A"/>
    <w:rsid w:val="F77F87C4"/>
    <w:rsid w:val="FFFDB5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iPriority="99" w:semiHidden="0" w:name="endnote text"/>
    <w:lsdException w:unhideWhenUsed="0" w:uiPriority="0" w:semiHidden="0" w:name="table of authorities"/>
    <w:lsdException w:qFormat="1" w:uiPriority="99"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96" w:lineRule="exact"/>
      <w:ind w:firstLine="643" w:firstLineChars="200"/>
      <w:jc w:val="both"/>
    </w:pPr>
    <w:rPr>
      <w:rFonts w:eastAsia="仿宋_GB2312" w:asciiTheme="minorHAnsi" w:hAnsiTheme="minorHAnsi" w:cstheme="minorBidi"/>
      <w:kern w:val="2"/>
      <w:sz w:val="32"/>
      <w:szCs w:val="24"/>
      <w:lang w:val="en-US" w:eastAsia="zh-CN" w:bidi="ar-SA"/>
    </w:rPr>
  </w:style>
  <w:style w:type="paragraph" w:styleId="3">
    <w:name w:val="heading 1"/>
    <w:basedOn w:val="1"/>
    <w:next w:val="1"/>
    <w:link w:val="38"/>
    <w:qFormat/>
    <w:uiPriority w:val="0"/>
    <w:pPr>
      <w:keepNext/>
      <w:keepLines/>
      <w:outlineLvl w:val="0"/>
    </w:pPr>
    <w:rPr>
      <w:rFonts w:eastAsia="FZXiaoBiaoSong-B05S"/>
      <w:kern w:val="44"/>
      <w:sz w:val="42"/>
    </w:rPr>
  </w:style>
  <w:style w:type="paragraph" w:styleId="4">
    <w:name w:val="heading 2"/>
    <w:basedOn w:val="1"/>
    <w:next w:val="1"/>
    <w:link w:val="73"/>
    <w:unhideWhenUsed/>
    <w:qFormat/>
    <w:uiPriority w:val="0"/>
    <w:pPr>
      <w:keepNext/>
      <w:keepLines/>
      <w:outlineLvl w:val="1"/>
    </w:pPr>
    <w:rPr>
      <w:rFonts w:ascii="Arial" w:hAnsi="Arial" w:eastAsia="SimHei"/>
    </w:rPr>
  </w:style>
  <w:style w:type="paragraph" w:styleId="5">
    <w:name w:val="heading 3"/>
    <w:basedOn w:val="1"/>
    <w:next w:val="1"/>
    <w:unhideWhenUsed/>
    <w:qFormat/>
    <w:uiPriority w:val="0"/>
    <w:pPr>
      <w:keepNext/>
      <w:keepLines/>
      <w:outlineLvl w:val="2"/>
    </w:pPr>
    <w:rPr>
      <w:rFonts w:eastAsia="楷体_GB2312"/>
      <w:b/>
    </w:rPr>
  </w:style>
  <w:style w:type="paragraph" w:styleId="6">
    <w:name w:val="heading 4"/>
    <w:basedOn w:val="1"/>
    <w:next w:val="1"/>
    <w:semiHidden/>
    <w:unhideWhenUsed/>
    <w:qFormat/>
    <w:uiPriority w:val="0"/>
    <w:pPr>
      <w:keepNext/>
      <w:keepLines/>
      <w:outlineLvl w:val="3"/>
    </w:pPr>
    <w:rPr>
      <w:rFonts w:ascii="Arial" w:hAnsi="Arial"/>
      <w:b/>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macro"/>
    <w:semiHidden/>
    <w:unhideWhenUsed/>
    <w:qFormat/>
    <w:uiPriority w:val="99"/>
    <w:pPr>
      <w:widowControl w:val="0"/>
      <w:kinsoku w:val="0"/>
      <w:overflowPunct w:val="0"/>
      <w:autoSpaceDE w:val="0"/>
      <w:autoSpaceDN w:val="0"/>
      <w:snapToGrid w:val="0"/>
    </w:pPr>
    <w:rPr>
      <w:rFonts w:ascii="Courier New" w:hAnsi="Courier New" w:eastAsiaTheme="minorEastAsia" w:cstheme="minorBidi"/>
      <w:kern w:val="2"/>
      <w:sz w:val="24"/>
      <w:lang w:val="en-US" w:eastAsia="zh-CN" w:bidi="ar-SA"/>
    </w:rPr>
  </w:style>
  <w:style w:type="paragraph" w:styleId="7">
    <w:name w:val="Normal Indent"/>
    <w:basedOn w:val="1"/>
    <w:qFormat/>
    <w:uiPriority w:val="0"/>
    <w:pPr>
      <w:ind w:firstLine="420"/>
    </w:pPr>
  </w:style>
  <w:style w:type="paragraph" w:styleId="8">
    <w:name w:val="caption"/>
    <w:basedOn w:val="1"/>
    <w:next w:val="1"/>
    <w:qFormat/>
    <w:uiPriority w:val="35"/>
    <w:pPr>
      <w:autoSpaceDE w:val="0"/>
      <w:autoSpaceDN w:val="0"/>
      <w:adjustRightInd w:val="0"/>
      <w:snapToGrid w:val="0"/>
      <w:spacing w:line="408" w:lineRule="auto"/>
    </w:pPr>
    <w:rPr>
      <w:rFonts w:ascii="Calibri Light" w:hAnsi="Calibri Light" w:eastAsia="SimHei"/>
      <w:color w:val="000000"/>
      <w:sz w:val="20"/>
      <w:szCs w:val="20"/>
    </w:rPr>
  </w:style>
  <w:style w:type="paragraph" w:styleId="9">
    <w:name w:val="index 5"/>
    <w:basedOn w:val="1"/>
    <w:next w:val="1"/>
    <w:qFormat/>
    <w:uiPriority w:val="0"/>
    <w:pPr>
      <w:ind w:left="1680"/>
    </w:pPr>
  </w:style>
  <w:style w:type="paragraph" w:styleId="10">
    <w:name w:val="annotation text"/>
    <w:basedOn w:val="1"/>
    <w:link w:val="77"/>
    <w:unhideWhenUsed/>
    <w:qFormat/>
    <w:uiPriority w:val="99"/>
    <w:pPr>
      <w:jc w:val="left"/>
    </w:pPr>
  </w:style>
  <w:style w:type="paragraph" w:styleId="11">
    <w:name w:val="Body Text"/>
    <w:basedOn w:val="1"/>
    <w:next w:val="1"/>
    <w:link w:val="72"/>
    <w:qFormat/>
    <w:uiPriority w:val="99"/>
    <w:pPr>
      <w:spacing w:after="120"/>
    </w:pPr>
  </w:style>
  <w:style w:type="paragraph" w:styleId="12">
    <w:name w:val="Body Text Indent"/>
    <w:basedOn w:val="1"/>
    <w:next w:val="13"/>
    <w:qFormat/>
    <w:uiPriority w:val="99"/>
    <w:pPr>
      <w:spacing w:after="120"/>
      <w:ind w:left="420" w:leftChars="200"/>
    </w:pPr>
  </w:style>
  <w:style w:type="paragraph" w:styleId="13">
    <w:name w:val="footer"/>
    <w:basedOn w:val="1"/>
    <w:next w:val="9"/>
    <w:qFormat/>
    <w:uiPriority w:val="99"/>
    <w:pPr>
      <w:tabs>
        <w:tab w:val="center" w:pos="4153"/>
        <w:tab w:val="right" w:pos="8306"/>
      </w:tabs>
      <w:snapToGrid w:val="0"/>
      <w:jc w:val="left"/>
    </w:pPr>
    <w:rPr>
      <w:sz w:val="18"/>
    </w:rPr>
  </w:style>
  <w:style w:type="paragraph" w:styleId="14">
    <w:name w:val="toc 3"/>
    <w:basedOn w:val="1"/>
    <w:next w:val="1"/>
    <w:qFormat/>
    <w:uiPriority w:val="39"/>
    <w:pPr>
      <w:ind w:left="840" w:leftChars="400"/>
    </w:pPr>
  </w:style>
  <w:style w:type="paragraph" w:styleId="15">
    <w:name w:val="endnote text"/>
    <w:basedOn w:val="1"/>
    <w:unhideWhenUsed/>
    <w:qFormat/>
    <w:uiPriority w:val="99"/>
    <w:pPr>
      <w:snapToGrid w:val="0"/>
      <w:jc w:val="left"/>
    </w:pPr>
  </w:style>
  <w:style w:type="paragraph" w:styleId="16">
    <w:name w:val="Balloon Text"/>
    <w:basedOn w:val="1"/>
    <w:link w:val="41"/>
    <w:qFormat/>
    <w:uiPriority w:val="0"/>
    <w:pPr>
      <w:spacing w:line="240" w:lineRule="auto"/>
      <w:ind w:firstLine="0" w:firstLineChars="0"/>
    </w:pPr>
    <w:rPr>
      <w:rFonts w:ascii="Calibri" w:hAnsi="Calibri" w:eastAsia="宋体" w:cs="Times New Roman"/>
      <w:sz w:val="18"/>
      <w:szCs w:val="18"/>
    </w:rPr>
  </w:style>
  <w:style w:type="paragraph" w:styleId="17">
    <w:name w:val="header"/>
    <w:basedOn w:val="1"/>
    <w:link w:val="42"/>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8">
    <w:name w:val="toc 1"/>
    <w:basedOn w:val="1"/>
    <w:next w:val="1"/>
    <w:unhideWhenUsed/>
    <w:qFormat/>
    <w:uiPriority w:val="39"/>
    <w:pPr>
      <w:widowControl/>
      <w:tabs>
        <w:tab w:val="right" w:leader="dot" w:pos="8777"/>
      </w:tabs>
      <w:spacing w:line="460" w:lineRule="exact"/>
      <w:ind w:firstLine="0" w:firstLineChars="0"/>
      <w:textAlignment w:val="baseline"/>
    </w:pPr>
    <w:rPr>
      <w:rFonts w:ascii="SimHei" w:hAnsi="SimHei" w:eastAsia="SimHei" w:cs="Times New Roman"/>
      <w:szCs w:val="32"/>
    </w:rPr>
  </w:style>
  <w:style w:type="paragraph" w:styleId="19">
    <w:name w:val="toc 2"/>
    <w:basedOn w:val="1"/>
    <w:next w:val="1"/>
    <w:unhideWhenUsed/>
    <w:qFormat/>
    <w:uiPriority w:val="39"/>
    <w:pPr>
      <w:widowControl/>
      <w:spacing w:line="240" w:lineRule="auto"/>
      <w:ind w:left="420" w:leftChars="200" w:firstLine="0" w:firstLineChars="0"/>
      <w:textAlignment w:val="baseline"/>
    </w:pPr>
    <w:rPr>
      <w:rFonts w:ascii="Calibri" w:hAnsi="Calibri" w:eastAsia="宋体" w:cs="Times New Roman"/>
      <w:sz w:val="21"/>
    </w:rPr>
  </w:style>
  <w:style w:type="paragraph" w:styleId="20">
    <w:name w:val="Normal (Web)"/>
    <w:basedOn w:val="1"/>
    <w:qFormat/>
    <w:uiPriority w:val="0"/>
    <w:pPr>
      <w:spacing w:beforeAutospacing="1" w:afterAutospacing="1"/>
      <w:jc w:val="left"/>
    </w:pPr>
    <w:rPr>
      <w:rFonts w:cs="Times New Roman"/>
      <w:kern w:val="0"/>
      <w:sz w:val="24"/>
    </w:rPr>
  </w:style>
  <w:style w:type="paragraph" w:styleId="21">
    <w:name w:val="Title"/>
    <w:basedOn w:val="1"/>
    <w:next w:val="1"/>
    <w:qFormat/>
    <w:uiPriority w:val="10"/>
    <w:pPr>
      <w:jc w:val="center"/>
      <w:outlineLvl w:val="0"/>
    </w:pPr>
    <w:rPr>
      <w:rFonts w:eastAsia="FZXiaoBiaoSong-B05S" w:cs="Times New Roman"/>
      <w:bCs/>
      <w:sz w:val="44"/>
      <w:szCs w:val="32"/>
    </w:rPr>
  </w:style>
  <w:style w:type="paragraph" w:styleId="22">
    <w:name w:val="annotation subject"/>
    <w:basedOn w:val="10"/>
    <w:next w:val="10"/>
    <w:link w:val="78"/>
    <w:qFormat/>
    <w:uiPriority w:val="0"/>
    <w:rPr>
      <w:b/>
      <w:bCs/>
    </w:rPr>
  </w:style>
  <w:style w:type="paragraph" w:styleId="23">
    <w:name w:val="Body Text First Indent"/>
    <w:basedOn w:val="11"/>
    <w:qFormat/>
    <w:uiPriority w:val="0"/>
    <w:pPr>
      <w:ind w:firstLine="100" w:firstLineChars="100"/>
    </w:pPr>
  </w:style>
  <w:style w:type="paragraph" w:styleId="24">
    <w:name w:val="Body Text First Indent 2"/>
    <w:basedOn w:val="12"/>
    <w:next w:val="1"/>
    <w:qFormat/>
    <w:uiPriority w:val="99"/>
    <w:pPr>
      <w:ind w:firstLine="420"/>
    </w:p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0"/>
    <w:rPr>
      <w:b/>
    </w:rPr>
  </w:style>
  <w:style w:type="character" w:styleId="29">
    <w:name w:val="Emphasis"/>
    <w:basedOn w:val="27"/>
    <w:qFormat/>
    <w:uiPriority w:val="0"/>
    <w:rPr>
      <w:i/>
    </w:rPr>
  </w:style>
  <w:style w:type="character" w:styleId="30">
    <w:name w:val="Hyperlink"/>
    <w:qFormat/>
    <w:uiPriority w:val="99"/>
    <w:rPr>
      <w:color w:val="0563C1"/>
      <w:u w:val="single"/>
    </w:rPr>
  </w:style>
  <w:style w:type="character" w:styleId="31">
    <w:name w:val="annotation reference"/>
    <w:basedOn w:val="27"/>
    <w:qFormat/>
    <w:uiPriority w:val="0"/>
    <w:rPr>
      <w:sz w:val="21"/>
      <w:szCs w:val="21"/>
    </w:rPr>
  </w:style>
  <w:style w:type="paragraph" w:customStyle="1" w:styleId="32">
    <w:name w:val="Body Text Indent 21"/>
    <w:basedOn w:val="33"/>
    <w:next w:val="17"/>
    <w:qFormat/>
    <w:uiPriority w:val="0"/>
    <w:pPr>
      <w:widowControl/>
      <w:overflowPunct w:val="0"/>
      <w:spacing w:line="360" w:lineRule="auto"/>
      <w:ind w:firstLine="555"/>
      <w:textAlignment w:val="baseline"/>
    </w:pPr>
    <w:rPr>
      <w:rFonts w:ascii="宋体" w:hAnsi="宋体"/>
      <w:spacing w:val="12"/>
      <w:kern w:val="0"/>
      <w:sz w:val="24"/>
    </w:rPr>
  </w:style>
  <w:style w:type="paragraph" w:customStyle="1" w:styleId="33">
    <w:name w:val="正文1"/>
    <w:next w:val="34"/>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customStyle="1" w:styleId="34">
    <w:name w:val="正文文本1"/>
    <w:basedOn w:val="33"/>
    <w:next w:val="32"/>
    <w:qFormat/>
    <w:uiPriority w:val="0"/>
    <w:pPr>
      <w:spacing w:line="240" w:lineRule="atLeast"/>
    </w:pPr>
    <w:rPr>
      <w:sz w:val="24"/>
    </w:rPr>
  </w:style>
  <w:style w:type="paragraph" w:customStyle="1" w:styleId="35">
    <w:name w:val="BodyText"/>
    <w:basedOn w:val="1"/>
    <w:next w:val="36"/>
    <w:qFormat/>
    <w:uiPriority w:val="0"/>
    <w:pPr>
      <w:widowControl/>
      <w:spacing w:after="120" w:line="240" w:lineRule="auto"/>
      <w:ind w:firstLine="0" w:firstLineChars="0"/>
      <w:textAlignment w:val="baseline"/>
    </w:pPr>
    <w:rPr>
      <w:rFonts w:ascii="Calibri" w:hAnsi="Calibri" w:eastAsia="宋体" w:cs="Times New Roman"/>
      <w:sz w:val="21"/>
      <w:szCs w:val="20"/>
    </w:rPr>
  </w:style>
  <w:style w:type="paragraph" w:customStyle="1" w:styleId="36">
    <w:name w:val="BodyText1I"/>
    <w:basedOn w:val="35"/>
    <w:qFormat/>
    <w:uiPriority w:val="0"/>
    <w:pPr>
      <w:ind w:firstLine="100" w:firstLineChars="100"/>
    </w:pPr>
  </w:style>
  <w:style w:type="paragraph" w:customStyle="1" w:styleId="37">
    <w:name w:val="index 51"/>
    <w:basedOn w:val="1"/>
    <w:next w:val="1"/>
    <w:qFormat/>
    <w:uiPriority w:val="0"/>
    <w:pPr>
      <w:ind w:left="1680"/>
    </w:pPr>
  </w:style>
  <w:style w:type="character" w:customStyle="1" w:styleId="38">
    <w:name w:val="标题 1 Char"/>
    <w:link w:val="3"/>
    <w:qFormat/>
    <w:uiPriority w:val="0"/>
    <w:rPr>
      <w:rFonts w:eastAsia="FZXiaoBiaoSong-B05S" w:asciiTheme="minorHAnsi" w:hAnsiTheme="minorHAnsi"/>
      <w:kern w:val="44"/>
      <w:sz w:val="42"/>
    </w:rPr>
  </w:style>
  <w:style w:type="paragraph" w:customStyle="1" w:styleId="39">
    <w:name w:val="WPSOffice手动目录 1"/>
    <w:qFormat/>
    <w:uiPriority w:val="0"/>
    <w:rPr>
      <w:rFonts w:asciiTheme="minorHAnsi" w:hAnsiTheme="minorHAnsi" w:eastAsiaTheme="minorEastAsia" w:cstheme="minorBidi"/>
      <w:lang w:val="en-US" w:eastAsia="zh-CN" w:bidi="ar-SA"/>
    </w:rPr>
  </w:style>
  <w:style w:type="paragraph" w:customStyle="1" w:styleId="40">
    <w:name w:val="WPSOffice手动目录 2"/>
    <w:qFormat/>
    <w:uiPriority w:val="0"/>
    <w:pPr>
      <w:ind w:left="200" w:leftChars="200"/>
    </w:pPr>
    <w:rPr>
      <w:rFonts w:asciiTheme="minorHAnsi" w:hAnsiTheme="minorHAnsi" w:eastAsiaTheme="minorEastAsia" w:cstheme="minorBidi"/>
      <w:lang w:val="en-US" w:eastAsia="zh-CN" w:bidi="ar-SA"/>
    </w:rPr>
  </w:style>
  <w:style w:type="character" w:customStyle="1" w:styleId="41">
    <w:name w:val="批注框文本 Char"/>
    <w:basedOn w:val="27"/>
    <w:link w:val="16"/>
    <w:qFormat/>
    <w:uiPriority w:val="0"/>
    <w:rPr>
      <w:rFonts w:ascii="Calibri" w:hAnsi="Calibri" w:eastAsia="宋体" w:cs="Times New Roman"/>
      <w:kern w:val="2"/>
      <w:sz w:val="18"/>
      <w:szCs w:val="18"/>
    </w:rPr>
  </w:style>
  <w:style w:type="character" w:customStyle="1" w:styleId="42">
    <w:name w:val="页眉 Char"/>
    <w:link w:val="17"/>
    <w:qFormat/>
    <w:uiPriority w:val="0"/>
    <w:rPr>
      <w:rFonts w:eastAsia="仿宋_GB2312"/>
      <w:kern w:val="2"/>
      <w:sz w:val="18"/>
      <w:szCs w:val="24"/>
    </w:rPr>
  </w:style>
  <w:style w:type="character" w:customStyle="1" w:styleId="43">
    <w:name w:val="NormalCharacter"/>
    <w:link w:val="44"/>
    <w:qFormat/>
    <w:uiPriority w:val="0"/>
    <w:rPr>
      <w:rFonts w:ascii="Verdana" w:hAnsi="Verdana" w:eastAsia="仿宋_GB2312" w:cs="Times New Roman"/>
      <w:kern w:val="0"/>
      <w:sz w:val="30"/>
      <w:szCs w:val="30"/>
      <w:lang w:eastAsia="en-US"/>
    </w:rPr>
  </w:style>
  <w:style w:type="paragraph" w:customStyle="1" w:styleId="44">
    <w:name w:val="UserStyle_4"/>
    <w:basedOn w:val="1"/>
    <w:next w:val="1"/>
    <w:link w:val="43"/>
    <w:qFormat/>
    <w:uiPriority w:val="0"/>
    <w:pPr>
      <w:widowControl/>
      <w:spacing w:after="160" w:line="240" w:lineRule="exact"/>
      <w:ind w:firstLine="420"/>
      <w:jc w:val="left"/>
      <w:textAlignment w:val="baseline"/>
    </w:pPr>
    <w:rPr>
      <w:rFonts w:ascii="Verdana" w:hAnsi="Verdana" w:cs="Times New Roman"/>
      <w:kern w:val="0"/>
      <w:sz w:val="30"/>
      <w:szCs w:val="30"/>
      <w:lang w:eastAsia="en-US"/>
    </w:rPr>
  </w:style>
  <w:style w:type="paragraph" w:customStyle="1" w:styleId="45">
    <w:name w:val="Heading1"/>
    <w:basedOn w:val="1"/>
    <w:next w:val="1"/>
    <w:qFormat/>
    <w:uiPriority w:val="0"/>
    <w:pPr>
      <w:keepNext/>
      <w:widowControl/>
      <w:spacing w:line="570" w:lineRule="exact"/>
      <w:ind w:firstLine="0" w:firstLineChars="0"/>
      <w:textAlignment w:val="baseline"/>
    </w:pPr>
    <w:rPr>
      <w:rFonts w:ascii="Calibri" w:hAnsi="Calibri" w:eastAsia="FZSJ-FANGSJT" w:cs="Times New Roman"/>
      <w:szCs w:val="20"/>
    </w:rPr>
  </w:style>
  <w:style w:type="table" w:customStyle="1" w:styleId="46">
    <w:name w:val="网格型1"/>
    <w:basedOn w:val="2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47">
    <w:name w:val="15"/>
    <w:basedOn w:val="27"/>
    <w:qFormat/>
    <w:uiPriority w:val="0"/>
    <w:rPr>
      <w:rFonts w:hint="default" w:ascii="Calibri" w:hAnsi="Calibri" w:cs="Calibri"/>
    </w:rPr>
  </w:style>
  <w:style w:type="character" w:customStyle="1" w:styleId="48">
    <w:name w:val="font21"/>
    <w:qFormat/>
    <w:uiPriority w:val="0"/>
    <w:rPr>
      <w:rFonts w:hint="eastAsia" w:ascii="宋体" w:hAnsi="宋体" w:eastAsia="宋体" w:cs="宋体"/>
      <w:color w:val="000000"/>
      <w:sz w:val="24"/>
      <w:szCs w:val="24"/>
      <w:u w:val="none"/>
    </w:rPr>
  </w:style>
  <w:style w:type="paragraph" w:customStyle="1" w:styleId="49">
    <w:name w:val="公文正文"/>
    <w:basedOn w:val="50"/>
    <w:qFormat/>
    <w:uiPriority w:val="0"/>
    <w:pPr>
      <w:adjustRightInd w:val="0"/>
      <w:snapToGrid w:val="0"/>
      <w:spacing w:after="0"/>
      <w:ind w:firstLine="200"/>
      <w:jc w:val="both"/>
    </w:pPr>
    <w:rPr>
      <w:rFonts w:ascii="Times New Roman"/>
      <w:szCs w:val="22"/>
    </w:rPr>
  </w:style>
  <w:style w:type="paragraph" w:customStyle="1" w:styleId="50">
    <w:name w:val="图名"/>
    <w:basedOn w:val="1"/>
    <w:qFormat/>
    <w:uiPriority w:val="0"/>
    <w:pPr>
      <w:spacing w:after="120" w:line="408" w:lineRule="auto"/>
      <w:jc w:val="center"/>
    </w:pPr>
    <w:rPr>
      <w:rFonts w:ascii="宋体"/>
      <w:sz w:val="26"/>
      <w:szCs w:val="28"/>
    </w:rPr>
  </w:style>
  <w:style w:type="character" w:customStyle="1" w:styleId="51">
    <w:name w:val="font31"/>
    <w:basedOn w:val="27"/>
    <w:qFormat/>
    <w:uiPriority w:val="0"/>
    <w:rPr>
      <w:rFonts w:ascii="FangSong" w:hAnsi="FangSong" w:eastAsia="FangSong" w:cs="FangSong"/>
      <w:color w:val="000000"/>
      <w:sz w:val="28"/>
      <w:szCs w:val="28"/>
      <w:u w:val="none"/>
    </w:rPr>
  </w:style>
  <w:style w:type="character" w:customStyle="1" w:styleId="52">
    <w:name w:val="font41"/>
    <w:basedOn w:val="27"/>
    <w:qFormat/>
    <w:uiPriority w:val="0"/>
    <w:rPr>
      <w:rFonts w:ascii="FangSong" w:hAnsi="FangSong" w:eastAsia="FangSong" w:cs="FangSong"/>
      <w:color w:val="000000"/>
      <w:sz w:val="28"/>
      <w:szCs w:val="28"/>
      <w:u w:val="none"/>
    </w:rPr>
  </w:style>
  <w:style w:type="character" w:customStyle="1" w:styleId="53">
    <w:name w:val="font11"/>
    <w:basedOn w:val="27"/>
    <w:qFormat/>
    <w:uiPriority w:val="0"/>
    <w:rPr>
      <w:rFonts w:hint="default" w:ascii="Times New Roman" w:hAnsi="Times New Roman" w:cs="Times New Roman"/>
      <w:color w:val="000000"/>
      <w:sz w:val="28"/>
      <w:szCs w:val="28"/>
      <w:u w:val="none"/>
    </w:rPr>
  </w:style>
  <w:style w:type="paragraph" w:customStyle="1" w:styleId="54">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55">
    <w:name w:val="font01"/>
    <w:basedOn w:val="27"/>
    <w:qFormat/>
    <w:uiPriority w:val="0"/>
    <w:rPr>
      <w:rFonts w:hint="default" w:ascii="Times New Roman" w:hAnsi="Times New Roman" w:cs="Times New Roman"/>
      <w:b/>
      <w:bCs/>
      <w:color w:val="000000"/>
      <w:sz w:val="32"/>
      <w:szCs w:val="32"/>
      <w:u w:val="none"/>
    </w:rPr>
  </w:style>
  <w:style w:type="character" w:customStyle="1" w:styleId="56">
    <w:name w:val="font61"/>
    <w:basedOn w:val="27"/>
    <w:qFormat/>
    <w:uiPriority w:val="0"/>
    <w:rPr>
      <w:rFonts w:hint="default" w:ascii="Times New Roman" w:hAnsi="Times New Roman" w:cs="Times New Roman"/>
      <w:color w:val="000000"/>
      <w:sz w:val="32"/>
      <w:szCs w:val="32"/>
      <w:u w:val="none"/>
    </w:rPr>
  </w:style>
  <w:style w:type="character" w:customStyle="1" w:styleId="57">
    <w:name w:val="font71"/>
    <w:basedOn w:val="27"/>
    <w:qFormat/>
    <w:uiPriority w:val="0"/>
    <w:rPr>
      <w:rFonts w:hint="default" w:ascii="仿宋_GB2312" w:eastAsia="仿宋_GB2312" w:cs="仿宋_GB2312"/>
      <w:color w:val="000000"/>
      <w:sz w:val="32"/>
      <w:szCs w:val="32"/>
      <w:u w:val="none"/>
    </w:rPr>
  </w:style>
  <w:style w:type="character" w:customStyle="1" w:styleId="58">
    <w:name w:val="font81"/>
    <w:basedOn w:val="27"/>
    <w:qFormat/>
    <w:uiPriority w:val="0"/>
    <w:rPr>
      <w:rFonts w:hint="default" w:ascii="Times New Roman" w:hAnsi="Times New Roman" w:cs="Times New Roman"/>
      <w:color w:val="000000"/>
      <w:sz w:val="32"/>
      <w:szCs w:val="32"/>
      <w:u w:val="none"/>
    </w:rPr>
  </w:style>
  <w:style w:type="character" w:customStyle="1" w:styleId="59">
    <w:name w:val="font51"/>
    <w:basedOn w:val="27"/>
    <w:qFormat/>
    <w:uiPriority w:val="0"/>
    <w:rPr>
      <w:rFonts w:hint="eastAsia" w:ascii="仿宋_GB2312" w:eastAsia="仿宋_GB2312"/>
      <w:b/>
      <w:bCs/>
      <w:color w:val="000000"/>
      <w:sz w:val="32"/>
      <w:szCs w:val="32"/>
      <w:u w:val="none"/>
    </w:rPr>
  </w:style>
  <w:style w:type="paragraph" w:styleId="60">
    <w:name w:val="List Paragraph"/>
    <w:basedOn w:val="1"/>
    <w:qFormat/>
    <w:uiPriority w:val="99"/>
    <w:pPr>
      <w:ind w:firstLine="420"/>
    </w:pPr>
  </w:style>
  <w:style w:type="paragraph" w:customStyle="1" w:styleId="61">
    <w:name w:val="正文2"/>
    <w:basedOn w:val="1"/>
    <w:qFormat/>
    <w:uiPriority w:val="0"/>
    <w:pPr>
      <w:adjustRightInd w:val="0"/>
      <w:spacing w:line="360" w:lineRule="auto"/>
      <w:ind w:firstLine="200"/>
    </w:pPr>
    <w:rPr>
      <w:rFonts w:ascii="Times New Roman" w:hAnsi="Times New Roman"/>
      <w:spacing w:val="18"/>
      <w:sz w:val="28"/>
      <w:szCs w:val="28"/>
    </w:rPr>
  </w:style>
  <w:style w:type="paragraph" w:customStyle="1" w:styleId="62">
    <w:name w:val="无间隔1"/>
    <w:basedOn w:val="1"/>
    <w:qFormat/>
    <w:uiPriority w:val="1"/>
    <w:pPr>
      <w:spacing w:line="560" w:lineRule="exact"/>
      <w:jc w:val="center"/>
    </w:pPr>
    <w:rPr>
      <w:rFonts w:ascii="Times New Roman" w:hAnsi="Times New Roman" w:eastAsia="SimHei"/>
      <w:sz w:val="28"/>
    </w:rPr>
  </w:style>
  <w:style w:type="paragraph" w:customStyle="1" w:styleId="63">
    <w:name w:val="引用1"/>
    <w:basedOn w:val="1"/>
    <w:next w:val="1"/>
    <w:qFormat/>
    <w:uiPriority w:val="0"/>
    <w:pPr>
      <w:spacing w:line="560" w:lineRule="exact"/>
      <w:jc w:val="right"/>
    </w:pPr>
    <w:rPr>
      <w:rFonts w:ascii="Times New Roman" w:hAnsi="Times New Roman" w:eastAsia="SimHei"/>
      <w:iCs/>
      <w:color w:val="000000"/>
      <w:sz w:val="24"/>
    </w:rPr>
  </w:style>
  <w:style w:type="paragraph" w:customStyle="1" w:styleId="64">
    <w:name w:val="_Normal"/>
    <w:basedOn w:val="1"/>
    <w:qFormat/>
    <w:uiPriority w:val="0"/>
    <w:pPr>
      <w:overflowPunct w:val="0"/>
      <w:ind w:firstLine="200"/>
    </w:pPr>
    <w:rPr>
      <w:szCs w:val="30"/>
    </w:rPr>
  </w:style>
  <w:style w:type="paragraph" w:customStyle="1" w:styleId="65">
    <w:name w:val="表格标题"/>
    <w:basedOn w:val="1"/>
    <w:qFormat/>
    <w:uiPriority w:val="0"/>
    <w:pPr>
      <w:keepNext/>
      <w:tabs>
        <w:tab w:val="center" w:pos="4095"/>
        <w:tab w:val="right" w:pos="8295"/>
      </w:tabs>
      <w:adjustRightInd w:val="0"/>
      <w:snapToGrid w:val="0"/>
      <w:spacing w:before="120" w:after="120"/>
      <w:ind w:firstLine="200"/>
      <w:jc w:val="left"/>
    </w:pPr>
    <w:rPr>
      <w:rFonts w:hint="eastAsia" w:ascii="宋体" w:hAnsi="Times New Roman" w:eastAsia="宋体" w:cs="Times New Roman"/>
      <w:sz w:val="26"/>
      <w:szCs w:val="26"/>
    </w:rPr>
  </w:style>
  <w:style w:type="paragraph" w:customStyle="1" w:styleId="66">
    <w:name w:val="图"/>
    <w:basedOn w:val="65"/>
    <w:qFormat/>
    <w:uiPriority w:val="0"/>
    <w:pPr>
      <w:spacing w:after="0"/>
      <w:ind w:firstLine="0" w:firstLineChars="0"/>
      <w:jc w:val="center"/>
    </w:pPr>
  </w:style>
  <w:style w:type="paragraph" w:customStyle="1" w:styleId="67">
    <w:name w:val="四级标题"/>
    <w:qFormat/>
    <w:uiPriority w:val="0"/>
    <w:pPr>
      <w:keepNext/>
      <w:widowControl w:val="0"/>
      <w:adjustRightInd w:val="0"/>
      <w:snapToGrid w:val="0"/>
      <w:spacing w:line="408" w:lineRule="auto"/>
      <w:ind w:left="850"/>
      <w:jc w:val="both"/>
      <w:outlineLvl w:val="3"/>
    </w:pPr>
    <w:rPr>
      <w:rFonts w:ascii="Times New Roman" w:hAnsi="Times New Roman" w:eastAsia="宋体" w:cs="Times New Roman"/>
      <w:kern w:val="2"/>
      <w:sz w:val="26"/>
      <w:szCs w:val="26"/>
      <w:lang w:val="en-US" w:eastAsia="zh-CN" w:bidi="ar-SA"/>
    </w:rPr>
  </w:style>
  <w:style w:type="paragraph" w:customStyle="1" w:styleId="68">
    <w:name w:val="表格"/>
    <w:basedOn w:val="1"/>
    <w:qFormat/>
    <w:uiPriority w:val="0"/>
    <w:pPr>
      <w:tabs>
        <w:tab w:val="left" w:pos="1096"/>
      </w:tabs>
      <w:adjustRightInd w:val="0"/>
      <w:snapToGrid w:val="0"/>
      <w:jc w:val="center"/>
    </w:pPr>
    <w:rPr>
      <w:rFonts w:hint="eastAsia" w:ascii="宋体" w:hAnsi="Times New Roman" w:eastAsia="宋体" w:cs="Times New Roman"/>
      <w:sz w:val="22"/>
      <w:szCs w:val="22"/>
    </w:rPr>
  </w:style>
  <w:style w:type="character" w:customStyle="1" w:styleId="69">
    <w:name w:val="font101"/>
    <w:basedOn w:val="27"/>
    <w:qFormat/>
    <w:uiPriority w:val="0"/>
    <w:rPr>
      <w:rFonts w:hint="default" w:ascii="仿宋_GB2312" w:eastAsia="仿宋_GB2312" w:cs="仿宋_GB2312"/>
      <w:color w:val="000000"/>
      <w:sz w:val="32"/>
      <w:szCs w:val="32"/>
      <w:u w:val="none"/>
    </w:rPr>
  </w:style>
  <w:style w:type="paragraph" w:customStyle="1" w:styleId="70">
    <w:name w:val="msonormal"/>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rPr>
  </w:style>
  <w:style w:type="paragraph" w:customStyle="1" w:styleId="71">
    <w:name w:val="修订1"/>
    <w:hidden/>
    <w:unhideWhenUsed/>
    <w:qFormat/>
    <w:uiPriority w:val="99"/>
    <w:rPr>
      <w:rFonts w:eastAsia="仿宋_GB2312" w:asciiTheme="minorHAnsi" w:hAnsiTheme="minorHAnsi" w:cstheme="minorBidi"/>
      <w:kern w:val="2"/>
      <w:sz w:val="32"/>
      <w:szCs w:val="24"/>
      <w:lang w:val="en-US" w:eastAsia="zh-CN" w:bidi="ar-SA"/>
    </w:rPr>
  </w:style>
  <w:style w:type="character" w:customStyle="1" w:styleId="72">
    <w:name w:val="正文文本 Char"/>
    <w:basedOn w:val="27"/>
    <w:link w:val="11"/>
    <w:qFormat/>
    <w:uiPriority w:val="99"/>
    <w:rPr>
      <w:rFonts w:eastAsia="仿宋_GB2312" w:asciiTheme="minorHAnsi" w:hAnsiTheme="minorHAnsi" w:cstheme="minorBidi"/>
      <w:kern w:val="2"/>
      <w:sz w:val="32"/>
      <w:szCs w:val="24"/>
    </w:rPr>
  </w:style>
  <w:style w:type="character" w:customStyle="1" w:styleId="73">
    <w:name w:val="标题 2 Char"/>
    <w:basedOn w:val="27"/>
    <w:link w:val="4"/>
    <w:qFormat/>
    <w:uiPriority w:val="0"/>
    <w:rPr>
      <w:rFonts w:ascii="Arial" w:hAnsi="Arial" w:eastAsia="SimHei" w:cstheme="minorBidi"/>
      <w:kern w:val="2"/>
      <w:sz w:val="32"/>
      <w:szCs w:val="24"/>
    </w:rPr>
  </w:style>
  <w:style w:type="paragraph" w:customStyle="1" w:styleId="74">
    <w:name w:val="修订2"/>
    <w:hidden/>
    <w:unhideWhenUsed/>
    <w:qFormat/>
    <w:uiPriority w:val="99"/>
    <w:rPr>
      <w:rFonts w:eastAsia="仿宋_GB2312" w:asciiTheme="minorHAnsi" w:hAnsiTheme="minorHAnsi" w:cstheme="minorBidi"/>
      <w:kern w:val="2"/>
      <w:sz w:val="32"/>
      <w:szCs w:val="24"/>
      <w:lang w:val="en-US" w:eastAsia="zh-CN" w:bidi="ar-SA"/>
    </w:rPr>
  </w:style>
  <w:style w:type="character" w:customStyle="1" w:styleId="75">
    <w:name w:val="未处理的提及1"/>
    <w:basedOn w:val="27"/>
    <w:semiHidden/>
    <w:unhideWhenUsed/>
    <w:qFormat/>
    <w:uiPriority w:val="99"/>
    <w:rPr>
      <w:color w:val="605E5C"/>
      <w:shd w:val="clear" w:color="auto" w:fill="E1DFDD"/>
    </w:rPr>
  </w:style>
  <w:style w:type="paragraph" w:customStyle="1" w:styleId="76">
    <w:name w:val="修订3"/>
    <w:hidden/>
    <w:unhideWhenUsed/>
    <w:qFormat/>
    <w:uiPriority w:val="99"/>
    <w:rPr>
      <w:rFonts w:eastAsia="仿宋_GB2312" w:asciiTheme="minorHAnsi" w:hAnsiTheme="minorHAnsi" w:cstheme="minorBidi"/>
      <w:kern w:val="2"/>
      <w:sz w:val="32"/>
      <w:szCs w:val="24"/>
      <w:lang w:val="en-US" w:eastAsia="zh-CN" w:bidi="ar-SA"/>
    </w:rPr>
  </w:style>
  <w:style w:type="character" w:customStyle="1" w:styleId="77">
    <w:name w:val="批注文字 Char"/>
    <w:basedOn w:val="27"/>
    <w:link w:val="10"/>
    <w:qFormat/>
    <w:uiPriority w:val="99"/>
    <w:rPr>
      <w:rFonts w:eastAsia="仿宋_GB2312" w:asciiTheme="minorHAnsi" w:hAnsiTheme="minorHAnsi" w:cstheme="minorBidi"/>
      <w:kern w:val="2"/>
      <w:sz w:val="32"/>
      <w:szCs w:val="24"/>
    </w:rPr>
  </w:style>
  <w:style w:type="character" w:customStyle="1" w:styleId="78">
    <w:name w:val="批注主题 Char"/>
    <w:basedOn w:val="77"/>
    <w:link w:val="22"/>
    <w:qFormat/>
    <w:uiPriority w:val="0"/>
    <w:rPr>
      <w:rFonts w:eastAsia="仿宋_GB2312" w:asciiTheme="minorHAnsi" w:hAnsiTheme="minorHAnsi" w:cstheme="minorBidi"/>
      <w:b/>
      <w:bCs/>
      <w:kern w:val="2"/>
      <w:sz w:val="32"/>
      <w:szCs w:val="24"/>
    </w:rPr>
  </w:style>
  <w:style w:type="paragraph" w:customStyle="1" w:styleId="79">
    <w:name w:val="_Style 1"/>
    <w:basedOn w:val="1"/>
    <w:qFormat/>
    <w:uiPriority w:val="34"/>
    <w:pPr>
      <w:ind w:firstLine="420"/>
    </w:pPr>
    <w:rPr>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HEPDI</Company>
  <Pages>20</Pages>
  <Words>1693</Words>
  <Characters>1771</Characters>
  <Lines>149</Lines>
  <Paragraphs>42</Paragraphs>
  <TotalTime>5</TotalTime>
  <ScaleCrop>false</ScaleCrop>
  <LinksUpToDate>false</LinksUpToDate>
  <CharactersWithSpaces>1771</CharactersWithSpaces>
  <Application>WPS Office_12.1.2.27000_F1E327BC-269C-435d-A152-05C5408002CA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2025-08-15T02:03:00Z</dcterms:created>
  <dc:creator>Administrator</dc:creator>
  <cp:lastModifiedBy>greatwall</cp:lastModifiedBy>
  <cp:lastPrinted>2026-09-25T10:49:00Z</cp:lastPrinted>
  <dcterms:modified xsi:type="dcterms:W3CDTF">2026-10-30T17:23:17Z</dcterms:modified>
  <cp:revision>147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2052-12.1.2.27000</vt:lpwstr>
  </property>
  <property fmtid="{D5CDD505-2E9C-101B-9397-08002B2CF9AE}" pid="3" name="ICV">
    <vt:lpwstr>3B471697FDBB4CF28343393EB1F466B3_13</vt:lpwstr>
  </property>
  <property fmtid="{D5CDD505-2E9C-101B-9397-08002B2CF9AE}" pid="4" name="KSOTemplateDocerSaveRecord">
    <vt:lpwstr>eyJoZGlkIjoiMjJhOTNiM2MwOWQzZDU2MDE5OWFkNTlmM2ZmZjJkMDQiLCJ1c2VySWQiOiI5Nzg3ODQ1ODIifQ==</vt:lpwstr>
  </property>
</Properties>
</file>