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8" w:lineRule="exact"/>
        <w:jc w:val="left"/>
        <w:rPr>
          <w:rFonts w:ascii="Times New Roman" w:hAnsi="Times New Roman" w:eastAsia="方正小标宋_GBK"/>
          <w:bCs/>
          <w:color w:val="000000"/>
          <w:spacing w:val="-7"/>
          <w:w w:val="65"/>
          <w:sz w:val="96"/>
          <w:szCs w:val="96"/>
        </w:rPr>
      </w:pPr>
    </w:p>
    <w:p>
      <w:pPr>
        <w:spacing w:line="578" w:lineRule="exact"/>
        <w:jc w:val="left"/>
        <w:rPr>
          <w:rFonts w:ascii="Times New Roman" w:hAnsi="Times New Roman" w:eastAsia="方正小标宋_GBK"/>
          <w:bCs/>
          <w:color w:val="000000"/>
          <w:spacing w:val="-7"/>
          <w:w w:val="65"/>
          <w:sz w:val="96"/>
          <w:szCs w:val="96"/>
        </w:rPr>
      </w:pPr>
    </w:p>
    <w:p>
      <w:pPr>
        <w:spacing w:line="578" w:lineRule="exact"/>
        <w:jc w:val="left"/>
        <w:rPr>
          <w:rFonts w:ascii="Times New Roman" w:hAnsi="Times New Roman" w:eastAsia="方正小标宋_GBK"/>
          <w:bCs/>
          <w:color w:val="FF0000"/>
          <w:spacing w:val="-7"/>
          <w:w w:val="65"/>
          <w:sz w:val="96"/>
          <w:szCs w:val="96"/>
        </w:rPr>
      </w:pPr>
    </w:p>
    <w:p>
      <w:pPr>
        <w:spacing w:line="578" w:lineRule="exact"/>
        <w:jc w:val="left"/>
        <w:rPr>
          <w:rFonts w:ascii="Times New Roman" w:hAnsi="Times New Roman" w:eastAsia="方正小标宋_GBK"/>
          <w:bCs/>
          <w:color w:val="FF0000"/>
          <w:spacing w:val="-7"/>
          <w:w w:val="65"/>
          <w:sz w:val="96"/>
          <w:szCs w:val="96"/>
        </w:rPr>
      </w:pPr>
    </w:p>
    <w:p>
      <w:pPr>
        <w:spacing w:line="1200" w:lineRule="exact"/>
        <w:ind w:firstLine="0" w:firstLineChars="0"/>
        <w:jc w:val="center"/>
        <w:rPr>
          <w:rFonts w:ascii="Times New Roman" w:hAnsi="Times New Roman" w:eastAsia="方正小标宋_GBK"/>
          <w:bCs/>
          <w:color w:val="FF0000"/>
          <w:spacing w:val="-7"/>
          <w:w w:val="65"/>
          <w:sz w:val="102"/>
          <w:szCs w:val="102"/>
        </w:rPr>
      </w:pPr>
      <w:r>
        <w:rPr>
          <w:rFonts w:ascii="Times New Roman" w:hAnsi="Times New Roman" w:eastAsia="方正小标宋_GBK"/>
          <w:color w:val="FF0000"/>
          <w:w w:val="60"/>
          <w:sz w:val="102"/>
          <w:szCs w:val="102"/>
        </w:rPr>
        <w:t>湖南省发展和改革委员会文件</w:t>
      </w:r>
    </w:p>
    <w:p>
      <w:pPr>
        <w:spacing w:line="940" w:lineRule="exact"/>
        <w:rPr>
          <w:rFonts w:ascii="Times New Roman" w:hAnsi="Times New Roman" w:eastAsia="仿宋"/>
          <w:bCs/>
          <w:sz w:val="32"/>
        </w:rPr>
      </w:pPr>
    </w:p>
    <w:p>
      <w:pPr>
        <w:spacing w:line="590" w:lineRule="exact"/>
        <w:ind w:left="0" w:leftChars="0" w:right="0" w:rightChars="0" w:firstLine="0" w:firstLineChars="0"/>
        <w:jc w:val="center"/>
        <w:rPr>
          <w:rFonts w:hint="eastAsia" w:ascii="Times New Roman" w:hAnsi="Times New Roman" w:eastAsia="仿宋_GB2312"/>
          <w:bCs/>
          <w:sz w:val="32"/>
          <w:szCs w:val="32"/>
          <w:lang w:eastAsia="zh-CN"/>
        </w:rPr>
      </w:pPr>
      <w:bookmarkStart w:id="0" w:name="FlFwzh"/>
      <w:r>
        <w:rPr>
          <w:rFonts w:ascii="Times New Roman" w:hAnsi="Times New Roman" w:eastAsia="仿宋_GB2312"/>
          <w:bCs/>
          <w:sz w:val="32"/>
          <w:szCs w:val="32"/>
        </w:rPr>
        <w:t>湘发改</w:t>
      </w:r>
      <w:r>
        <w:rPr>
          <w:rFonts w:hint="eastAsia"/>
          <w:bCs/>
          <w:sz w:val="32"/>
          <w:szCs w:val="32"/>
          <w:lang w:eastAsia="zh-CN"/>
        </w:rPr>
        <w:t>能源</w:t>
      </w:r>
      <w:r>
        <w:rPr>
          <w:rFonts w:ascii="Times New Roman" w:hAnsi="Times New Roman" w:eastAsia="仿宋_GB2312"/>
          <w:bCs/>
          <w:sz w:val="32"/>
          <w:szCs w:val="32"/>
        </w:rPr>
        <w:t>〔202</w:t>
      </w:r>
      <w:r>
        <w:rPr>
          <w:rFonts w:hint="default" w:ascii="Times New Roman" w:hAnsi="Times New Roman" w:eastAsia="仿宋_GB2312"/>
          <w:bCs/>
          <w:sz w:val="32"/>
          <w:szCs w:val="32"/>
          <w:lang w:val="en"/>
        </w:rPr>
        <w:t>6</w:t>
      </w:r>
      <w:r>
        <w:rPr>
          <w:rFonts w:ascii="Times New Roman" w:hAnsi="Times New Roman" w:eastAsia="仿宋_GB2312"/>
          <w:bCs/>
          <w:sz w:val="32"/>
          <w:szCs w:val="32"/>
        </w:rPr>
        <w:t>〕</w:t>
      </w:r>
      <w:r>
        <w:rPr>
          <w:rFonts w:hint="default" w:ascii="Times New Roman" w:hAnsi="Times New Roman" w:eastAsia="仿宋_GB2312"/>
          <w:bCs/>
          <w:sz w:val="32"/>
          <w:szCs w:val="32"/>
          <w:lang w:val="en"/>
        </w:rPr>
        <w:t>6</w:t>
      </w:r>
      <w:r>
        <w:rPr>
          <w:rFonts w:ascii="Times New Roman" w:hAnsi="Times New Roman" w:eastAsia="仿宋_GB2312"/>
          <w:bCs/>
          <w:sz w:val="32"/>
          <w:szCs w:val="32"/>
        </w:rPr>
        <w:t>20号</w:t>
      </w:r>
      <w:bookmarkEnd w:id="0"/>
    </w:p>
    <w:p>
      <w:pPr>
        <w:spacing w:line="590" w:lineRule="exact"/>
        <w:jc w:val="center"/>
        <w:rPr>
          <w:rFonts w:ascii="Times New Roman" w:hAnsi="Times New Roman" w:eastAsia="方正小标宋简体"/>
          <w:bCs/>
          <w:sz w:val="42"/>
          <w:szCs w:val="42"/>
        </w:rPr>
      </w:pPr>
      <w:r>
        <w:rPr>
          <w:rFonts w:ascii="Times New Roman" w:hAnsi="Times New Roman" w:eastAsia="仿宋"/>
          <w:bCs/>
          <w:sz w:val="32"/>
          <w:szCs w:val="32"/>
        </w:rPr>
        <mc:AlternateContent>
          <mc:Choice Requires="wps">
            <w:drawing>
              <wp:anchor distT="0" distB="0" distL="114300" distR="114300" simplePos="0" relativeHeight="251658240" behindDoc="0" locked="0" layoutInCell="1" allowOverlap="1">
                <wp:simplePos x="0" y="0"/>
                <wp:positionH relativeFrom="column">
                  <wp:posOffset>25400</wp:posOffset>
                </wp:positionH>
                <wp:positionV relativeFrom="paragraph">
                  <wp:posOffset>92710</wp:posOffset>
                </wp:positionV>
                <wp:extent cx="5615940" cy="0"/>
                <wp:effectExtent l="0" t="9525" r="3810" b="9525"/>
                <wp:wrapNone/>
                <wp:docPr id="1" name="直接连接符 1"/>
                <wp:cNvGraphicFramePr/>
                <a:graphic xmlns:a="http://schemas.openxmlformats.org/drawingml/2006/main">
                  <a:graphicData uri="http://schemas.microsoft.com/office/word/2010/wordprocessingShape">
                    <wps:wsp>
                      <wps:cNvCnPr/>
                      <wps:spPr>
                        <a:xfrm>
                          <a:off x="0" y="0"/>
                          <a:ext cx="5615940" cy="0"/>
                        </a:xfrm>
                        <a:prstGeom prst="line">
                          <a:avLst/>
                        </a:prstGeom>
                        <a:ln w="19050" cap="flat" cmpd="sng">
                          <a:solidFill>
                            <a:srgbClr val="FF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pt;margin-top:7.3pt;height:0pt;width:442.2pt;z-index:251658240;mso-width-relative:page;mso-height-relative:page;" filled="f" stroked="t" coordsize="21600,21600" o:gfxdata="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BfMsKq1QAAAAcBAAAPAAAAAAAAAAEAIAAAADgAAABkcnMvZG93bnJldi54bWxQSwECFAAU&#10;AAAACACHTuJAKcPEL94BAACaAwAADgAAAAAAAAABACAAAAA6AQAAZHJzL2Uyb0RvYy54bWxQSwUG&#10;AAAAAAYABgBZAQAAigUAAAAA&#10;">
                <v:fill on="f" focussize="0,0"/>
                <v:stroke weight="1.5pt" color="#FF0000" joinstyle="round"/>
                <v:imagedata o:title=""/>
                <o:lock v:ext="edit" aspectratio="f"/>
              </v:line>
            </w:pict>
          </mc:Fallback>
        </mc:AlternateContent>
      </w:r>
    </w:p>
    <w:p>
      <w:pPr>
        <w:spacing w:line="536" w:lineRule="exact"/>
        <w:ind w:firstLine="0" w:firstLine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bCs/>
          <w:sz w:val="44"/>
          <w:szCs w:val="44"/>
        </w:rPr>
        <w:t>湖南省发展和改革委员会</w:t>
      </w:r>
    </w:p>
    <w:p>
      <w:pPr>
        <w:spacing w:line="536" w:lineRule="exact"/>
        <w:ind w:firstLine="0" w:firstLine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关于印发《湖南省“十五五”可再生能源</w:t>
      </w:r>
    </w:p>
    <w:p>
      <w:pPr>
        <w:spacing w:line="536" w:lineRule="exact"/>
        <w:ind w:firstLine="0" w:firstLineChars="0"/>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发展规划》的通知</w:t>
      </w:r>
    </w:p>
    <w:p>
      <w:pPr>
        <w:spacing w:line="536" w:lineRule="exact"/>
        <w:rPr>
          <w:rFonts w:hint="eastAsia" w:ascii="仿宋_GB2312" w:hAnsi="仿宋_GB2312" w:eastAsia="仿宋_GB2312" w:cs="仿宋_GB2312"/>
          <w:sz w:val="32"/>
          <w:szCs w:val="32"/>
          <w:lang w:eastAsia="zh-CN"/>
        </w:rPr>
      </w:pPr>
    </w:p>
    <w:p>
      <w:pPr>
        <w:spacing w:line="536" w:lineRule="exact"/>
        <w:ind w:left="0" w:leftChars="0" w:firstLine="0" w:firstLineChars="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各市州发展改革委、各有关单位：</w:t>
      </w:r>
    </w:p>
    <w:p>
      <w:pPr>
        <w:spacing w:line="536"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《湖南省“十五五”可再生能源发展规划》已经省人民政府审定同意，现予以印发，请结合实际贯彻实施。</w:t>
      </w:r>
    </w:p>
    <w:p>
      <w:pPr>
        <w:spacing w:line="536"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特此通知。</w:t>
      </w:r>
    </w:p>
    <w:p>
      <w:pPr>
        <w:spacing w:line="536" w:lineRule="exact"/>
        <w:ind w:firstLine="640"/>
        <w:rPr>
          <w:rFonts w:hint="eastAsia" w:ascii="仿宋_GB2312" w:hAnsi="仿宋_GB2312" w:eastAsia="仿宋_GB2312" w:cs="仿宋_GB2312"/>
          <w:sz w:val="32"/>
          <w:szCs w:val="32"/>
          <w:lang w:val="en-US" w:eastAsia="zh-CN"/>
        </w:rPr>
      </w:pPr>
    </w:p>
    <w:p>
      <w:pPr>
        <w:spacing w:line="536" w:lineRule="exact"/>
        <w:ind w:firstLine="64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附件：</w:t>
      </w:r>
      <w:r>
        <w:rPr>
          <w:rFonts w:hint="eastAsia" w:ascii="仿宋_GB2312" w:hAnsi="仿宋_GB2312" w:eastAsia="仿宋_GB2312" w:cs="仿宋_GB2312"/>
          <w:sz w:val="32"/>
          <w:szCs w:val="32"/>
          <w:lang w:eastAsia="zh-CN"/>
        </w:rPr>
        <w:t>《湖南省“十五五”可再生能源发展规划》</w:t>
      </w:r>
    </w:p>
    <w:p>
      <w:pPr>
        <w:spacing w:line="536" w:lineRule="exact"/>
        <w:ind w:firstLine="640"/>
        <w:rPr>
          <w:rFonts w:hint="eastAsia" w:ascii="仿宋_GB2312" w:hAnsi="仿宋_GB2312" w:eastAsia="仿宋_GB2312" w:cs="仿宋_GB2312"/>
          <w:sz w:val="32"/>
          <w:szCs w:val="32"/>
          <w:lang w:val="en-US" w:eastAsia="zh-CN"/>
        </w:rPr>
      </w:pPr>
    </w:p>
    <w:p>
      <w:pPr>
        <w:spacing w:line="536"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p>
    <w:p>
      <w:pPr>
        <w:spacing w:line="536" w:lineRule="exact"/>
        <w:ind w:firstLine="64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湖南省发展和改革委员会</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default" w:ascii="Times New Roman" w:hAnsi="Times New Roman" w:eastAsia="仿宋_GB2312" w:cs="Times New Roman"/>
          <w:sz w:val="32"/>
          <w:szCs w:val="32"/>
          <w:lang w:val="en-US" w:eastAsia="zh-CN"/>
        </w:rPr>
        <w:t>2026年10月</w:t>
      </w:r>
      <w:r>
        <w:rPr>
          <w:rFonts w:ascii="Times New Roman" w:hAnsi="Times New Roman" w:eastAsia="仿宋_GB2312"/>
          <w:bCs/>
          <w:sz w:val="32"/>
          <w:szCs w:val="32"/>
        </w:rPr>
        <w:t>2</w:t>
      </w:r>
      <w:r>
        <w:rPr>
          <w:rFonts w:hint="default" w:ascii="Times New Roman" w:hAnsi="Times New Roman" w:eastAsia="仿宋_GB2312"/>
          <w:bCs/>
          <w:sz w:val="32"/>
          <w:szCs w:val="32"/>
          <w:lang w:val="en"/>
        </w:rPr>
        <w:t>9</w:t>
      </w:r>
      <w:r>
        <w:rPr>
          <w:rFonts w:hint="eastAsia" w:ascii="仿宋_GB2312" w:hAnsi="仿宋_GB2312" w:eastAsia="仿宋_GB2312" w:cs="仿宋_GB2312"/>
          <w:sz w:val="32"/>
          <w:szCs w:val="32"/>
          <w:lang w:val="en-US" w:eastAsia="zh-CN"/>
        </w:rPr>
        <w:t>日</w:t>
      </w:r>
      <w:r>
        <w:rPr>
          <w:rFonts w:hint="eastAsia" w:ascii="仿宋_GB2312" w:hAnsi="仿宋_GB2312" w:eastAsia="仿宋_GB2312" w:cs="仿宋_GB2312"/>
          <w:sz w:val="32"/>
          <w:szCs w:val="32"/>
          <w:lang w:val="en-US" w:eastAsia="zh-CN"/>
        </w:rPr>
        <w:br w:type="page"/>
      </w:r>
    </w:p>
    <w:p>
      <w:pPr>
        <w:topLinePunct/>
        <w:adjustRightInd w:val="0"/>
        <w:snapToGrid w:val="0"/>
        <w:spacing w:line="596" w:lineRule="exact"/>
        <w:ind w:firstLine="0" w:firstLineChars="0"/>
        <w:jc w:val="both"/>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附件</w:t>
      </w:r>
    </w:p>
    <w:p>
      <w:pPr>
        <w:topLinePunct/>
        <w:adjustRightInd w:val="0"/>
        <w:snapToGrid w:val="0"/>
        <w:spacing w:line="1000" w:lineRule="exact"/>
        <w:ind w:firstLine="0" w:firstLineChars="0"/>
        <w:jc w:val="center"/>
        <w:rPr>
          <w:rFonts w:hint="default" w:ascii="Times New Roman" w:hAnsi="Times New Roman" w:eastAsia="方正小标宋简体" w:cs="Times New Roman"/>
          <w:sz w:val="56"/>
          <w:szCs w:val="44"/>
        </w:rPr>
      </w:pPr>
    </w:p>
    <w:p>
      <w:pPr>
        <w:topLinePunct/>
        <w:adjustRightInd w:val="0"/>
        <w:snapToGrid w:val="0"/>
        <w:spacing w:line="1000" w:lineRule="exact"/>
        <w:ind w:firstLine="0" w:firstLineChars="0"/>
        <w:jc w:val="center"/>
        <w:rPr>
          <w:rFonts w:hint="default" w:ascii="Times New Roman" w:hAnsi="Times New Roman" w:eastAsia="方正小标宋简体" w:cs="Times New Roman"/>
          <w:sz w:val="56"/>
          <w:szCs w:val="44"/>
        </w:rPr>
      </w:pPr>
      <w:r>
        <w:rPr>
          <w:rFonts w:hint="default" w:ascii="Times New Roman" w:hAnsi="Times New Roman" w:eastAsia="方正小标宋简体" w:cs="Times New Roman"/>
          <w:sz w:val="56"/>
          <w:szCs w:val="44"/>
        </w:rPr>
        <w:t>湖南省“十五五”</w:t>
      </w:r>
    </w:p>
    <w:p>
      <w:pPr>
        <w:topLinePunct/>
        <w:adjustRightInd w:val="0"/>
        <w:snapToGrid w:val="0"/>
        <w:spacing w:line="1000" w:lineRule="exact"/>
        <w:ind w:firstLine="0" w:firstLineChars="0"/>
        <w:jc w:val="center"/>
        <w:rPr>
          <w:rFonts w:hint="default" w:ascii="Times New Roman" w:hAnsi="Times New Roman" w:eastAsia="方正小标宋简体" w:cs="Times New Roman"/>
          <w:sz w:val="56"/>
          <w:szCs w:val="44"/>
        </w:rPr>
      </w:pPr>
      <w:r>
        <w:rPr>
          <w:rFonts w:hint="default" w:ascii="Times New Roman" w:hAnsi="Times New Roman" w:eastAsia="方正小标宋简体" w:cs="Times New Roman"/>
          <w:sz w:val="56"/>
          <w:szCs w:val="44"/>
        </w:rPr>
        <w:t>可再生能源发展规划</w:t>
      </w:r>
    </w:p>
    <w:p>
      <w:pPr>
        <w:pStyle w:val="12"/>
        <w:ind w:firstLine="320"/>
        <w:jc w:val="center"/>
        <w:rPr>
          <w:rFonts w:hint="default" w:ascii="Times New Roman" w:hAnsi="Times New Roman" w:eastAsia="楷体_GB2312" w:cs="Times New Roman"/>
          <w:szCs w:val="32"/>
        </w:rPr>
      </w:pPr>
    </w:p>
    <w:p>
      <w:pPr>
        <w:pStyle w:val="7"/>
        <w:topLinePunct/>
        <w:spacing w:line="360" w:lineRule="auto"/>
        <w:ind w:firstLine="40"/>
        <w:jc w:val="center"/>
        <w:rPr>
          <w:rFonts w:hint="default" w:ascii="Times New Roman" w:hAnsi="Times New Roman" w:cs="Times New Roman"/>
          <w:b/>
          <w:snapToGrid w:val="0"/>
          <w:sz w:val="2"/>
          <w:szCs w:val="2"/>
        </w:rPr>
      </w:pPr>
    </w:p>
    <w:p>
      <w:pPr>
        <w:ind w:firstLine="640"/>
        <w:rPr>
          <w:rFonts w:hint="default" w:ascii="Times New Roman" w:hAnsi="Times New Roman" w:cs="Times New Roman"/>
        </w:rPr>
      </w:pPr>
    </w:p>
    <w:p>
      <w:pPr>
        <w:pStyle w:val="12"/>
        <w:ind w:firstLine="320"/>
        <w:rPr>
          <w:rFonts w:hint="default" w:ascii="Times New Roman" w:hAnsi="Times New Roman" w:cs="Times New Roman"/>
        </w:rPr>
      </w:pPr>
    </w:p>
    <w:p>
      <w:pPr>
        <w:ind w:firstLine="640"/>
        <w:rPr>
          <w:rFonts w:hint="default" w:ascii="Times New Roman" w:hAnsi="Times New Roman" w:cs="Times New Roman"/>
        </w:rPr>
      </w:pPr>
    </w:p>
    <w:p>
      <w:pPr>
        <w:ind w:firstLine="640"/>
        <w:rPr>
          <w:rFonts w:hint="default" w:ascii="Times New Roman" w:hAnsi="Times New Roman" w:cs="Times New Roman"/>
        </w:rPr>
      </w:pPr>
    </w:p>
    <w:p>
      <w:pPr>
        <w:ind w:firstLine="640"/>
        <w:rPr>
          <w:rFonts w:hint="default" w:ascii="Times New Roman" w:hAnsi="Times New Roman" w:cs="Times New Roman"/>
        </w:rPr>
      </w:pPr>
    </w:p>
    <w:p>
      <w:pPr>
        <w:ind w:firstLine="640"/>
        <w:rPr>
          <w:rFonts w:hint="default" w:ascii="Times New Roman" w:hAnsi="Times New Roman" w:cs="Times New Roman"/>
        </w:rPr>
      </w:pPr>
    </w:p>
    <w:p>
      <w:pPr>
        <w:pStyle w:val="2"/>
        <w:rPr>
          <w:rFonts w:hint="default"/>
          <w:lang w:val="en"/>
        </w:rPr>
      </w:pPr>
    </w:p>
    <w:p>
      <w:pPr>
        <w:rPr>
          <w:rFonts w:hint="default"/>
          <w:lang w:val="en"/>
        </w:rPr>
      </w:pPr>
    </w:p>
    <w:p>
      <w:pPr>
        <w:adjustRightInd w:val="0"/>
        <w:snapToGrid w:val="0"/>
        <w:spacing w:line="560" w:lineRule="exact"/>
        <w:ind w:firstLine="0" w:firstLineChars="0"/>
        <w:jc w:val="distribute"/>
        <w:rPr>
          <w:rFonts w:hint="default" w:ascii="Times New Roman" w:hAnsi="Times New Roman" w:eastAsia="楷体_GB2312" w:cs="Times New Roman"/>
          <w:sz w:val="36"/>
          <w:szCs w:val="36"/>
        </w:rPr>
      </w:pPr>
      <w:r>
        <w:rPr>
          <w:rFonts w:hint="default" w:ascii="Times New Roman" w:hAnsi="Times New Roman" w:eastAsia="楷体_GB2312" w:cs="Times New Roman"/>
          <w:sz w:val="36"/>
          <w:szCs w:val="36"/>
        </w:rPr>
        <w:t>湖南省发展和改革委员会</w:t>
      </w:r>
    </w:p>
    <w:p>
      <w:pPr>
        <w:adjustRightInd w:val="0"/>
        <w:snapToGrid w:val="0"/>
        <w:spacing w:line="560" w:lineRule="exact"/>
        <w:ind w:firstLine="0" w:firstLineChars="0"/>
        <w:jc w:val="distribute"/>
        <w:rPr>
          <w:rFonts w:hint="default" w:ascii="Times New Roman" w:hAnsi="Times New Roman" w:eastAsia="楷体_GB2312" w:cs="Times New Roman"/>
          <w:sz w:val="36"/>
          <w:szCs w:val="36"/>
        </w:rPr>
      </w:pPr>
      <w:r>
        <w:rPr>
          <w:rFonts w:hint="default" w:ascii="Times New Roman" w:hAnsi="Times New Roman" w:eastAsia="楷体_GB2312" w:cs="Times New Roman"/>
          <w:sz w:val="36"/>
          <w:szCs w:val="36"/>
        </w:rPr>
        <w:t>湖南省能源局</w:t>
      </w:r>
    </w:p>
    <w:p>
      <w:pPr>
        <w:ind w:firstLine="0" w:firstLineChars="0"/>
        <w:jc w:val="center"/>
        <w:rPr>
          <w:rFonts w:hint="default" w:ascii="Times New Roman" w:hAnsi="Times New Roman" w:eastAsia="方正小标宋_GBK" w:cs="Times New Roman"/>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871" w:right="1531" w:bottom="1531" w:left="1588" w:header="851" w:footer="1304" w:gutter="0"/>
          <w:cols w:space="425" w:num="1"/>
          <w:docGrid w:type="lines" w:linePitch="312" w:charSpace="0"/>
        </w:sectPr>
      </w:pPr>
      <w:r>
        <w:rPr>
          <w:rFonts w:hint="default" w:ascii="Times New Roman" w:hAnsi="Times New Roman" w:eastAsia="楷体_GB2312" w:cs="Times New Roman"/>
          <w:sz w:val="36"/>
          <w:szCs w:val="36"/>
        </w:rPr>
        <w:t>2026年</w:t>
      </w:r>
      <w:r>
        <w:rPr>
          <w:rFonts w:hint="default" w:ascii="Times New Roman" w:hAnsi="Times New Roman" w:eastAsia="楷体_GB2312" w:cs="Times New Roman"/>
          <w:sz w:val="36"/>
          <w:szCs w:val="36"/>
          <w:lang w:val="en"/>
        </w:rPr>
        <w:t>10</w:t>
      </w:r>
      <w:r>
        <w:rPr>
          <w:rFonts w:hint="default" w:ascii="Times New Roman" w:hAnsi="Times New Roman" w:eastAsia="楷体_GB2312" w:cs="Times New Roman"/>
          <w:sz w:val="36"/>
          <w:szCs w:val="36"/>
        </w:rPr>
        <w:t>月</w:t>
      </w:r>
    </w:p>
    <w:p>
      <w:pPr>
        <w:tabs>
          <w:tab w:val="right" w:leader="dot" w:pos="8316"/>
        </w:tabs>
        <w:adjustRightInd w:val="0"/>
        <w:snapToGrid w:val="0"/>
        <w:spacing w:line="556" w:lineRule="exact"/>
        <w:ind w:left="220" w:right="442" w:firstLine="0" w:firstLineChars="0"/>
        <w:jc w:val="center"/>
        <w:rPr>
          <w:rFonts w:hint="default" w:ascii="Times New Roman" w:hAnsi="Times New Roman" w:cs="Times New Roman"/>
          <w:sz w:val="36"/>
        </w:rPr>
      </w:pPr>
    </w:p>
    <w:sdt>
      <w:sdtPr>
        <w:rPr>
          <w:rFonts w:hint="default" w:ascii="Times New Roman" w:hAnsi="Times New Roman" w:eastAsia="方正小标宋简体" w:cs="Times New Roman"/>
          <w:sz w:val="42"/>
          <w:szCs w:val="42"/>
        </w:rPr>
        <w:id w:val="181778780"/>
        <w:docPartObj>
          <w:docPartGallery w:val="Table of Contents"/>
          <w:docPartUnique/>
        </w:docPartObj>
      </w:sdtPr>
      <w:sdtEndPr>
        <w:rPr>
          <w:rFonts w:hint="default" w:ascii="Times New Roman" w:hAnsi="Times New Roman" w:eastAsia="仿宋_GB2312" w:cs="Times New Roman"/>
          <w:sz w:val="32"/>
          <w:szCs w:val="24"/>
        </w:rPr>
      </w:sdtEndPr>
      <w:sdtContent>
        <w:p>
          <w:pPr>
            <w:spacing w:line="596" w:lineRule="exact"/>
            <w:ind w:firstLine="0" w:firstLineChars="0"/>
            <w:jc w:val="center"/>
            <w:rPr>
              <w:rFonts w:hint="default" w:ascii="Times New Roman" w:hAnsi="Times New Roman" w:eastAsia="方正小标宋简体" w:cs="Times New Roman"/>
              <w:sz w:val="42"/>
              <w:szCs w:val="42"/>
            </w:rPr>
          </w:pPr>
          <w:r>
            <w:rPr>
              <w:rFonts w:hint="default" w:ascii="Times New Roman" w:hAnsi="Times New Roman" w:eastAsia="方正小标宋简体" w:cs="Times New Roman"/>
              <w:sz w:val="42"/>
              <w:szCs w:val="42"/>
            </w:rPr>
            <w:t>目  录</w:t>
          </w:r>
        </w:p>
        <w:p>
          <w:pPr>
            <w:pStyle w:val="2"/>
            <w:spacing w:line="596" w:lineRule="exact"/>
            <w:rPr>
              <w:rFonts w:hint="default"/>
            </w:rPr>
          </w:pPr>
        </w:p>
        <w:p>
          <w:pPr>
            <w:pStyle w:val="10"/>
            <w:tabs>
              <w:tab w:val="right" w:leader="dot" w:pos="8787"/>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cs="Times New Roman"/>
            </w:rPr>
            <w:fldChar w:fldCharType="begin"/>
          </w:r>
          <w:r>
            <w:rPr>
              <w:rFonts w:hint="default" w:ascii="Times New Roman" w:hAnsi="Times New Roman" w:cs="Times New Roman"/>
            </w:rPr>
            <w:instrText xml:space="preserve"> HYPERLINK \l "_Toc11896" </w:instrText>
          </w:r>
          <w:r>
            <w:rPr>
              <w:rFonts w:hint="default" w:ascii="Times New Roman" w:hAnsi="Times New Roman" w:cs="Times New Roman"/>
            </w:rPr>
            <w:fldChar w:fldCharType="separate"/>
          </w:r>
          <w:r>
            <w:rPr>
              <w:rFonts w:hint="default" w:ascii="Times New Roman" w:hAnsi="Times New Roman" w:cs="Times New Roman"/>
              <w:kern w:val="44"/>
            </w:rPr>
            <w:t>第一章  总体要求</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_Toc11896 \h </w:instrText>
          </w:r>
          <w:r>
            <w:rPr>
              <w:rFonts w:hint="default" w:ascii="Times New Roman" w:hAnsi="Times New Roman" w:cs="Times New Roman"/>
            </w:rPr>
            <w:fldChar w:fldCharType="separate"/>
          </w:r>
          <w:r>
            <w:rPr>
              <w:rFonts w:hint="default" w:ascii="Times New Roman" w:hAnsi="Times New Roman" w:cs="Times New Roman"/>
            </w:rPr>
            <w:t>4</w:t>
          </w:r>
          <w:r>
            <w:rPr>
              <w:rFonts w:hint="default" w:ascii="Times New Roman" w:hAnsi="Times New Roman" w:cs="Times New Roman"/>
            </w:rPr>
            <w:fldChar w:fldCharType="end"/>
          </w:r>
          <w:r>
            <w:rPr>
              <w:rFonts w:hint="default" w:ascii="Times New Roman" w:hAnsi="Times New Roman"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"_Toc128" </w:instrText>
          </w:r>
          <w:r>
            <w:rPr>
              <w:rFonts w:hint="default" w:ascii="Times New Roman" w:hAnsi="Times New Roman" w:cs="Times New Roman"/>
            </w:rPr>
            <w:fldChar w:fldCharType="separate"/>
          </w:r>
          <w:r>
            <w:rPr>
              <w:rFonts w:hint="default" w:ascii="Times New Roman" w:hAnsi="Times New Roman" w:eastAsia="仿宋_GB2312" w:cs="Times New Roman"/>
            </w:rPr>
            <w:t>一、指导思想</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_Toc128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4</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2"/>
            <w:tabs>
              <w:tab w:val="right" w:leader="dot" w:pos="8787"/>
            </w:tabs>
            <w:spacing w:line="596" w:lineRule="exact"/>
            <w:ind w:left="640"/>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"_Toc9198" </w:instrText>
          </w:r>
          <w:r>
            <w:rPr>
              <w:rFonts w:hint="default" w:ascii="Times New Roman" w:hAnsi="Times New Roman" w:cs="Times New Roman"/>
            </w:rPr>
            <w:fldChar w:fldCharType="separate"/>
          </w:r>
          <w:r>
            <w:rPr>
              <w:rFonts w:hint="default" w:ascii="Times New Roman" w:hAnsi="Times New Roman" w:eastAsia="仿宋_GB2312" w:cs="Times New Roman"/>
            </w:rPr>
            <w:t>二、发展目标</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_Toc9198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4</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10"/>
            <w:tabs>
              <w:tab w:val="right" w:leader="dot" w:pos="8787"/>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"_Toc11973" </w:instrText>
          </w:r>
          <w:r>
            <w:rPr>
              <w:rFonts w:hint="default" w:ascii="Times New Roman" w:hAnsi="Times New Roman" w:cs="Times New Roman"/>
            </w:rPr>
            <w:fldChar w:fldCharType="separate"/>
          </w:r>
          <w:r>
            <w:rPr>
              <w:rFonts w:hint="default" w:ascii="Times New Roman" w:hAnsi="Times New Roman" w:eastAsia="方正小标宋简体" w:cs="Times New Roman"/>
              <w:kern w:val="44"/>
              <w:szCs w:val="24"/>
            </w:rPr>
            <w:t>第二章  重点任务</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_Toc11973 \h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rPr>
              <w:rFonts w:hint="default" w:ascii="Times New Roman" w:hAnsi="Times New Roman"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"_Toc10700" </w:instrText>
          </w:r>
          <w:r>
            <w:rPr>
              <w:rFonts w:hint="default" w:ascii="Times New Roman" w:hAnsi="Times New Roman" w:cs="Times New Roman"/>
            </w:rPr>
            <w:fldChar w:fldCharType="separate"/>
          </w:r>
          <w:r>
            <w:rPr>
              <w:rFonts w:hint="default" w:ascii="Times New Roman" w:hAnsi="Times New Roman" w:eastAsia="仿宋_GB2312" w:cs="Times New Roman"/>
            </w:rPr>
            <w:t>一、全力扩大可再生能源供给能力</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_Toc10700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6</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"_Toc13641" </w:instrText>
          </w:r>
          <w:r>
            <w:rPr>
              <w:rFonts w:hint="default" w:ascii="Times New Roman" w:hAnsi="Times New Roman" w:cs="Times New Roman"/>
            </w:rPr>
            <w:fldChar w:fldCharType="separate"/>
          </w:r>
          <w:r>
            <w:rPr>
              <w:rFonts w:hint="default" w:ascii="Times New Roman" w:hAnsi="Times New Roman" w:eastAsia="仿宋_GB2312" w:cs="Times New Roman"/>
            </w:rPr>
            <w:t>二、提升可再生能源可靠替代水平</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_Toc13641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10</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"_Toc28556" </w:instrText>
          </w:r>
          <w:r>
            <w:rPr>
              <w:rFonts w:hint="default" w:ascii="Times New Roman" w:hAnsi="Times New Roman" w:cs="Times New Roman"/>
            </w:rPr>
            <w:fldChar w:fldCharType="separate"/>
          </w:r>
          <w:r>
            <w:rPr>
              <w:rFonts w:hint="default" w:ascii="Times New Roman" w:hAnsi="Times New Roman" w:eastAsia="仿宋_GB2312" w:cs="Times New Roman"/>
            </w:rPr>
            <w:t>三、充分激发可再生能源消费潜力</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_Toc28556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12</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"_Toc29508" </w:instrText>
          </w:r>
          <w:r>
            <w:rPr>
              <w:rFonts w:hint="default" w:ascii="Times New Roman" w:hAnsi="Times New Roman" w:cs="Times New Roman"/>
            </w:rPr>
            <w:fldChar w:fldCharType="separate"/>
          </w:r>
          <w:r>
            <w:rPr>
              <w:rFonts w:hint="default" w:ascii="Times New Roman" w:hAnsi="Times New Roman" w:eastAsia="仿宋_GB2312" w:cs="Times New Roman"/>
            </w:rPr>
            <w:t>四、壮大可再生能源技术产业优势</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_Toc29508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14</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2"/>
            <w:tabs>
              <w:tab w:val="right" w:leader="dot" w:pos="8787"/>
            </w:tabs>
            <w:spacing w:line="596" w:lineRule="exact"/>
            <w:ind w:left="640"/>
            <w:rPr>
              <w:rFonts w:hint="default" w:ascii="Times New Roman" w:hAnsi="Times New Roman" w:eastAsia="仿宋_GB2312"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"_Toc13961" </w:instrText>
          </w:r>
          <w:r>
            <w:rPr>
              <w:rFonts w:hint="default" w:ascii="Times New Roman" w:hAnsi="Times New Roman" w:cs="Times New Roman"/>
            </w:rPr>
            <w:fldChar w:fldCharType="separate"/>
          </w:r>
          <w:r>
            <w:rPr>
              <w:rFonts w:hint="default" w:ascii="Times New Roman" w:hAnsi="Times New Roman" w:eastAsia="仿宋_GB2312" w:cs="Times New Roman"/>
            </w:rPr>
            <w:t>五、推动可再生能源高效治理</w:t>
          </w:r>
          <w:r>
            <w:rPr>
              <w:rFonts w:hint="default" w:ascii="Times New Roman" w:hAnsi="Times New Roman" w:eastAsia="仿宋_GB2312" w:cs="Times New Roman"/>
            </w:rPr>
            <w:tab/>
          </w:r>
          <w:r>
            <w:rPr>
              <w:rFonts w:hint="default" w:ascii="Times New Roman" w:hAnsi="Times New Roman" w:eastAsia="仿宋_GB2312" w:cs="Times New Roman"/>
            </w:rPr>
            <w:fldChar w:fldCharType="begin"/>
          </w:r>
          <w:r>
            <w:rPr>
              <w:rFonts w:hint="default" w:ascii="Times New Roman" w:hAnsi="Times New Roman" w:eastAsia="仿宋_GB2312" w:cs="Times New Roman"/>
            </w:rPr>
            <w:instrText xml:space="preserve"> PAGEREF _Toc13961 \h </w:instrText>
          </w:r>
          <w:r>
            <w:rPr>
              <w:rFonts w:hint="default" w:ascii="Times New Roman" w:hAnsi="Times New Roman" w:eastAsia="仿宋_GB2312" w:cs="Times New Roman"/>
            </w:rPr>
            <w:fldChar w:fldCharType="separate"/>
          </w:r>
          <w:r>
            <w:rPr>
              <w:rFonts w:hint="default" w:ascii="Times New Roman" w:hAnsi="Times New Roman" w:eastAsia="仿宋_GB2312" w:cs="Times New Roman"/>
            </w:rPr>
            <w:t>15</w:t>
          </w:r>
          <w:r>
            <w:rPr>
              <w:rFonts w:hint="default" w:ascii="Times New Roman" w:hAnsi="Times New Roman" w:eastAsia="仿宋_GB2312" w:cs="Times New Roman"/>
            </w:rPr>
            <w:fldChar w:fldCharType="end"/>
          </w:r>
          <w:r>
            <w:rPr>
              <w:rFonts w:hint="default" w:ascii="Times New Roman" w:hAnsi="Times New Roman" w:eastAsia="仿宋_GB2312" w:cs="Times New Roman"/>
            </w:rPr>
            <w:fldChar w:fldCharType="end"/>
          </w:r>
        </w:p>
        <w:p>
          <w:pPr>
            <w:pStyle w:val="10"/>
            <w:tabs>
              <w:tab w:val="right" w:leader="dot" w:pos="8787"/>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 HYPERLINK \l "_Toc4001" </w:instrText>
          </w:r>
          <w:r>
            <w:rPr>
              <w:rFonts w:hint="default" w:ascii="Times New Roman" w:hAnsi="Times New Roman" w:cs="Times New Roman"/>
            </w:rPr>
            <w:fldChar w:fldCharType="separate"/>
          </w:r>
          <w:r>
            <w:rPr>
              <w:rFonts w:hint="default" w:ascii="Times New Roman" w:hAnsi="Times New Roman" w:eastAsia="方正小标宋简体" w:cs="Times New Roman"/>
              <w:kern w:val="44"/>
              <w:szCs w:val="24"/>
            </w:rPr>
            <w:t>第三章  组织实施</w:t>
          </w:r>
          <w:r>
            <w:rPr>
              <w:rFonts w:hint="default" w:ascii="Times New Roman" w:hAnsi="Times New Roman" w:cs="Times New Roman"/>
            </w:rPr>
            <w:tab/>
          </w:r>
          <w:r>
            <w:rPr>
              <w:rFonts w:hint="default" w:ascii="Times New Roman" w:hAnsi="Times New Roman" w:cs="Times New Roman"/>
            </w:rPr>
            <w:fldChar w:fldCharType="begin"/>
          </w:r>
          <w:r>
            <w:rPr>
              <w:rFonts w:hint="default" w:ascii="Times New Roman" w:hAnsi="Times New Roman" w:cs="Times New Roman"/>
            </w:rPr>
            <w:instrText xml:space="preserve"> PAGEREF _Toc4001 \h </w:instrText>
          </w:r>
          <w:r>
            <w:rPr>
              <w:rFonts w:hint="default" w:ascii="Times New Roman" w:hAnsi="Times New Roman" w:cs="Times New Roman"/>
            </w:rPr>
            <w:fldChar w:fldCharType="separate"/>
          </w:r>
          <w:r>
            <w:rPr>
              <w:rFonts w:hint="default" w:ascii="Times New Roman" w:hAnsi="Times New Roman" w:cs="Times New Roman"/>
            </w:rPr>
            <w:t>18</w:t>
          </w:r>
          <w:r>
            <w:rPr>
              <w:rFonts w:hint="default" w:ascii="Times New Roman" w:hAnsi="Times New Roman" w:cs="Times New Roman"/>
            </w:rPr>
            <w:fldChar w:fldCharType="end"/>
          </w:r>
          <w:r>
            <w:rPr>
              <w:rFonts w:hint="default" w:ascii="Times New Roman" w:hAnsi="Times New Roman" w:cs="Times New Roman"/>
            </w:rPr>
            <w:fldChar w:fldCharType="end"/>
          </w:r>
        </w:p>
        <w:p>
          <w:pPr>
            <w:pStyle w:val="12"/>
            <w:ind w:firstLine="320"/>
            <w:rPr>
              <w:rFonts w:hint="default" w:ascii="Times New Roman" w:hAnsi="Times New Roman" w:cs="Times New Roman"/>
            </w:rPr>
          </w:pPr>
          <w:r>
            <w:rPr>
              <w:rFonts w:hint="default" w:ascii="Times New Roman" w:hAnsi="Times New Roman" w:cs="Times New Roman"/>
            </w:rPr>
            <w:fldChar w:fldCharType="end"/>
          </w:r>
        </w:p>
      </w:sdtContent>
    </w:sdt>
    <w:p>
      <w:pPr>
        <w:pStyle w:val="12"/>
        <w:ind w:firstLine="320"/>
        <w:rPr>
          <w:rFonts w:hint="default" w:ascii="Times New Roman" w:hAnsi="Times New Roman" w:cs="Times New Roman"/>
        </w:rPr>
        <w:sectPr>
          <w:footerReference r:id="rId11" w:type="default"/>
          <w:footerReference r:id="rId12" w:type="even"/>
          <w:pgSz w:w="11906" w:h="16838"/>
          <w:pgMar w:top="1871" w:right="1531" w:bottom="1531" w:left="1588" w:header="851" w:footer="1304" w:gutter="0"/>
          <w:cols w:space="425" w:num="1"/>
          <w:docGrid w:type="lines" w:linePitch="312" w:charSpace="0"/>
        </w:sectPr>
      </w:pPr>
      <w:bookmarkStart w:id="89" w:name="_GoBack"/>
      <w:bookmarkEnd w:id="89"/>
    </w:p>
    <w:p>
      <w:pPr>
        <w:keepNext/>
        <w:keepLines/>
        <w:ind w:firstLine="0" w:firstLineChars="0"/>
        <w:jc w:val="center"/>
        <w:outlineLvl w:val="0"/>
        <w:rPr>
          <w:rFonts w:hint="default" w:ascii="Times New Roman" w:hAnsi="Times New Roman" w:eastAsia="黑体" w:cs="Times New Roman"/>
          <w:kern w:val="44"/>
          <w:sz w:val="42"/>
          <w:szCs w:val="32"/>
        </w:rPr>
      </w:pPr>
      <w:bookmarkStart w:id="1" w:name="_Toc29750"/>
      <w:bookmarkStart w:id="2" w:name="_Toc11896"/>
      <w:bookmarkStart w:id="3" w:name="_Toc13606"/>
      <w:bookmarkStart w:id="4" w:name="_Toc19776"/>
      <w:bookmarkStart w:id="5" w:name="_Toc3203"/>
      <w:bookmarkStart w:id="6" w:name="_Toc336"/>
      <w:bookmarkStart w:id="7" w:name="_Toc7583"/>
      <w:bookmarkStart w:id="8" w:name="_Toc25956"/>
      <w:bookmarkStart w:id="9" w:name="_Toc5777"/>
      <w:bookmarkStart w:id="10" w:name="_Toc11004"/>
      <w:bookmarkStart w:id="11" w:name="_Toc16946"/>
      <w:r>
        <w:rPr>
          <w:rFonts w:hint="default" w:ascii="Times New Roman" w:hAnsi="Times New Roman" w:eastAsia="方正小标宋简体" w:cs="Times New Roman"/>
          <w:kern w:val="44"/>
          <w:sz w:val="42"/>
        </w:rPr>
        <w:fldChar w:fldCharType="begin"/>
      </w:r>
      <w:r>
        <w:rPr>
          <w:rFonts w:hint="default" w:ascii="Times New Roman" w:hAnsi="Times New Roman" w:eastAsia="方正小标宋简体" w:cs="Times New Roman"/>
          <w:kern w:val="44"/>
          <w:sz w:val="42"/>
        </w:rPr>
        <w:instrText xml:space="preserve"> HYPERLINK \l "_Toc433901725" </w:instrText>
      </w:r>
      <w:r>
        <w:rPr>
          <w:rFonts w:hint="default" w:ascii="Times New Roman" w:hAnsi="Times New Roman" w:eastAsia="方正小标宋简体" w:cs="Times New Roman"/>
          <w:kern w:val="44"/>
          <w:sz w:val="42"/>
        </w:rPr>
        <w:fldChar w:fldCharType="separate"/>
      </w:r>
      <w:r>
        <w:rPr>
          <w:rFonts w:hint="default" w:ascii="Times New Roman" w:hAnsi="Times New Roman" w:eastAsia="黑体" w:cs="Times New Roman"/>
          <w:kern w:val="44"/>
          <w:sz w:val="42"/>
          <w:szCs w:val="32"/>
        </w:rPr>
        <w:t>第一章  总体</w:t>
      </w:r>
      <w:r>
        <w:rPr>
          <w:rFonts w:hint="default" w:ascii="Times New Roman" w:hAnsi="Times New Roman" w:eastAsia="黑体" w:cs="Times New Roman"/>
          <w:kern w:val="44"/>
          <w:sz w:val="42"/>
          <w:szCs w:val="32"/>
        </w:rPr>
        <w:fldChar w:fldCharType="end"/>
      </w:r>
      <w:r>
        <w:rPr>
          <w:rFonts w:hint="default" w:ascii="Times New Roman" w:hAnsi="Times New Roman" w:eastAsia="黑体" w:cs="Times New Roman"/>
          <w:kern w:val="44"/>
          <w:sz w:val="42"/>
          <w:szCs w:val="32"/>
        </w:rPr>
        <w:t>要求</w:t>
      </w:r>
      <w:bookmarkEnd w:id="1"/>
      <w:bookmarkEnd w:id="2"/>
      <w:bookmarkEnd w:id="3"/>
      <w:bookmarkEnd w:id="4"/>
      <w:bookmarkEnd w:id="5"/>
    </w:p>
    <w:p>
      <w:pPr>
        <w:adjustRightInd w:val="0"/>
        <w:snapToGrid w:val="0"/>
        <w:ind w:firstLine="640"/>
        <w:rPr>
          <w:rFonts w:hint="default" w:ascii="Times New Roman" w:hAnsi="Times New Roman" w:cs="Times New Roman"/>
          <w:szCs w:val="32"/>
        </w:rPr>
      </w:pPr>
    </w:p>
    <w:p>
      <w:pPr>
        <w:ind w:firstLine="640"/>
        <w:rPr>
          <w:rFonts w:hint="default" w:ascii="Times New Roman" w:hAnsi="Times New Roman" w:cs="Times New Roman"/>
        </w:rPr>
      </w:pPr>
      <w:r>
        <w:rPr>
          <w:rFonts w:hint="default" w:ascii="Times New Roman" w:hAnsi="Times New Roman" w:cs="Times New Roman"/>
        </w:rPr>
        <w:t>“十五五”时期是我省实现碳达峰目标的决胜期，也是我省构建清洁低碳安全高效的新型能源体系的全面提速期，可再生能源对经济社会发展全面绿色转型</w:t>
      </w:r>
      <w:r>
        <w:rPr>
          <w:rFonts w:hint="eastAsia" w:cs="Times New Roman"/>
          <w:lang w:eastAsia="zh-CN"/>
        </w:rPr>
        <w:t>的</w:t>
      </w:r>
      <w:r>
        <w:rPr>
          <w:rFonts w:hint="default" w:ascii="Times New Roman" w:hAnsi="Times New Roman" w:cs="Times New Roman"/>
        </w:rPr>
        <w:t>主要支撑作用将更加凸显。根据</w:t>
      </w:r>
      <w:r>
        <w:rPr>
          <w:rFonts w:hint="eastAsia" w:cs="Times New Roman"/>
          <w:lang w:val="en-US" w:eastAsia="zh-CN"/>
        </w:rPr>
        <w:t>国家</w:t>
      </w:r>
      <w:r>
        <w:rPr>
          <w:rFonts w:hint="default" w:ascii="Times New Roman" w:hAnsi="Times New Roman" w:cs="Times New Roman"/>
        </w:rPr>
        <w:t>《可再生能源发展“十五五”规划》《湖南省国民经济和社会发展第十五个五年规划纲要》《湖南省新型能源体系建设“十五五”规划》，编制本规划。</w:t>
      </w:r>
    </w:p>
    <w:bookmarkEnd w:id="6"/>
    <w:bookmarkEnd w:id="7"/>
    <w:bookmarkEnd w:id="8"/>
    <w:bookmarkEnd w:id="9"/>
    <w:bookmarkEnd w:id="10"/>
    <w:bookmarkEnd w:id="11"/>
    <w:p>
      <w:pPr>
        <w:keepNext/>
        <w:keepLines/>
        <w:spacing w:line="570" w:lineRule="atLeast"/>
        <w:ind w:firstLine="640"/>
        <w:outlineLvl w:val="1"/>
        <w:rPr>
          <w:rFonts w:hint="default" w:ascii="Times New Roman" w:hAnsi="Times New Roman" w:eastAsia="黑体" w:cs="Times New Roman"/>
        </w:rPr>
      </w:pPr>
      <w:bookmarkStart w:id="12" w:name="_Toc18693"/>
      <w:bookmarkStart w:id="13" w:name="_Toc27139"/>
      <w:bookmarkStart w:id="14" w:name="_Toc19941"/>
      <w:bookmarkStart w:id="15" w:name="_Toc128"/>
      <w:bookmarkStart w:id="16" w:name="_Toc22416"/>
      <w:bookmarkStart w:id="17" w:name="_Toc22707"/>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"_Toc433901739" </w:instrText>
      </w:r>
      <w:r>
        <w:rPr>
          <w:rFonts w:hint="default" w:ascii="Times New Roman" w:hAnsi="Times New Roman" w:eastAsia="黑体" w:cs="Times New Roman"/>
        </w:rPr>
        <w:fldChar w:fldCharType="separate"/>
      </w:r>
      <w:r>
        <w:rPr>
          <w:rFonts w:hint="default" w:ascii="Times New Roman" w:hAnsi="Times New Roman" w:eastAsia="黑体" w:cs="Times New Roman"/>
        </w:rPr>
        <w:t>一、指导思想</w:t>
      </w:r>
      <w:r>
        <w:rPr>
          <w:rFonts w:hint="default" w:ascii="Times New Roman" w:hAnsi="Times New Roman" w:eastAsia="黑体" w:cs="Times New Roman"/>
        </w:rPr>
        <w:fldChar w:fldCharType="end"/>
      </w:r>
      <w:bookmarkEnd w:id="12"/>
      <w:bookmarkEnd w:id="13"/>
      <w:bookmarkEnd w:id="14"/>
      <w:bookmarkEnd w:id="15"/>
      <w:bookmarkEnd w:id="16"/>
    </w:p>
    <w:p>
      <w:pPr>
        <w:pStyle w:val="7"/>
        <w:overflowPunct w:val="0"/>
        <w:ind w:firstLine="640"/>
        <w:rPr>
          <w:rFonts w:hint="default" w:ascii="Times New Roman" w:hAnsi="Times New Roman" w:cs="Times New Roman"/>
          <w:snapToGrid w:val="0"/>
        </w:rPr>
      </w:pPr>
      <w:r>
        <w:rPr>
          <w:rFonts w:hint="default" w:ascii="Times New Roman" w:hAnsi="Times New Roman" w:cs="Times New Roman"/>
          <w:snapToGrid w:val="0"/>
        </w:rPr>
        <w:t>以习近平新时代中国特色社会主义思想为指导，深入贯彻党的二十大和二十届历次全会精神，完整准确全面贯彻新发展理念，深入践行“四个革命、一个合作”能源安全新战略。立足湖南“一带一部”的区位优势和资源禀赋，锚定碳达峰碳中和目标，以构建新型能源体系为统领，紧紧围绕全省能源发展总体布局，坚持系统观念，持续提高可再生能源供给比例，加快提升安全可靠替代能力，全面提高</w:t>
      </w:r>
      <w:r>
        <w:rPr>
          <w:rFonts w:hint="eastAsia" w:cs="Times New Roman"/>
          <w:snapToGrid w:val="0"/>
          <w:lang w:val="en-US" w:eastAsia="zh-CN"/>
        </w:rPr>
        <w:t>可再生</w:t>
      </w:r>
      <w:r>
        <w:rPr>
          <w:rFonts w:hint="default" w:ascii="Times New Roman" w:hAnsi="Times New Roman" w:cs="Times New Roman"/>
          <w:snapToGrid w:val="0"/>
        </w:rPr>
        <w:t>消费水平，壮大技术产业优势，巩固提升保障机制，推动可再生能源实现更大规模更高质量平稳发展，确保如期实现碳达峰碳中和战略目标，锚定“三高四新”美好蓝图，为奋力谱写中国式现代化湖南篇章提供绿色发展动能。</w:t>
      </w:r>
    </w:p>
    <w:p>
      <w:pPr>
        <w:keepNext/>
        <w:keepLines/>
        <w:spacing w:line="570" w:lineRule="atLeast"/>
        <w:ind w:firstLine="640"/>
        <w:outlineLvl w:val="1"/>
        <w:rPr>
          <w:rFonts w:hint="default" w:ascii="Times New Roman" w:hAnsi="Times New Roman" w:eastAsia="黑体" w:cs="Times New Roman"/>
        </w:rPr>
      </w:pPr>
      <w:bookmarkStart w:id="18" w:name="_Toc29795"/>
      <w:bookmarkStart w:id="19" w:name="_Toc9198"/>
      <w:bookmarkStart w:id="20" w:name="_Toc11135"/>
      <w:bookmarkStart w:id="21" w:name="_Toc13396"/>
      <w:bookmarkStart w:id="22" w:name="_Toc12690"/>
      <w:bookmarkStart w:id="23" w:name="_Toc410"/>
      <w:r>
        <w:rPr>
          <w:rFonts w:hint="default" w:ascii="Times New Roman" w:hAnsi="Times New Roman" w:eastAsia="黑体" w:cs="Times New Roman"/>
        </w:rPr>
        <w:fldChar w:fldCharType="begin"/>
      </w:r>
      <w:r>
        <w:rPr>
          <w:rFonts w:hint="default" w:ascii="Times New Roman" w:hAnsi="Times New Roman" w:eastAsia="黑体" w:cs="Times New Roman"/>
        </w:rPr>
        <w:instrText xml:space="preserve"> HYPERLINK \l "_Toc433901741" </w:instrText>
      </w:r>
      <w:r>
        <w:rPr>
          <w:rFonts w:hint="default" w:ascii="Times New Roman" w:hAnsi="Times New Roman" w:eastAsia="黑体" w:cs="Times New Roman"/>
        </w:rPr>
        <w:fldChar w:fldCharType="separate"/>
      </w:r>
      <w:r>
        <w:rPr>
          <w:rFonts w:hint="default" w:ascii="Times New Roman" w:hAnsi="Times New Roman" w:eastAsia="黑体" w:cs="Times New Roman"/>
        </w:rPr>
        <w:t>二、发展目标</w:t>
      </w:r>
      <w:r>
        <w:rPr>
          <w:rFonts w:hint="default" w:ascii="Times New Roman" w:hAnsi="Times New Roman" w:eastAsia="黑体" w:cs="Times New Roman"/>
        </w:rPr>
        <w:fldChar w:fldCharType="end"/>
      </w:r>
      <w:bookmarkEnd w:id="18"/>
      <w:bookmarkEnd w:id="19"/>
      <w:bookmarkEnd w:id="20"/>
      <w:bookmarkEnd w:id="21"/>
      <w:bookmarkEnd w:id="22"/>
      <w:bookmarkEnd w:id="23"/>
    </w:p>
    <w:p>
      <w:pPr>
        <w:pStyle w:val="7"/>
        <w:overflowPunct w:val="0"/>
        <w:spacing w:line="560" w:lineRule="exact"/>
        <w:ind w:firstLine="640"/>
        <w:rPr>
          <w:rFonts w:hint="default" w:ascii="Times New Roman" w:hAnsi="Times New Roman" w:cs="Times New Roman"/>
          <w:snapToGrid w:val="0"/>
        </w:rPr>
      </w:pPr>
      <w:r>
        <w:rPr>
          <w:rFonts w:hint="default" w:ascii="Times New Roman" w:hAnsi="Times New Roman" w:cs="Times New Roman"/>
          <w:snapToGrid w:val="0"/>
        </w:rPr>
        <w:t>“十五五”期间，可再生能源逐步成为我省能源供应增量主体，安全可靠替代能力逐步提升，技术、产业、市场竞争力全面增强，行业政策体系逐步完善，推动经济社会发展全面绿色转型，支撑湖南特色新型能源体系初步建成，助力碳达峰目标顺利实现。</w:t>
      </w:r>
    </w:p>
    <w:tbl>
      <w:tblPr>
        <w:tblStyle w:val="13"/>
        <w:tblW w:w="5000"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13"/>
        <w:gridCol w:w="1410"/>
        <w:gridCol w:w="1739"/>
        <w:gridCol w:w="1542"/>
        <w:gridCol w:w="13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5000" w:type="pct"/>
            <w:gridSpan w:val="5"/>
            <w:tcMar>
              <w:left w:w="28" w:type="dxa"/>
              <w:right w:w="28" w:type="dxa"/>
            </w:tcMar>
            <w:vAlign w:val="center"/>
          </w:tcPr>
          <w:p>
            <w:pPr>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pacing w:val="-3"/>
                <w:sz w:val="28"/>
                <w:szCs w:val="28"/>
              </w:rPr>
              <w:t>专栏1  “十五五”可再生能源发展主要指标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pStyle w:val="17"/>
              <w:tabs>
                <w:tab w:val="left" w:pos="1680"/>
              </w:tabs>
              <w:topLinePunct/>
              <w:adjustRightInd w:val="0"/>
              <w:snapToGrid w:val="0"/>
              <w:spacing w:line="240" w:lineRule="auto"/>
              <w:ind w:left="0" w:firstLine="0" w:firstLineChars="0"/>
              <w:jc w:val="center"/>
              <w:rPr>
                <w:rFonts w:hint="default" w:ascii="Times New Roman" w:hAnsi="Times New Roman" w:eastAsia="黑体" w:cs="Times New Roman"/>
                <w:snapToGrid w:val="0"/>
                <w:sz w:val="24"/>
                <w:lang w:val="en-US"/>
              </w:rPr>
            </w:pPr>
            <w:r>
              <w:rPr>
                <w:rFonts w:hint="default" w:ascii="Times New Roman" w:hAnsi="Times New Roman" w:eastAsia="黑体" w:cs="Times New Roman"/>
                <w:snapToGrid w:val="0"/>
                <w:sz w:val="24"/>
                <w:lang w:val="en-US"/>
              </w:rPr>
              <w:t>主要指标</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单位</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2025年</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2030年</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属性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可再生能源消费总量</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万吨标煤</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4658</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6200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可再生能源发电装机</w:t>
            </w:r>
            <w:r>
              <w:rPr>
                <w:rStyle w:val="16"/>
                <w:rFonts w:hint="default" w:ascii="Times New Roman" w:hAnsi="Times New Roman" w:eastAsia="黑体" w:cs="Times New Roman"/>
                <w:snapToGrid w:val="0"/>
                <w:sz w:val="24"/>
              </w:rPr>
              <w:footnoteReference w:id="0"/>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6042</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8590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其中：水电</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1687</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1720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抽水蓄能</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120</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800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风电</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1317</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2200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光伏</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2774</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3700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生物质发电</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万千瓦</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144</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170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风电、光伏发电量</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亿千瓦时</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461</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700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bookmarkStart w:id="24" w:name="_Toc30572"/>
            <w:r>
              <w:rPr>
                <w:rFonts w:hint="default" w:ascii="Times New Roman" w:hAnsi="Times New Roman" w:eastAsia="黑体" w:cs="Times New Roman"/>
                <w:snapToGrid w:val="0"/>
                <w:sz w:val="24"/>
              </w:rPr>
              <w:t>可再生能源发电量</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亿千瓦时</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1005</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1300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可再生能源电力消纳责任权重</w:t>
            </w:r>
            <w:r>
              <w:rPr>
                <w:rStyle w:val="16"/>
                <w:rFonts w:hint="default" w:ascii="Times New Roman" w:hAnsi="Times New Roman" w:eastAsia="黑体" w:cs="Times New Roman"/>
                <w:snapToGrid w:val="0"/>
                <w:sz w:val="24"/>
              </w:rPr>
              <w:footnoteReference w:id="1"/>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53.1</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55.4</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约束性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非水可再生能源电力消纳责任权重</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28.0</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34.6</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约束性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年度新增用电量中新增清洁电量占比</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32.5</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100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全省风电光伏（含配建储能）平均置信出力</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5</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8</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10" w:hRule="atLeast"/>
        </w:trPr>
        <w:tc>
          <w:tcPr>
            <w:tcW w:w="1591" w:type="pct"/>
            <w:tcMar>
              <w:left w:w="28" w:type="dxa"/>
              <w:right w:w="28" w:type="dxa"/>
            </w:tcMar>
            <w:vAlign w:val="center"/>
          </w:tcPr>
          <w:p>
            <w:pPr>
              <w:topLinePunct/>
              <w:adjustRightInd w:val="0"/>
              <w:snapToGrid w:val="0"/>
              <w:spacing w:line="240" w:lineRule="auto"/>
              <w:ind w:firstLine="0" w:firstLineChars="0"/>
              <w:jc w:val="left"/>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负荷高峰时段全省风光（含配建储能）置信出力占装机规模比例</w:t>
            </w:r>
          </w:p>
        </w:tc>
        <w:tc>
          <w:tcPr>
            <w:tcW w:w="797"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983"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w:t>
            </w:r>
          </w:p>
        </w:tc>
        <w:tc>
          <w:tcPr>
            <w:tcW w:w="872"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10</w:t>
            </w:r>
          </w:p>
        </w:tc>
        <w:tc>
          <w:tcPr>
            <w:tcW w:w="754" w:type="pct"/>
            <w:tcMar>
              <w:left w:w="28" w:type="dxa"/>
              <w:right w:w="28" w:type="dxa"/>
            </w:tcMar>
            <w:vAlign w:val="center"/>
          </w:tcPr>
          <w:p>
            <w:pPr>
              <w:topLinePunct/>
              <w:adjustRightInd w:val="0"/>
              <w:snapToGrid w:val="0"/>
              <w:spacing w:line="240" w:lineRule="auto"/>
              <w:ind w:firstLine="0" w:firstLineChars="0"/>
              <w:jc w:val="center"/>
              <w:rPr>
                <w:rFonts w:hint="default" w:ascii="Times New Roman" w:hAnsi="Times New Roman" w:eastAsia="黑体" w:cs="Times New Roman"/>
                <w:snapToGrid w:val="0"/>
                <w:sz w:val="24"/>
              </w:rPr>
            </w:pPr>
            <w:r>
              <w:rPr>
                <w:rFonts w:hint="default" w:ascii="Times New Roman" w:hAnsi="Times New Roman" w:eastAsia="黑体" w:cs="Times New Roman"/>
                <w:snapToGrid w:val="0"/>
                <w:sz w:val="24"/>
              </w:rPr>
              <w:t>预期性</w:t>
            </w:r>
          </w:p>
        </w:tc>
      </w:tr>
    </w:tbl>
    <w:p>
      <w:pPr>
        <w:pStyle w:val="3"/>
        <w:keepNext/>
        <w:keepLines/>
        <w:numPr>
          <w:ilvl w:val="255"/>
          <w:numId w:val="0"/>
        </w:numPr>
        <w:spacing w:line="596" w:lineRule="exact"/>
        <w:jc w:val="center"/>
        <w:rPr>
          <w:rFonts w:hint="default" w:ascii="Times New Roman" w:hAnsi="Times New Roman" w:eastAsia="方正小标宋简体" w:cs="Times New Roman"/>
          <w:kern w:val="44"/>
          <w:sz w:val="42"/>
          <w:szCs w:val="24"/>
          <w:lang w:val="en-US" w:bidi="ar-SA"/>
        </w:rPr>
      </w:pPr>
      <w:r>
        <w:rPr>
          <w:rFonts w:hint="default" w:ascii="Times New Roman" w:hAnsi="Times New Roman" w:cs="Times New Roman"/>
          <w:szCs w:val="32"/>
        </w:rPr>
        <w:br w:type="page"/>
      </w:r>
      <w:bookmarkStart w:id="25" w:name="_Toc2966"/>
      <w:bookmarkStart w:id="26" w:name="_Toc5616"/>
      <w:bookmarkStart w:id="27" w:name="_Toc19950"/>
      <w:bookmarkStart w:id="28" w:name="_Toc14248"/>
      <w:bookmarkStart w:id="29" w:name="_Toc11973"/>
      <w:bookmarkStart w:id="30" w:name="_Toc14130"/>
      <w:bookmarkStart w:id="31" w:name="_Toc28382"/>
      <w:bookmarkStart w:id="32" w:name="_Toc8998"/>
      <w:bookmarkStart w:id="33" w:name="_Toc29208"/>
      <w:bookmarkStart w:id="34" w:name="_Toc16008"/>
      <w:bookmarkStart w:id="35" w:name="_Toc7146"/>
      <w:bookmarkStart w:id="36" w:name="_Toc7492"/>
      <w:r>
        <w:rPr>
          <w:rFonts w:hint="default" w:ascii="Times New Roman" w:hAnsi="Times New Roman" w:eastAsia="方正小标宋简体" w:cs="Times New Roman"/>
          <w:kern w:val="44"/>
          <w:sz w:val="42"/>
          <w:szCs w:val="24"/>
          <w:lang w:val="en-US" w:bidi="ar-SA"/>
        </w:rPr>
        <w:fldChar w:fldCharType="begin"/>
      </w:r>
      <w:r>
        <w:rPr>
          <w:rFonts w:hint="default" w:ascii="Times New Roman" w:hAnsi="Times New Roman" w:eastAsia="方正小标宋简体" w:cs="Times New Roman"/>
          <w:kern w:val="44"/>
          <w:sz w:val="42"/>
          <w:szCs w:val="24"/>
          <w:lang w:val="en-US" w:bidi="ar-SA"/>
        </w:rPr>
        <w:instrText xml:space="preserve"> HYPERLINK \l "_Toc433901738" </w:instrText>
      </w:r>
      <w:r>
        <w:rPr>
          <w:rFonts w:hint="default" w:ascii="Times New Roman" w:hAnsi="Times New Roman" w:eastAsia="方正小标宋简体" w:cs="Times New Roman"/>
          <w:kern w:val="44"/>
          <w:sz w:val="42"/>
          <w:szCs w:val="24"/>
          <w:lang w:val="en-US" w:bidi="ar-SA"/>
        </w:rPr>
        <w:fldChar w:fldCharType="separate"/>
      </w:r>
      <w:r>
        <w:rPr>
          <w:rFonts w:hint="default" w:ascii="Times New Roman" w:hAnsi="Times New Roman" w:eastAsia="方正小标宋简体" w:cs="Times New Roman"/>
          <w:kern w:val="44"/>
          <w:sz w:val="42"/>
          <w:szCs w:val="24"/>
          <w:lang w:val="en-US" w:bidi="ar-SA"/>
        </w:rPr>
        <w:t xml:space="preserve">第二章  </w:t>
      </w:r>
      <w:r>
        <w:rPr>
          <w:rFonts w:hint="default" w:ascii="Times New Roman" w:hAnsi="Times New Roman" w:eastAsia="方正小标宋简体" w:cs="Times New Roman"/>
          <w:kern w:val="44"/>
          <w:sz w:val="42"/>
          <w:szCs w:val="24"/>
          <w:lang w:val="en-US" w:bidi="ar-SA"/>
        </w:rPr>
        <w:fldChar w:fldCharType="end"/>
      </w:r>
      <w:r>
        <w:rPr>
          <w:rFonts w:hint="default" w:ascii="Times New Roman" w:hAnsi="Times New Roman" w:eastAsia="方正小标宋简体" w:cs="Times New Roman"/>
          <w:kern w:val="44"/>
          <w:sz w:val="42"/>
          <w:szCs w:val="24"/>
          <w:lang w:val="en-US" w:bidi="ar-SA"/>
        </w:rPr>
        <w:t>重点任务</w:t>
      </w:r>
      <w:bookmarkEnd w:id="25"/>
      <w:bookmarkEnd w:id="26"/>
      <w:bookmarkEnd w:id="27"/>
      <w:bookmarkEnd w:id="28"/>
      <w:bookmarkEnd w:id="29"/>
      <w:bookmarkEnd w:id="30"/>
    </w:p>
    <w:bookmarkEnd w:id="24"/>
    <w:bookmarkEnd w:id="31"/>
    <w:bookmarkEnd w:id="32"/>
    <w:bookmarkEnd w:id="33"/>
    <w:bookmarkEnd w:id="34"/>
    <w:bookmarkEnd w:id="35"/>
    <w:bookmarkEnd w:id="36"/>
    <w:p>
      <w:pPr>
        <w:pStyle w:val="7"/>
        <w:ind w:firstLine="640"/>
        <w:jc w:val="left"/>
        <w:rPr>
          <w:rFonts w:hint="default" w:ascii="Times New Roman" w:hAnsi="Times New Roman" w:cs="Times New Roman"/>
        </w:rPr>
      </w:pPr>
      <w:bookmarkStart w:id="37" w:name="OLE_LINK113"/>
      <w:bookmarkStart w:id="38" w:name="_Toc30953"/>
      <w:bookmarkStart w:id="39" w:name="_Toc7371"/>
      <w:bookmarkStart w:id="40" w:name="_Toc18811"/>
      <w:bookmarkStart w:id="41" w:name="_Toc25511"/>
      <w:bookmarkStart w:id="42" w:name="_Toc19857"/>
      <w:bookmarkStart w:id="43" w:name="_Toc6205"/>
      <w:bookmarkStart w:id="44" w:name="_Toc32173"/>
    </w:p>
    <w:p>
      <w:pPr>
        <w:pStyle w:val="7"/>
        <w:ind w:firstLine="640"/>
        <w:jc w:val="left"/>
        <w:rPr>
          <w:rFonts w:hint="default" w:ascii="Times New Roman" w:hAnsi="Times New Roman" w:eastAsia="楷体_GB2312" w:cs="Times New Roman"/>
          <w:snapToGrid w:val="0"/>
        </w:rPr>
      </w:pPr>
      <w:r>
        <w:rPr>
          <w:rFonts w:hint="default" w:ascii="Times New Roman" w:hAnsi="Times New Roman" w:cs="Times New Roman"/>
        </w:rPr>
        <w:t>“十五五”时期，围绕可再生能源供给能力、替代水平、消费潜力、产业优势、高效治理五个方面，着力构建湖南特色可再生能源体系。</w:t>
      </w:r>
      <w:bookmarkEnd w:id="37"/>
    </w:p>
    <w:p>
      <w:pPr>
        <w:pStyle w:val="4"/>
        <w:keepLines/>
        <w:numPr>
          <w:ilvl w:val="0"/>
          <w:numId w:val="0"/>
        </w:numPr>
        <w:ind w:firstLine="640" w:firstLineChars="200"/>
        <w:rPr>
          <w:rFonts w:hint="default" w:ascii="Times New Roman" w:hAnsi="Times New Roman" w:eastAsia="黑体" w:cs="Times New Roman"/>
          <w:b w:val="0"/>
          <w:bCs w:val="0"/>
          <w:szCs w:val="24"/>
          <w:lang w:val="en-US" w:bidi="ar-SA"/>
        </w:rPr>
      </w:pPr>
      <w:bookmarkStart w:id="45" w:name="_Toc10700"/>
      <w:r>
        <w:rPr>
          <w:rFonts w:hint="default" w:ascii="Times New Roman" w:hAnsi="Times New Roman" w:eastAsia="黑体" w:cs="Times New Roman"/>
          <w:b w:val="0"/>
          <w:bCs w:val="0"/>
          <w:szCs w:val="24"/>
          <w:lang w:val="en-US" w:bidi="ar-SA"/>
        </w:rPr>
        <w:t>一、全力扩大可再生能源</w:t>
      </w:r>
      <w:bookmarkEnd w:id="38"/>
      <w:r>
        <w:rPr>
          <w:rFonts w:hint="default" w:ascii="Times New Roman" w:hAnsi="Times New Roman" w:eastAsia="黑体" w:cs="Times New Roman"/>
          <w:b w:val="0"/>
          <w:bCs w:val="0"/>
          <w:szCs w:val="24"/>
          <w:lang w:val="en-US" w:bidi="ar-SA"/>
        </w:rPr>
        <w:t>供给能力</w:t>
      </w:r>
      <w:bookmarkEnd w:id="39"/>
      <w:bookmarkEnd w:id="40"/>
      <w:bookmarkEnd w:id="41"/>
      <w:bookmarkEnd w:id="42"/>
      <w:bookmarkEnd w:id="43"/>
      <w:bookmarkEnd w:id="44"/>
      <w:bookmarkEnd w:id="45"/>
    </w:p>
    <w:p>
      <w:pPr>
        <w:keepNext/>
        <w:keepLines/>
        <w:numPr>
          <w:ilvl w:val="2"/>
          <w:numId w:val="1"/>
        </w:numPr>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推进风电积极有序发展</w:t>
      </w:r>
    </w:p>
    <w:p>
      <w:pPr>
        <w:ind w:firstLine="643"/>
        <w:rPr>
          <w:rFonts w:hint="default" w:ascii="Times New Roman" w:hAnsi="Times New Roman" w:cs="Times New Roman"/>
          <w:snapToGrid w:val="0"/>
          <w:szCs w:val="32"/>
          <w:lang w:bidi="zh-CN"/>
        </w:rPr>
      </w:pPr>
      <w:r>
        <w:rPr>
          <w:rFonts w:hint="default" w:ascii="Times New Roman" w:hAnsi="Times New Roman" w:cs="Times New Roman"/>
          <w:b/>
          <w:bCs/>
          <w:snapToGrid w:val="0"/>
          <w:szCs w:val="32"/>
          <w:lang w:bidi="zh-CN"/>
        </w:rPr>
        <w:t>有序推进集中式风电规模化开发。</w:t>
      </w:r>
      <w:r>
        <w:rPr>
          <w:rFonts w:hint="default" w:ascii="Times New Roman" w:hAnsi="Times New Roman" w:cs="Times New Roman"/>
          <w:snapToGrid w:val="0"/>
          <w:szCs w:val="32"/>
          <w:lang w:bidi="zh-CN"/>
        </w:rPr>
        <w:t>提升全省风能资源普查精度，统筹风能资源禀赋、土地空间利用、电网接入条件及消纳能力等核心要素，协同推进南部山地风电与北部平原风电开发。支持风电设施与灵活可靠储能设备集成化设计、一体化建设，积极推广构网型风电应用，提高新能源电站顶峰供电能力和可靠替代水平。严格落实集中式风电项目开发时序管理要求，优先推动资源条件优良、消纳空间充裕、前期工作成熟的项目建设。以“千乡万村驭风行动”试点项目为示范，因地制宜推动乡村风电示范化发展。到2030年，全省风电装机容量超过2200万千瓦。</w:t>
      </w:r>
    </w:p>
    <w:p>
      <w:pPr>
        <w:ind w:firstLine="643"/>
        <w:rPr>
          <w:rFonts w:hint="default" w:ascii="Times New Roman" w:hAnsi="Times New Roman" w:cs="Times New Roman"/>
        </w:rPr>
      </w:pPr>
      <w:r>
        <w:rPr>
          <w:rFonts w:hint="default" w:ascii="Times New Roman" w:hAnsi="Times New Roman" w:cs="Times New Roman"/>
          <w:b/>
          <w:bCs/>
          <w:snapToGrid w:val="0"/>
          <w:szCs w:val="32"/>
          <w:lang w:bidi="zh-CN"/>
        </w:rPr>
        <w:t>系统推进老旧风电场提质改造。</w:t>
      </w:r>
      <w:r>
        <w:rPr>
          <w:rFonts w:hint="default" w:ascii="Times New Roman" w:hAnsi="Times New Roman" w:cs="Times New Roman"/>
          <w:snapToGrid w:val="0"/>
          <w:szCs w:val="32"/>
          <w:lang w:bidi="zh-CN"/>
        </w:rPr>
        <w:t>聚焦符合条件的老旧风电场，建立改造项目清单化管理机制，优先支持风能资源禀赋优良、区域消纳能力强的项目实施提质改造。推广应用高塔筒、长叶片等先进适用技术，提升单位面积土地利用效率和年利用小时数，提高存量风电项目经济效益。对利用小时数偏低、设备故障频发的老旧风电场，开展智能化运维改造与性能优化，充分释放存量</w:t>
      </w:r>
      <w:r>
        <w:rPr>
          <w:rFonts w:hint="eastAsia" w:cs="Times New Roman"/>
          <w:snapToGrid w:val="0"/>
          <w:szCs w:val="32"/>
          <w:lang w:val="en-US" w:bidi="zh-CN"/>
        </w:rPr>
        <w:t>项目</w:t>
      </w:r>
      <w:r>
        <w:rPr>
          <w:rFonts w:hint="default" w:ascii="Times New Roman" w:hAnsi="Times New Roman" w:cs="Times New Roman"/>
          <w:snapToGrid w:val="0"/>
          <w:szCs w:val="32"/>
          <w:lang w:bidi="zh-CN"/>
        </w:rPr>
        <w:t>发电潜力。</w:t>
      </w:r>
      <w:r>
        <w:rPr>
          <w:rFonts w:hint="default" w:ascii="Times New Roman" w:hAnsi="Times New Roman" w:cs="Times New Roman"/>
          <w:kern w:val="0"/>
          <w:sz w:val="31"/>
          <w:szCs w:val="31"/>
          <w:lang w:bidi="ar"/>
        </w:rPr>
        <w:t>有序推进易覆冰风电场抗冰改造。</w:t>
      </w:r>
    </w:p>
    <w:p>
      <w:pPr>
        <w:keepNext/>
        <w:keepLines/>
        <w:numPr>
          <w:ilvl w:val="2"/>
          <w:numId w:val="1"/>
        </w:numPr>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推动光伏发电多场景多元化发展</w:t>
      </w:r>
    </w:p>
    <w:p>
      <w:pPr>
        <w:pStyle w:val="12"/>
        <w:snapToGrid/>
        <w:ind w:firstLine="642" w:firstLineChars="200"/>
        <w:rPr>
          <w:rFonts w:hint="default" w:ascii="Times New Roman" w:hAnsi="Times New Roman" w:cs="Times New Roman"/>
          <w:snapToGrid w:val="0"/>
          <w:szCs w:val="32"/>
          <w:lang w:bidi="zh-CN"/>
        </w:rPr>
      </w:pPr>
      <w:r>
        <w:rPr>
          <w:rFonts w:hint="default" w:ascii="Times New Roman" w:hAnsi="Times New Roman" w:cs="Times New Roman"/>
          <w:b/>
          <w:bCs/>
        </w:rPr>
        <w:t>拓展集中式“复合型光伏”应用场景。</w:t>
      </w:r>
      <w:r>
        <w:rPr>
          <w:rFonts w:hint="default" w:ascii="Times New Roman" w:hAnsi="Times New Roman" w:cs="Times New Roman"/>
          <w:snapToGrid w:val="0"/>
          <w:szCs w:val="32"/>
          <w:lang w:bidi="zh-CN"/>
        </w:rPr>
        <w:t>科学谋划集中式光伏项目布局，统筹推进“农光互补”“渔光互补”等模式的复合型光伏项目建设。落实复合型光伏项目建设要求，全面评估站址现状及复合型规划，合理划定项目建设范围。建立集中式复合型光伏项目长效监测机制，加强项目投产后复合型产业发展情况跟踪与监测，持续提升项目综合效益。有序开展老旧光伏电站评估，支持实施高效组件、逆变器更新、智能化运维及构网型改造。</w:t>
      </w:r>
    </w:p>
    <w:p>
      <w:pPr>
        <w:ind w:firstLine="643"/>
        <w:rPr>
          <w:rFonts w:hint="default" w:ascii="Times New Roman" w:hAnsi="Times New Roman" w:cs="Times New Roman"/>
          <w:snapToGrid w:val="0"/>
          <w:szCs w:val="32"/>
          <w:lang w:bidi="zh-CN"/>
        </w:rPr>
      </w:pPr>
      <w:r>
        <w:rPr>
          <w:rFonts w:hint="default" w:ascii="Times New Roman" w:hAnsi="Times New Roman" w:cs="Times New Roman"/>
          <w:b/>
          <w:bCs/>
        </w:rPr>
        <w:t>推动分布式光伏多元融合。</w:t>
      </w:r>
      <w:r>
        <w:rPr>
          <w:rFonts w:hint="default" w:ascii="Times New Roman" w:hAnsi="Times New Roman" w:cs="Times New Roman"/>
          <w:snapToGrid w:val="0"/>
          <w:szCs w:val="32"/>
          <w:lang w:bidi="zh-CN"/>
        </w:rPr>
        <w:t>严格落实分布式光伏发电开发建设管理办法要求，压实县（市、区）行业管理部门和电网企业责任，进一步规范分布式光伏行业管理，促进分布式光伏就近就地开发利用。推动分布式光伏与交通、建筑、新基建等领域融合互动发展，因地制宜推进分布式新能源与储能融合建设。进一步规范分布式光伏行业管理，严格落实可开放容量管理要求，按季度发布分布式光伏承载力及可开放容量计算结果。研究构建分布式光伏发展速率预测模型，建立监测机制，加大分布式光伏政策宣传，引导分布式光伏科学有序发展。到2030年，全省光伏装机容量突破3700万千瓦，其中分布式光伏每年新增约150万千瓦。</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blHeader/>
        </w:trPr>
        <w:tc>
          <w:tcPr>
            <w:tcW w:w="5000" w:type="pct"/>
          </w:tcPr>
          <w:p>
            <w:pPr>
              <w:pStyle w:val="12"/>
              <w:ind w:firstLine="0" w:firstLineChars="0"/>
              <w:jc w:val="center"/>
              <w:rPr>
                <w:rFonts w:hint="default" w:ascii="Times New Roman" w:hAnsi="Times New Roman" w:cs="Times New Roman"/>
                <w:b/>
                <w:bCs/>
                <w:sz w:val="28"/>
                <w:szCs w:val="28"/>
              </w:rPr>
            </w:pPr>
            <w:r>
              <w:rPr>
                <w:rFonts w:hint="default" w:ascii="Times New Roman" w:hAnsi="Times New Roman" w:eastAsia="黑体" w:cs="Times New Roman"/>
                <w:sz w:val="28"/>
                <w:szCs w:val="28"/>
              </w:rPr>
              <w:t>专栏2  分布式新能源多元化创新工程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千乡万村驭风行动</w:t>
            </w:r>
            <w:r>
              <w:rPr>
                <w:rFonts w:hint="default" w:ascii="Times New Roman" w:hAnsi="Times New Roman" w:cs="Times New Roman"/>
                <w:sz w:val="28"/>
                <w:szCs w:val="28"/>
              </w:rPr>
              <w:t>。以沅陵县“千乡万村驭风行动”试点项目为代表，积极推进分散式风电开发，统筹推动乡村风电建设，创新风电与乡村振兴融合发展机制，推动风电就地就近开发利用。重点探索“村企合作、共建共享”等机制。试点项目成熟后，严格按照“统一部署、分步推广、实事求是、优质高效”的原则，在具备条件的地区有序推广实施。严格控制单个行政村装机规模，原则上不超过2万千瓦，着力打造“村里有风电、集体增收益、村民得实惠”的示范样板，推动乡村风电赋能乡村全面振兴。</w:t>
            </w:r>
          </w:p>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建筑领域分布式光伏一体化开发与综合利用</w:t>
            </w:r>
            <w:r>
              <w:rPr>
                <w:rFonts w:hint="default" w:ascii="Times New Roman" w:hAnsi="Times New Roman" w:cs="Times New Roman"/>
                <w:sz w:val="28"/>
                <w:szCs w:val="28"/>
              </w:rPr>
              <w:t>。推动光伏建筑融合发展，鼓励在有条件的公共机构、商业设施等既有建筑物及其附属场所加装分布式光伏，推进新建公共建筑安装分布式光伏，推动城镇、乡村居民利用自有住宅、庭院建设分布式光伏，开展光伏建筑一体化试点并逐步推广，推进分布式光伏在建筑节能领域应用。</w:t>
            </w:r>
          </w:p>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分布式可再生能源与农业农村融合发展</w:t>
            </w:r>
            <w:r>
              <w:rPr>
                <w:rFonts w:hint="default" w:ascii="Times New Roman" w:hAnsi="Times New Roman" w:cs="Times New Roman"/>
                <w:sz w:val="28"/>
                <w:szCs w:val="28"/>
              </w:rPr>
              <w:t>。加强农村可再生能源多元化开发利用，推动分布式光伏在乡村地区广泛开发利用，支持农户利用自有住宅、庭院等建设光伏系统。</w:t>
            </w:r>
          </w:p>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分布式可再生能源与交通领域多场景融合</w:t>
            </w:r>
            <w:r>
              <w:rPr>
                <w:rFonts w:hint="eastAsia" w:cs="Times New Roman"/>
                <w:sz w:val="28"/>
                <w:szCs w:val="28"/>
                <w:lang w:eastAsia="zh-CN"/>
              </w:rPr>
              <w:t>。</w:t>
            </w:r>
            <w:r>
              <w:rPr>
                <w:rFonts w:hint="default" w:ascii="Times New Roman" w:hAnsi="Times New Roman" w:cs="Times New Roman"/>
                <w:sz w:val="28"/>
                <w:szCs w:val="28"/>
              </w:rPr>
              <w:t>结合公路、铁路、港口航道及枢纽场站等基础设施建设和改造，鼓励利用交通基础设施沿线、枢纽场站建设分布式新能源与周边用能一体化设施。积极应用柔性汇集接入、智能微电网、车网互动等技术，拓展交能融合分布式新能源开发利用空间。</w:t>
            </w:r>
          </w:p>
        </w:tc>
      </w:tr>
    </w:tbl>
    <w:p>
      <w:pPr>
        <w:keepNext/>
        <w:keepLines/>
        <w:numPr>
          <w:ilvl w:val="2"/>
          <w:numId w:val="1"/>
        </w:numPr>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推进水电挖潜提质</w:t>
      </w:r>
    </w:p>
    <w:p>
      <w:pPr>
        <w:ind w:firstLine="640"/>
        <w:rPr>
          <w:rFonts w:hint="default" w:ascii="Times New Roman" w:hAnsi="Times New Roman" w:cs="Times New Roman"/>
          <w:strike/>
          <w:szCs w:val="32"/>
        </w:rPr>
      </w:pPr>
      <w:r>
        <w:rPr>
          <w:rFonts w:hint="default" w:ascii="Times New Roman" w:hAnsi="Times New Roman" w:cs="Times New Roman"/>
          <w:kern w:val="0"/>
          <w:szCs w:val="32"/>
          <w:lang w:bidi="ar"/>
        </w:rPr>
        <w:t>全面开展全省水电更新改造潜力摸底调查，进一步挖掘水电项目的扩容潜力，加快推动扩机项目的前期勘察与可行性研究，加强站址资源保护，将潜在扩机站点纳入规划管控范围。鼓励水电站提质改造、扩机增容，积极争取超长期特别国债和财政贴息等政策性资金支持。研究推广运用人工智能、大数据分析等新一代信息技术，构建智慧水电调度平台。通过对沅水、资水、澧水、湘江等主要流域水电站群的协同调度，优化水资源配置，提升整体水能利用率。推动小水电绿色转型高质量发展，推进小水电智能化改造、集约化运行、标准化管理，实现电站调节能力提升与运行效率优化。</w:t>
      </w:r>
    </w:p>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5000" w:type="pct"/>
          </w:tcPr>
          <w:p>
            <w:pPr>
              <w:pStyle w:val="12"/>
              <w:ind w:firstLine="0" w:firstLineChars="0"/>
              <w:jc w:val="center"/>
              <w:rPr>
                <w:rFonts w:hint="default" w:ascii="Times New Roman" w:hAnsi="Times New Roman" w:cs="Times New Roman"/>
                <w:b/>
                <w:bCs/>
                <w:sz w:val="28"/>
                <w:szCs w:val="28"/>
              </w:rPr>
            </w:pPr>
            <w:r>
              <w:rPr>
                <w:rFonts w:hint="default" w:ascii="Times New Roman" w:hAnsi="Times New Roman" w:eastAsia="黑体" w:cs="Times New Roman"/>
                <w:sz w:val="28"/>
                <w:szCs w:val="28"/>
              </w:rPr>
              <w:t>专栏3  水电增容提质改造工程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tcPr>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有序推进省内水电扩机增容</w:t>
            </w:r>
            <w:r>
              <w:rPr>
                <w:rFonts w:hint="default" w:ascii="Times New Roman" w:hAnsi="Times New Roman" w:cs="Times New Roman"/>
                <w:sz w:val="28"/>
                <w:szCs w:val="28"/>
              </w:rPr>
              <w:t>，组织开展全省水电扩机增容潜力研究，坚持流域上下游、左右岸一体统筹，重点在水电开发程度较高的流域，支持建设系统有需求、电站有条件、要素有保障的水电扩机项目，加快推动柘溪、凤滩等大型水电站对原有机组进行升级改造扩容。</w:t>
            </w:r>
          </w:p>
          <w:p>
            <w:pPr>
              <w:snapToGrid w:val="0"/>
              <w:spacing w:line="480" w:lineRule="exact"/>
              <w:ind w:firstLine="562"/>
              <w:contextualSpacing/>
              <w:rPr>
                <w:rFonts w:hint="default" w:ascii="Times New Roman" w:hAnsi="Times New Roman" w:cs="Times New Roman"/>
                <w:sz w:val="28"/>
                <w:szCs w:val="28"/>
              </w:rPr>
            </w:pPr>
            <w:r>
              <w:rPr>
                <w:rFonts w:hint="default" w:ascii="Times New Roman" w:hAnsi="Times New Roman" w:cs="Times New Roman"/>
                <w:b/>
                <w:bCs/>
                <w:sz w:val="28"/>
                <w:szCs w:val="28"/>
              </w:rPr>
              <w:t>因地制宜实施老旧水电机组设备更新提质改造，</w:t>
            </w:r>
            <w:r>
              <w:rPr>
                <w:rFonts w:hint="default" w:ascii="Times New Roman" w:hAnsi="Times New Roman" w:cs="Times New Roman"/>
                <w:sz w:val="28"/>
                <w:szCs w:val="28"/>
              </w:rPr>
              <w:t>统筹兼顾防洪、生态、供水、灌溉、航运等方面的需要，科学有序推进江垭、筱溪等老旧水电站提质改造建设，提升水电机组发电效率和智能化运行水平。挖掘既有水电调节潜力，有序开展灵活性提升改造，增加电力系统绿色调节能力。</w:t>
            </w:r>
          </w:p>
        </w:tc>
      </w:tr>
    </w:tbl>
    <w:p>
      <w:pPr>
        <w:numPr>
          <w:ilvl w:val="2"/>
          <w:numId w:val="1"/>
        </w:num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推动生物质发电高效利用</w:t>
      </w:r>
    </w:p>
    <w:p>
      <w:pPr>
        <w:pStyle w:val="7"/>
        <w:overflowPunct w:val="0"/>
        <w:snapToGrid/>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全面提升生物质燃料预处理水平，推动精细化垃圾分类、厨余垃圾处理、工业固废与生物质掺烧等协同处置方式，提升垃圾焚烧处理能力，提高生活垃圾资源化利用水平。因地制宜推动生物质发电转型升级，积极开展生物质电厂供热改造。推进生物质发电多元高效利用，</w:t>
      </w:r>
      <w:r>
        <w:rPr>
          <w:rFonts w:hint="default" w:ascii="Times New Roman" w:hAnsi="Times New Roman" w:cs="Times New Roman"/>
        </w:rPr>
        <w:t>发挥生物质发电灵活布局优势和支撑调节能力，鼓励新建生物质电站与风电、光伏等集成发展。拓展生物质发电在绿电直连、智能微电网、源网荷储一体化、零碳工业园区等新模式新业态中的应用，提高生物质发电综合利用效益。</w:t>
      </w:r>
    </w:p>
    <w:p>
      <w:pPr>
        <w:numPr>
          <w:ilvl w:val="2"/>
          <w:numId w:val="1"/>
        </w:num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推进可再生能源非电利用</w:t>
      </w:r>
    </w:p>
    <w:p>
      <w:pPr>
        <w:overflowPunct w:val="0"/>
        <w:adjustRightInd w:val="0"/>
        <w:ind w:firstLine="640"/>
        <w:rPr>
          <w:rFonts w:hint="default" w:ascii="Times New Roman" w:hAnsi="Times New Roman" w:cs="Times New Roman"/>
          <w:szCs w:val="32"/>
        </w:rPr>
      </w:pPr>
      <w:r>
        <w:rPr>
          <w:rFonts w:hint="default" w:ascii="Times New Roman" w:hAnsi="Times New Roman" w:cs="Times New Roman"/>
        </w:rPr>
        <w:t>科学推进地热能规模化开发利用，</w:t>
      </w:r>
      <w:r>
        <w:rPr>
          <w:rFonts w:hint="default" w:ascii="Times New Roman" w:hAnsi="Times New Roman" w:cs="Times New Roman"/>
          <w:snapToGrid w:val="0"/>
          <w:szCs w:val="32"/>
        </w:rPr>
        <w:t>推动浅层地热能利用与城市建设集中规划、统一开发，发挥马栏山智慧能源中心、洋湖生态新城等综合能源站点示范优势，因地制宜发展水源和土壤源等热泵，加快推进黄花机场T3航站楼等中深层地热能利用项目。提升清洁氢源供给能力，积极</w:t>
      </w:r>
      <w:r>
        <w:rPr>
          <w:rFonts w:hint="default" w:ascii="Times New Roman" w:hAnsi="Times New Roman" w:cs="Times New Roman"/>
          <w:szCs w:val="32"/>
        </w:rPr>
        <w:t>探索可再生能源制氢氨醇技术应用</w:t>
      </w:r>
      <w:r>
        <w:rPr>
          <w:rFonts w:hint="default" w:ascii="Times New Roman" w:hAnsi="Times New Roman" w:cs="Times New Roman"/>
          <w:snapToGrid w:val="0"/>
          <w:szCs w:val="32"/>
        </w:rPr>
        <w:t>。加快氢能在装备、交通领域的应用推广，布局制氢加氢一体站等设施。推动氢能在可再生能源消纳、电网调峰等领域的应用示范。探索氢能在钢铁、农业、食品、医药等领域的应用，有序推进氢能“制储输用”全链条发展。</w:t>
      </w:r>
      <w:r>
        <w:rPr>
          <w:rFonts w:hint="default" w:ascii="Times New Roman" w:hAnsi="Times New Roman" w:cs="Times New Roman"/>
          <w:szCs w:val="32"/>
        </w:rPr>
        <w:t>鼓励可再生能源供热推广应用，探索工业领域采用风光供热替代化石燃料消费，鼓励应用分布式新能源耦合电热泵等高效供暖技术</w:t>
      </w:r>
      <w:r>
        <w:rPr>
          <w:rFonts w:hint="default" w:ascii="Times New Roman" w:hAnsi="Times New Roman" w:cs="Times New Roman"/>
          <w:spacing w:val="-6"/>
          <w:kern w:val="0"/>
          <w:szCs w:val="32"/>
        </w:rPr>
        <w:t>。因地制宜推进生物质能多元高效利用</w:t>
      </w:r>
      <w:r>
        <w:rPr>
          <w:rFonts w:hint="default" w:ascii="Times New Roman" w:hAnsi="Times New Roman" w:cs="Times New Roman"/>
          <w:szCs w:val="32"/>
        </w:rPr>
        <w:t>，探索开展生物柴油、生物航煤油等非粮生物液体燃料和生物天然气在船舶、航空等领域应用。</w:t>
      </w:r>
    </w:p>
    <w:p>
      <w:pPr>
        <w:pStyle w:val="4"/>
        <w:keepNext w:val="0"/>
        <w:numPr>
          <w:ilvl w:val="0"/>
          <w:numId w:val="0"/>
        </w:numPr>
        <w:overflowPunct w:val="0"/>
        <w:ind w:firstLine="640" w:firstLineChars="200"/>
        <w:rPr>
          <w:rFonts w:hint="default" w:ascii="Times New Roman" w:hAnsi="Times New Roman" w:eastAsia="黑体" w:cs="Times New Roman"/>
          <w:b w:val="0"/>
          <w:bCs w:val="0"/>
          <w:szCs w:val="24"/>
          <w:lang w:val="en-US" w:bidi="ar-SA"/>
        </w:rPr>
      </w:pPr>
      <w:bookmarkStart w:id="46" w:name="_Toc3805"/>
      <w:bookmarkStart w:id="47" w:name="_Toc26273"/>
      <w:bookmarkStart w:id="48" w:name="_Toc10645"/>
      <w:bookmarkStart w:id="49" w:name="_Toc26731"/>
      <w:bookmarkStart w:id="50" w:name="_Toc31360"/>
      <w:bookmarkStart w:id="51" w:name="_Toc1075"/>
      <w:bookmarkStart w:id="52" w:name="_Toc13641"/>
      <w:bookmarkStart w:id="53" w:name="_Toc10693"/>
      <w:r>
        <w:rPr>
          <w:rFonts w:hint="default" w:ascii="Times New Roman" w:hAnsi="Times New Roman" w:eastAsia="黑体" w:cs="Times New Roman"/>
          <w:b w:val="0"/>
          <w:bCs w:val="0"/>
          <w:szCs w:val="24"/>
          <w:lang w:val="en-US" w:bidi="ar-SA"/>
        </w:rPr>
        <w:t>二、提升可再生能源可靠替代</w:t>
      </w:r>
      <w:bookmarkEnd w:id="46"/>
      <w:bookmarkEnd w:id="47"/>
      <w:bookmarkEnd w:id="48"/>
      <w:bookmarkEnd w:id="49"/>
      <w:bookmarkEnd w:id="50"/>
      <w:bookmarkEnd w:id="51"/>
      <w:r>
        <w:rPr>
          <w:rFonts w:hint="default" w:ascii="Times New Roman" w:hAnsi="Times New Roman" w:eastAsia="黑体" w:cs="Times New Roman"/>
          <w:b w:val="0"/>
          <w:bCs w:val="0"/>
          <w:szCs w:val="24"/>
          <w:lang w:val="en-US" w:bidi="ar-SA"/>
        </w:rPr>
        <w:t>水平</w:t>
      </w:r>
      <w:bookmarkEnd w:id="52"/>
    </w:p>
    <w:p>
      <w:pPr>
        <w:numPr>
          <w:ilvl w:val="0"/>
          <w:numId w:val="3"/>
        </w:numPr>
        <w:overflowPunct w:val="0"/>
        <w:autoSpaceDE w:val="0"/>
        <w:autoSpaceDN w:val="0"/>
        <w:adjustRightInd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提升风光电站系统友好性能</w:t>
      </w:r>
    </w:p>
    <w:p>
      <w:pPr>
        <w:overflowPunct w:val="0"/>
        <w:autoSpaceDE w:val="0"/>
        <w:autoSpaceDN w:val="0"/>
        <w:adjustRightInd w:val="0"/>
        <w:ind w:firstLine="640"/>
        <w:rPr>
          <w:rFonts w:hint="default" w:ascii="Times New Roman" w:hAnsi="Times New Roman" w:cs="Times New Roman"/>
        </w:rPr>
      </w:pPr>
      <w:r>
        <w:rPr>
          <w:rFonts w:hint="default" w:ascii="Times New Roman" w:hAnsi="Times New Roman" w:cs="Times New Roman"/>
        </w:rPr>
        <w:t>推动系统友好型风光电站建设，加大先进技术装备应用，支持风电、光伏发电设施与灵活可靠储能设备集成化设计建设，提高新能源对电力系统的安全稳定运行支撑能力。就近布局建设的风电与光伏实施联合功率预测预报与一体化运行。鼓励源网间、电源间数据信息共享，协同发挥新能源电站顶峰供电等可靠替代功能，提高全省新能源电力置信出力水平。</w:t>
      </w:r>
      <w:r>
        <w:rPr>
          <w:rFonts w:hint="default" w:ascii="Times New Roman" w:hAnsi="Times New Roman" w:cs="Times New Roman"/>
          <w:kern w:val="0"/>
          <w:szCs w:val="32"/>
          <w:lang w:bidi="ar"/>
        </w:rPr>
        <w:t>在新能源消纳困难区域积极探索应用构网型设施。</w:t>
      </w:r>
      <w:r>
        <w:rPr>
          <w:rFonts w:hint="default" w:ascii="Times New Roman" w:hAnsi="Times New Roman" w:cs="Times New Roman"/>
        </w:rPr>
        <w:t>积极推动存量风光电站系统友好型升级改造，提高电站储能利用效能、新能源消纳利用水平和市场运营能力。</w:t>
      </w:r>
    </w:p>
    <w:bookmarkEnd w:id="53"/>
    <w:p>
      <w:pPr>
        <w:numPr>
          <w:ilvl w:val="0"/>
          <w:numId w:val="3"/>
        </w:numPr>
        <w:overflowPunct w:val="0"/>
        <w:autoSpaceDE w:val="0"/>
        <w:autoSpaceDN w:val="0"/>
        <w:spacing w:line="576" w:lineRule="exact"/>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提升电力系统调节能力</w:t>
      </w:r>
    </w:p>
    <w:p>
      <w:pPr>
        <w:overflowPunct w:val="0"/>
        <w:spacing w:line="576" w:lineRule="exact"/>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科学有序推进抽水蓄能电站建设，立足电力系统安全稳定运行和调节需要，加快推进平江、安化、汨罗、炎陵、桃源、攸县、江华、辰溪、双牌等抽水蓄能项目建设，力争将我省打造为华中地区多能互补型电力调蓄枢纽。</w:t>
      </w:r>
      <w:r>
        <w:rPr>
          <w:rFonts w:hint="default" w:ascii="Times New Roman" w:hAnsi="Times New Roman" w:cs="Times New Roman"/>
          <w:kern w:val="0"/>
          <w:szCs w:val="32"/>
          <w:lang w:bidi="ar"/>
        </w:rPr>
        <w:t>有序推进常规水电机组调节功能改造，培育电化学、压缩空气、氢（氨）、热（冷）等新型储能多元化场景，开展电源侧、电网侧和用户侧储能在调峰、调频、系统支撑等多场景应用。</w:t>
      </w:r>
    </w:p>
    <w:p>
      <w:pPr>
        <w:numPr>
          <w:ilvl w:val="0"/>
          <w:numId w:val="3"/>
        </w:numPr>
        <w:overflowPunct w:val="0"/>
        <w:spacing w:line="576" w:lineRule="exact"/>
        <w:ind w:firstLine="643"/>
        <w:outlineLvl w:val="2"/>
        <w:rPr>
          <w:rFonts w:hint="default" w:ascii="Times New Roman" w:hAnsi="Times New Roman" w:cs="Times New Roman"/>
          <w:b/>
          <w:bCs/>
          <w:szCs w:val="32"/>
        </w:rPr>
      </w:pPr>
      <w:r>
        <w:rPr>
          <w:rFonts w:hint="default" w:ascii="Times New Roman" w:hAnsi="Times New Roman" w:cs="Times New Roman"/>
          <w:b/>
          <w:bCs/>
          <w:szCs w:val="32"/>
        </w:rPr>
        <w:t>加强适应</w:t>
      </w:r>
      <w:r>
        <w:rPr>
          <w:rFonts w:hint="default" w:ascii="Times New Roman" w:hAnsi="Times New Roman" w:eastAsia="楷体_GB2312" w:cs="Times New Roman"/>
          <w:b/>
          <w:bCs/>
          <w:szCs w:val="32"/>
        </w:rPr>
        <w:t>可再生</w:t>
      </w:r>
      <w:r>
        <w:rPr>
          <w:rFonts w:hint="default" w:ascii="Times New Roman" w:hAnsi="Times New Roman" w:cs="Times New Roman"/>
          <w:b/>
          <w:bCs/>
          <w:szCs w:val="32"/>
        </w:rPr>
        <w:t>能源发展的电网建设</w:t>
      </w:r>
    </w:p>
    <w:p>
      <w:pPr>
        <w:pStyle w:val="8"/>
        <w:overflowPunct w:val="0"/>
        <w:snapToGrid/>
        <w:spacing w:line="576" w:lineRule="exact"/>
        <w:ind w:firstLine="640"/>
        <w:jc w:val="both"/>
        <w:rPr>
          <w:rFonts w:hint="default" w:ascii="Times New Roman" w:hAnsi="Times New Roman" w:cs="Times New Roman"/>
          <w:sz w:val="32"/>
          <w:szCs w:val="32"/>
        </w:rPr>
      </w:pPr>
      <w:r>
        <w:rPr>
          <w:rFonts w:hint="default" w:ascii="Times New Roman" w:hAnsi="Times New Roman" w:cs="Times New Roman"/>
          <w:sz w:val="32"/>
          <w:szCs w:val="32"/>
        </w:rPr>
        <w:t>强化骨干网架的柔韧性和灵活性，加快推进湘南特高压输变电工程建设，进一步完善华中特高压环网并向南延伸，确保新能源高效接入电网，有效提高省内南北互济能力。拓宽电力外送通道，加快湘粤、湘黔直流背靠背联网工程建设投产，推进湘桂直流背靠背联网工程，提升大规模外来电和本地新能源电力疏散能力，将可再生能源消纳利用率保持在合理水平。构建高承载力、高可靠性、高灵活性、高数智化的现代配电网，主动适应分布式新能源、用户侧储能、充电设施等多元负荷规模化发展趋势，提升配电网运行效率效益，高标准推进配电网转型发展，促进新能源就近开发利用。</w:t>
      </w:r>
    </w:p>
    <w:p>
      <w:pPr>
        <w:pStyle w:val="4"/>
        <w:keepNext w:val="0"/>
        <w:numPr>
          <w:ilvl w:val="0"/>
          <w:numId w:val="0"/>
        </w:numPr>
        <w:overflowPunct w:val="0"/>
        <w:spacing w:line="576" w:lineRule="exact"/>
        <w:ind w:left="640" w:leftChars="200"/>
        <w:rPr>
          <w:rFonts w:hint="default" w:ascii="Times New Roman" w:hAnsi="Times New Roman" w:eastAsia="黑体" w:cs="Times New Roman"/>
          <w:b w:val="0"/>
          <w:bCs w:val="0"/>
          <w:szCs w:val="24"/>
          <w:lang w:val="en-US" w:bidi="ar-SA"/>
        </w:rPr>
      </w:pPr>
      <w:bookmarkStart w:id="54" w:name="_Toc14801"/>
      <w:bookmarkStart w:id="55" w:name="_Toc9589"/>
      <w:bookmarkStart w:id="56" w:name="_Toc28556"/>
      <w:bookmarkStart w:id="57" w:name="_Toc25567"/>
      <w:bookmarkStart w:id="58" w:name="_Toc29182"/>
      <w:bookmarkStart w:id="59" w:name="_Toc9159"/>
      <w:bookmarkStart w:id="60" w:name="_Toc15391"/>
      <w:r>
        <w:rPr>
          <w:rFonts w:hint="default" w:ascii="Times New Roman" w:hAnsi="Times New Roman" w:eastAsia="黑体" w:cs="Times New Roman"/>
          <w:b w:val="0"/>
          <w:bCs w:val="0"/>
          <w:szCs w:val="24"/>
          <w:lang w:val="en-US" w:bidi="ar-SA"/>
        </w:rPr>
        <w:t>三、充分激发可再生能源消费潜力</w:t>
      </w:r>
      <w:bookmarkEnd w:id="54"/>
      <w:bookmarkEnd w:id="55"/>
      <w:bookmarkEnd w:id="56"/>
      <w:bookmarkEnd w:id="57"/>
      <w:bookmarkEnd w:id="58"/>
      <w:bookmarkEnd w:id="59"/>
      <w:bookmarkEnd w:id="60"/>
    </w:p>
    <w:p>
      <w:pPr>
        <w:overflowPunct w:val="0"/>
        <w:autoSpaceDE w:val="0"/>
        <w:autoSpaceDN w:val="0"/>
        <w:adjustRightInd w:val="0"/>
        <w:spacing w:line="576" w:lineRule="exact"/>
        <w:ind w:firstLine="643"/>
        <w:outlineLvl w:val="2"/>
        <w:rPr>
          <w:rFonts w:hint="default" w:ascii="Times New Roman" w:hAnsi="Times New Roman" w:cs="Times New Roman"/>
          <w:b/>
          <w:bCs/>
          <w:kern w:val="0"/>
          <w:szCs w:val="27"/>
          <w:lang w:bidi="zh-CN"/>
        </w:rPr>
      </w:pPr>
      <w:r>
        <w:rPr>
          <w:rFonts w:hint="default" w:ascii="Times New Roman" w:hAnsi="Times New Roman" w:cs="Times New Roman"/>
          <w:b/>
          <w:szCs w:val="27"/>
          <w:lang w:bidi="zh-CN"/>
        </w:rPr>
        <w:t>1.强化可再生能源消费约束</w:t>
      </w:r>
    </w:p>
    <w:p>
      <w:pPr>
        <w:overflowPunct w:val="0"/>
        <w:autoSpaceDE w:val="0"/>
        <w:autoSpaceDN w:val="0"/>
        <w:adjustRightInd w:val="0"/>
        <w:spacing w:line="576" w:lineRule="exact"/>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强化可再生能源电力消费约束，组织落实国家可再生能源消费最低比重目标和可再生能源电力消纳责任权重目标要求，推动源网荷各侧共担消纳责任，健全电网保障消纳责任，构建多元化可再生能源消纳体系。推动将可再生能源电力消纳责任权重分解落实到重点用能相关企业，开展钢铁、水泥、锂电池等重点用能行业和数据中心等重点领域可再生能源电力消费最低比重目标的监测、评价和考核，逐步拓展到其他重点用能领域，稳步提升可再生能源电力消费</w:t>
      </w:r>
      <w:r>
        <w:rPr>
          <w:rFonts w:hint="eastAsia" w:cs="Times New Roman"/>
          <w:snapToGrid w:val="0"/>
          <w:szCs w:val="32"/>
          <w:lang w:val="en-US" w:bidi="zh-CN"/>
        </w:rPr>
        <w:t>最低比重</w:t>
      </w:r>
      <w:r>
        <w:rPr>
          <w:rFonts w:hint="default" w:ascii="Times New Roman" w:hAnsi="Times New Roman" w:cs="Times New Roman"/>
          <w:snapToGrid w:val="0"/>
          <w:szCs w:val="32"/>
          <w:lang w:bidi="zh-CN"/>
        </w:rPr>
        <w:t>目标，引导可再生能源非电利用多元化发展。</w:t>
      </w:r>
    </w:p>
    <w:p>
      <w:pPr>
        <w:overflowPunct w:val="0"/>
        <w:autoSpaceDE w:val="0"/>
        <w:autoSpaceDN w:val="0"/>
        <w:ind w:firstLine="643"/>
        <w:outlineLvl w:val="2"/>
        <w:rPr>
          <w:rFonts w:hint="default" w:ascii="Times New Roman" w:hAnsi="Times New Roman" w:eastAsia="楷体_GB2312" w:cs="Times New Roman"/>
          <w:b/>
        </w:rPr>
      </w:pPr>
      <w:bookmarkStart w:id="61" w:name="_Toc5484"/>
      <w:r>
        <w:rPr>
          <w:rFonts w:hint="default" w:ascii="Times New Roman" w:hAnsi="Times New Roman" w:eastAsia="楷体_GB2312" w:cs="Times New Roman"/>
          <w:b/>
        </w:rPr>
        <w:t>2.推动可再生能源消纳模式创新</w:t>
      </w:r>
    </w:p>
    <w:p>
      <w:pPr>
        <w:overflowPunct w:val="0"/>
        <w:autoSpaceDE w:val="0"/>
        <w:autoSpaceDN w:val="0"/>
        <w:adjustRightInd w:val="0"/>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提升新能源与负荷协同运行水平，支持源网荷储一体化、绿电直连、智能微电网、零碳园区等新能源产消融合新模式新业态发展，合理配置新型储能并充分挖掘负荷灵活调节能力，促进可再生能源就地就近消纳。推动提升分布式能源聚合能力，鼓励以虚拟电厂方式聚合分布式光伏、新型储能、可调节负荷等资源，为电力系统提供灵活调节能力并参与市场交易。推进化工、交通等重点领域的绿氢、绿氨等可持续燃料替代。</w:t>
      </w:r>
    </w:p>
    <w:p>
      <w:pPr>
        <w:overflowPunct w:val="0"/>
        <w:autoSpaceDE w:val="0"/>
        <w:autoSpaceDN w:val="0"/>
        <w:adjustRightInd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3.全面加强能源需求侧管理</w:t>
      </w:r>
    </w:p>
    <w:p>
      <w:pPr>
        <w:overflowPunct w:val="0"/>
        <w:autoSpaceDE w:val="0"/>
        <w:autoSpaceDN w:val="0"/>
        <w:adjustRightInd w:val="0"/>
        <w:ind w:firstLine="640"/>
        <w:rPr>
          <w:rFonts w:hint="default" w:ascii="Times New Roman" w:hAnsi="Times New Roman" w:cs="Times New Roman"/>
          <w:szCs w:val="32"/>
        </w:rPr>
      </w:pPr>
      <w:r>
        <w:rPr>
          <w:rFonts w:hint="default" w:ascii="Times New Roman" w:hAnsi="Times New Roman" w:cs="Times New Roman"/>
          <w:szCs w:val="32"/>
        </w:rPr>
        <w:t>大力发展需求可调控、能量可交互的新型负荷，充分激发需求侧响应活力，实现新能源高效消纳。完善源网荷储分类聚合平台，发挥资源聚合管理效能，提升建筑楼宇、工业可控负荷、储能、车网互动充放电设施、屋顶光伏等分布式资源分级管控能力。</w:t>
      </w:r>
      <w:r>
        <w:rPr>
          <w:rFonts w:hint="default" w:ascii="Times New Roman" w:hAnsi="Times New Roman" w:cs="Times New Roman"/>
          <w:snapToGrid w:val="0"/>
          <w:szCs w:val="32"/>
          <w:lang w:bidi="zh-CN"/>
        </w:rPr>
        <w:t>利用市场价格信号引导负荷合理迁移，以反映市场供需的分时价格信号为引导，鼓励钢铁、有色等工业调整生产工艺时序。优化充换电基础设施、数据中心等新型用电负荷运行策略，将负荷从电力供需紧张时段转移至新能源大发时段。</w:t>
      </w:r>
    </w:p>
    <w:p>
      <w:pPr>
        <w:overflowPunct w:val="0"/>
        <w:autoSpaceDE w:val="0"/>
        <w:autoSpaceDN w:val="0"/>
        <w:adjustRightInd w:val="0"/>
        <w:ind w:firstLine="643"/>
        <w:outlineLvl w:val="2"/>
        <w:rPr>
          <w:rFonts w:hint="default" w:ascii="Times New Roman" w:hAnsi="Times New Roman" w:cs="Times New Roman"/>
          <w:b/>
          <w:bCs/>
          <w:kern w:val="0"/>
          <w:szCs w:val="27"/>
          <w:lang w:bidi="zh-CN"/>
        </w:rPr>
      </w:pPr>
      <w:r>
        <w:rPr>
          <w:rFonts w:hint="default" w:ascii="Times New Roman" w:hAnsi="Times New Roman" w:cs="Times New Roman"/>
          <w:b/>
          <w:bCs/>
          <w:kern w:val="0"/>
          <w:szCs w:val="27"/>
          <w:lang w:bidi="zh-CN"/>
        </w:rPr>
        <w:t>4.大力实施可再生能源替代行动</w:t>
      </w:r>
    </w:p>
    <w:p>
      <w:pPr>
        <w:pStyle w:val="7"/>
        <w:overflowPunct w:val="0"/>
        <w:ind w:firstLine="640"/>
        <w:rPr>
          <w:rFonts w:hint="default" w:ascii="Times New Roman" w:hAnsi="Times New Roman" w:cs="Times New Roman"/>
        </w:rPr>
      </w:pPr>
      <w:r>
        <w:rPr>
          <w:rFonts w:hint="default" w:ascii="Times New Roman" w:hAnsi="Times New Roman" w:cs="Times New Roman"/>
        </w:rPr>
        <w:t>加快培育可再生能源消费替代的新场景、新模式、新业态，提升重点用能领域可再生能源消费水平。</w:t>
      </w:r>
      <w:r>
        <w:rPr>
          <w:rFonts w:hint="default" w:ascii="Times New Roman" w:hAnsi="Times New Roman" w:cs="Times New Roman"/>
          <w:b/>
          <w:bCs/>
        </w:rPr>
        <w:t>工业领域</w:t>
      </w:r>
      <w:r>
        <w:rPr>
          <w:rFonts w:hint="default" w:ascii="Times New Roman" w:hAnsi="Times New Roman" w:cs="Times New Roman"/>
        </w:rPr>
        <w:t>，积极引导重点用能行业电气化改造，推广电锅炉、电窑炉、电加热等技术。推广柔性负荷等需求侧响应技术应用，因地制宜建设一批国家级、省级零碳园区和零碳工厂，充分激发可再生能源消费潜力。</w:t>
      </w:r>
      <w:r>
        <w:rPr>
          <w:rFonts w:hint="default" w:ascii="Times New Roman" w:hAnsi="Times New Roman" w:cs="Times New Roman"/>
          <w:b/>
          <w:bCs/>
        </w:rPr>
        <w:t>交通领域</w:t>
      </w:r>
      <w:r>
        <w:rPr>
          <w:rFonts w:hint="default" w:ascii="Times New Roman" w:hAnsi="Times New Roman" w:cs="Times New Roman"/>
        </w:rPr>
        <w:t>，因地制宜布局大功率充电设施和光储超充综合补能站，强化新能源重卡规模化应用和零碳公路运输通道建设的清洁能源供给及补能保障，积极推动“电化洞庭”建设，加快内河航道沿线、低空交通网络配套能源设施建设，探索液化天然气、氢能、生物柴油、甲醇等绿色燃料加注网络建设。</w:t>
      </w:r>
      <w:r>
        <w:rPr>
          <w:rFonts w:hint="default" w:ascii="Times New Roman" w:hAnsi="Times New Roman" w:cs="Times New Roman"/>
          <w:b/>
          <w:bCs/>
        </w:rPr>
        <w:t>建筑领域，</w:t>
      </w:r>
      <w:r>
        <w:rPr>
          <w:rFonts w:hint="default" w:ascii="Times New Roman" w:hAnsi="Times New Roman" w:cs="Times New Roman"/>
        </w:rPr>
        <w:t>推动城镇建设、更新和改造优先利用可再生能源，</w:t>
      </w:r>
      <w:r>
        <w:rPr>
          <w:rFonts w:hint="default" w:ascii="Times New Roman" w:hAnsi="Times New Roman" w:cs="Times New Roman"/>
          <w:snapToGrid w:val="0"/>
          <w:szCs w:val="32"/>
          <w:lang w:bidi="zh-CN"/>
        </w:rPr>
        <w:t>推动超低能耗、近零能耗建筑发展，推动新建建筑“光储直柔”技术应用和一体化建设。</w:t>
      </w:r>
      <w:r>
        <w:rPr>
          <w:rFonts w:hint="default" w:ascii="Times New Roman" w:hAnsi="Times New Roman" w:cs="Times New Roman"/>
          <w:b/>
          <w:bCs/>
        </w:rPr>
        <w:t>农业农村领域</w:t>
      </w:r>
      <w:r>
        <w:rPr>
          <w:rFonts w:hint="default" w:ascii="Times New Roman" w:hAnsi="Times New Roman" w:cs="Times New Roman"/>
        </w:rPr>
        <w:t>，推动农村地区分布式可再生能源就近就地开发利用，加快农村能源基础设施提质升级。探索“新能源＋特色产业”融合发展模式，引导企业提高可再生能源消费水平。</w:t>
      </w:r>
    </w:p>
    <w:p>
      <w:pPr>
        <w:overflowPunct w:val="0"/>
        <w:autoSpaceDE w:val="0"/>
        <w:autoSpaceDN w:val="0"/>
        <w:adjustRightInd w:val="0"/>
        <w:ind w:firstLine="643"/>
        <w:outlineLvl w:val="2"/>
        <w:rPr>
          <w:rFonts w:hint="default" w:ascii="Times New Roman" w:hAnsi="Times New Roman" w:cs="Times New Roman"/>
          <w:b/>
          <w:bCs/>
          <w:kern w:val="0"/>
          <w:szCs w:val="27"/>
          <w:lang w:bidi="zh-CN"/>
        </w:rPr>
      </w:pPr>
      <w:r>
        <w:rPr>
          <w:rFonts w:hint="default" w:ascii="Times New Roman" w:hAnsi="Times New Roman" w:cs="Times New Roman"/>
          <w:b/>
          <w:bCs/>
          <w:kern w:val="0"/>
          <w:szCs w:val="27"/>
          <w:lang w:bidi="zh-CN"/>
        </w:rPr>
        <w:t>5.积极推动全社会自愿消费可再生能源</w:t>
      </w:r>
    </w:p>
    <w:p>
      <w:pPr>
        <w:pStyle w:val="7"/>
        <w:overflowPunct w:val="0"/>
        <w:ind w:firstLine="632"/>
        <w:rPr>
          <w:rFonts w:hint="default" w:ascii="Times New Roman" w:hAnsi="Times New Roman" w:cs="Times New Roman"/>
          <w:snapToGrid w:val="0"/>
          <w:spacing w:val="-2"/>
          <w:szCs w:val="32"/>
          <w:lang w:bidi="zh-CN"/>
        </w:rPr>
      </w:pPr>
      <w:r>
        <w:rPr>
          <w:rFonts w:hint="default" w:ascii="Times New Roman" w:hAnsi="Times New Roman" w:cs="Times New Roman"/>
          <w:spacing w:val="-2"/>
        </w:rPr>
        <w:t>丰富可再生能源消费服务，鼓励综合能源服务企业、绿证绿电交易平台等第三方机构为公共机构、企业、居民等各类主体提供多样化的可再生能源消费服务或产品。</w:t>
      </w:r>
      <w:r>
        <w:rPr>
          <w:rFonts w:hint="default" w:ascii="Times New Roman" w:hAnsi="Times New Roman" w:cs="Times New Roman"/>
          <w:snapToGrid w:val="0"/>
          <w:spacing w:val="-2"/>
          <w:szCs w:val="32"/>
          <w:lang w:bidi="zh-CN"/>
        </w:rPr>
        <w:t>宣传倡导绿色能源消费新理念，</w:t>
      </w:r>
      <w:r>
        <w:rPr>
          <w:rFonts w:hint="default" w:ascii="Times New Roman" w:hAnsi="Times New Roman" w:cs="Times New Roman"/>
          <w:spacing w:val="-2"/>
        </w:rPr>
        <w:t>增强全社会可再生能源消费意识，鼓励公共机构优先利用可再生能源，建设绿色机关、绿色校园、绿色医院等。探索将可再生能源消费纳入社会活动评价指标，鼓励体育赛事、文艺演出、展会论坛等大型活动实现100%消费可再生能源，鼓励将可再生能源消费纳入绿色社区、绿色出行等评价指标</w:t>
      </w:r>
      <w:r>
        <w:rPr>
          <w:rFonts w:hint="default" w:ascii="Times New Roman" w:hAnsi="Times New Roman" w:cs="Times New Roman"/>
          <w:snapToGrid w:val="0"/>
          <w:spacing w:val="-2"/>
          <w:szCs w:val="32"/>
          <w:lang w:bidi="zh-CN"/>
        </w:rPr>
        <w:t>。</w:t>
      </w:r>
    </w:p>
    <w:p>
      <w:pPr>
        <w:pStyle w:val="4"/>
        <w:keepNext w:val="0"/>
        <w:numPr>
          <w:ilvl w:val="0"/>
          <w:numId w:val="0"/>
        </w:numPr>
        <w:overflowPunct w:val="0"/>
        <w:ind w:left="640" w:leftChars="200"/>
        <w:rPr>
          <w:rFonts w:hint="default" w:ascii="Times New Roman" w:hAnsi="Times New Roman" w:eastAsia="黑体" w:cs="Times New Roman"/>
          <w:b w:val="0"/>
          <w:bCs w:val="0"/>
          <w:szCs w:val="24"/>
          <w:lang w:val="en-US" w:bidi="ar-SA"/>
        </w:rPr>
      </w:pPr>
      <w:bookmarkStart w:id="62" w:name="_Toc535"/>
      <w:bookmarkStart w:id="63" w:name="_Toc24844"/>
      <w:bookmarkStart w:id="64" w:name="_Toc14834"/>
      <w:bookmarkStart w:id="65" w:name="_Toc10643"/>
      <w:bookmarkStart w:id="66" w:name="_Toc31346"/>
      <w:bookmarkStart w:id="67" w:name="_Toc29508"/>
      <w:bookmarkStart w:id="68" w:name="_Toc13868"/>
      <w:r>
        <w:rPr>
          <w:rFonts w:hint="default" w:ascii="Times New Roman" w:hAnsi="Times New Roman" w:eastAsia="黑体" w:cs="Times New Roman"/>
          <w:b w:val="0"/>
          <w:bCs w:val="0"/>
          <w:szCs w:val="24"/>
          <w:lang w:val="en-US" w:bidi="ar-SA"/>
        </w:rPr>
        <w:t>四、壮大可再生能源技术产业优势</w:t>
      </w:r>
      <w:bookmarkEnd w:id="62"/>
      <w:bookmarkEnd w:id="63"/>
      <w:bookmarkEnd w:id="64"/>
      <w:bookmarkEnd w:id="65"/>
      <w:bookmarkEnd w:id="66"/>
      <w:bookmarkEnd w:id="67"/>
      <w:bookmarkEnd w:id="68"/>
    </w:p>
    <w:p>
      <w:p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1.推动可再生能源产业链升级</w:t>
      </w:r>
    </w:p>
    <w:p>
      <w:pPr>
        <w:pStyle w:val="7"/>
        <w:overflowPunct w:val="0"/>
        <w:ind w:firstLine="640"/>
        <w:rPr>
          <w:rFonts w:hint="default" w:ascii="Times New Roman" w:hAnsi="Times New Roman" w:cs="Times New Roman"/>
          <w:szCs w:val="32"/>
        </w:rPr>
      </w:pPr>
      <w:r>
        <w:rPr>
          <w:rFonts w:hint="default" w:ascii="Times New Roman" w:hAnsi="Times New Roman" w:cs="Times New Roman"/>
          <w:snapToGrid w:val="0"/>
          <w:szCs w:val="32"/>
          <w:lang w:bidi="zh-CN"/>
        </w:rPr>
        <w:t>扩大可再生能源产业链领先优势，发挥我省在风电光伏装备、储能系统等方面基础优势，</w:t>
      </w:r>
      <w:r>
        <w:rPr>
          <w:rFonts w:hint="default" w:ascii="Times New Roman" w:hAnsi="Times New Roman" w:cs="Times New Roman"/>
          <w:kern w:val="0"/>
          <w:szCs w:val="32"/>
          <w:lang w:bidi="ar"/>
        </w:rPr>
        <w:t>不断做大国内、国际市场，积极承接沿海产业转移，加快培育长株潭郴先进储能材料及动力电池、株长潭风电装备两个国家级产业集群。加强产业链上下游衔接，聚焦可再生能源装备制造核心产业，引导企业向新型业务延伸。探索开展北斗在电网运维、新能源监测等场景的示范项目建设。</w:t>
      </w:r>
      <w:r>
        <w:rPr>
          <w:rFonts w:hint="default" w:ascii="Times New Roman" w:hAnsi="Times New Roman" w:cs="Times New Roman"/>
          <w:szCs w:val="32"/>
        </w:rPr>
        <w:t>推动</w:t>
      </w:r>
      <w:r>
        <w:rPr>
          <w:rFonts w:hint="default" w:ascii="Times New Roman" w:hAnsi="Times New Roman" w:cs="Times New Roman"/>
          <w:kern w:val="0"/>
          <w:szCs w:val="32"/>
          <w:lang w:bidi="ar"/>
        </w:rPr>
        <w:t>可再生</w:t>
      </w:r>
      <w:r>
        <w:rPr>
          <w:rFonts w:hint="default" w:ascii="Times New Roman" w:hAnsi="Times New Roman" w:cs="Times New Roman"/>
          <w:szCs w:val="32"/>
        </w:rPr>
        <w:t>能源设备改造升级和退役设备循环利用，培育退役新能源设备循环利用产业链，发展退役设备拆除、运输、回收、拆解、再利用全链条服务模式，实现高水平再生利用。</w:t>
      </w:r>
    </w:p>
    <w:p>
      <w:p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2.加强可再生能源技术攻关</w:t>
      </w:r>
    </w:p>
    <w:p>
      <w:pPr>
        <w:overflowPunct w:val="0"/>
        <w:autoSpaceDE w:val="0"/>
        <w:autoSpaceDN w:val="0"/>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加强可再生能源领域关键技术攻关和核心装备研制，谋划实施一批具有前瞻性、战略性的重大科技创新项目和首台（套）重大技术装备示范应用。充分发挥“揭榜挂帅”“赛马”等竞争性机制优势，集中力量攻关氢能、“人工智能+”、</w:t>
      </w:r>
      <w:r>
        <w:rPr>
          <w:rFonts w:hint="eastAsia" w:cs="Times New Roman"/>
          <w:snapToGrid w:val="0"/>
          <w:szCs w:val="32"/>
          <w:lang w:val="en-US" w:bidi="zh-CN"/>
        </w:rPr>
        <w:t>浮空</w:t>
      </w:r>
      <w:r>
        <w:rPr>
          <w:rFonts w:hint="default" w:ascii="Times New Roman" w:hAnsi="Times New Roman" w:cs="Times New Roman"/>
          <w:snapToGrid w:val="0"/>
          <w:szCs w:val="32"/>
          <w:lang w:bidi="zh-CN"/>
        </w:rPr>
        <w:t>风电等核心技术。加大智能化调度应用研发，加快智能电网调度控制、能源互联网协同运行、多能互补综合能源系统等</w:t>
      </w:r>
      <w:r>
        <w:rPr>
          <w:rFonts w:hint="eastAsia" w:cs="Times New Roman"/>
          <w:snapToGrid w:val="0"/>
          <w:szCs w:val="32"/>
          <w:lang w:val="en-US" w:bidi="zh-CN"/>
        </w:rPr>
        <w:t>领域</w:t>
      </w:r>
      <w:r>
        <w:rPr>
          <w:rFonts w:hint="default" w:ascii="Times New Roman" w:hAnsi="Times New Roman" w:cs="Times New Roman"/>
          <w:snapToGrid w:val="0"/>
          <w:szCs w:val="32"/>
          <w:lang w:bidi="zh-CN"/>
        </w:rPr>
        <w:t>数字化、智能化创新</w:t>
      </w:r>
      <w:r>
        <w:rPr>
          <w:rFonts w:hint="default" w:ascii="Times New Roman" w:hAnsi="Times New Roman" w:cs="Times New Roman"/>
        </w:rPr>
        <w:t>。提升新能源电站气象预测、市场化运营和参与电力市场多品种交易的智能决策能力。</w:t>
      </w:r>
    </w:p>
    <w:p>
      <w:p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3.推动可再生能源技术创新应用</w:t>
      </w:r>
    </w:p>
    <w:p>
      <w:pPr>
        <w:overflowPunct w:val="0"/>
        <w:autoSpaceDE w:val="0"/>
        <w:autoSpaceDN w:val="0"/>
        <w:ind w:firstLine="640"/>
        <w:rPr>
          <w:rFonts w:hint="default" w:ascii="Times New Roman" w:hAnsi="Times New Roman" w:cs="Times New Roman"/>
        </w:rPr>
      </w:pPr>
      <w:r>
        <w:rPr>
          <w:rFonts w:hint="default" w:ascii="Times New Roman" w:hAnsi="Times New Roman" w:cs="Times New Roman"/>
        </w:rPr>
        <w:t>依托智慧联合调控、协同运维检修等优化运行技术应用，提升风光与储能一体化调用能力，同步提高电站发电效率和系统友好性能。</w:t>
      </w:r>
      <w:r>
        <w:rPr>
          <w:rFonts w:hint="default" w:ascii="Times New Roman" w:hAnsi="Times New Roman" w:cs="Times New Roman"/>
          <w:snapToGrid w:val="0"/>
          <w:szCs w:val="32"/>
          <w:lang w:bidi="zh-CN"/>
        </w:rPr>
        <w:t>推进构网型新能源、长时间尺度功率预测等新技术应用，以聚合模式、虚拟电厂、微电网、多能互补等方式参与调度，提升新能源场站主动支撑能力。</w:t>
      </w:r>
      <w:r>
        <w:rPr>
          <w:rFonts w:hint="default" w:ascii="Times New Roman" w:hAnsi="Times New Roman" w:cs="Times New Roman"/>
        </w:rPr>
        <w:t>开展构网型交直流风机和光伏首台（套）应用示范，加快浮空风电等新型风力发电装备规模化示范与产业化推广。推动氢能在交通、工业领域的研究应用，探索在钢铁焦化、化工合成等工业流程的绿氢</w:t>
      </w:r>
      <w:r>
        <w:rPr>
          <w:rFonts w:hint="eastAsia" w:cs="Times New Roman"/>
          <w:lang w:val="en-US" w:eastAsia="zh-CN"/>
        </w:rPr>
        <w:t>替代</w:t>
      </w:r>
      <w:r>
        <w:rPr>
          <w:rFonts w:hint="default" w:ascii="Times New Roman" w:hAnsi="Times New Roman" w:cs="Times New Roman"/>
        </w:rPr>
        <w:t>。</w:t>
      </w:r>
    </w:p>
    <w:p>
      <w:pPr>
        <w:pStyle w:val="4"/>
        <w:keepNext w:val="0"/>
        <w:numPr>
          <w:ilvl w:val="0"/>
          <w:numId w:val="0"/>
        </w:numPr>
        <w:overflowPunct w:val="0"/>
        <w:ind w:left="640" w:leftChars="200"/>
        <w:rPr>
          <w:rFonts w:hint="default" w:ascii="Times New Roman" w:hAnsi="Times New Roman" w:eastAsia="黑体" w:cs="Times New Roman"/>
          <w:b w:val="0"/>
          <w:bCs w:val="0"/>
          <w:szCs w:val="24"/>
          <w:lang w:val="en-US" w:bidi="ar-SA"/>
        </w:rPr>
      </w:pPr>
      <w:bookmarkStart w:id="69" w:name="_Toc14344"/>
      <w:bookmarkStart w:id="70" w:name="_Toc13961"/>
      <w:bookmarkStart w:id="71" w:name="_Toc26492"/>
      <w:bookmarkStart w:id="72" w:name="_Toc3393"/>
      <w:bookmarkStart w:id="73" w:name="_Toc8447"/>
      <w:bookmarkStart w:id="74" w:name="_Toc29631"/>
      <w:bookmarkStart w:id="75" w:name="_Toc21402"/>
      <w:r>
        <w:rPr>
          <w:rFonts w:hint="default" w:ascii="Times New Roman" w:hAnsi="Times New Roman" w:eastAsia="黑体" w:cs="Times New Roman"/>
          <w:b w:val="0"/>
          <w:bCs w:val="0"/>
          <w:szCs w:val="24"/>
          <w:lang w:val="en-US" w:bidi="ar-SA"/>
        </w:rPr>
        <w:t>五、推动可再生能源高效治理</w:t>
      </w:r>
      <w:bookmarkEnd w:id="61"/>
      <w:bookmarkEnd w:id="69"/>
      <w:bookmarkEnd w:id="70"/>
      <w:bookmarkEnd w:id="71"/>
      <w:bookmarkEnd w:id="72"/>
      <w:bookmarkEnd w:id="73"/>
      <w:bookmarkEnd w:id="74"/>
      <w:bookmarkEnd w:id="75"/>
    </w:p>
    <w:p>
      <w:pPr>
        <w:numPr>
          <w:ilvl w:val="0"/>
          <w:numId w:val="4"/>
        </w:numPr>
        <w:overflowPunct w:val="0"/>
        <w:autoSpaceDE w:val="0"/>
        <w:autoSpaceDN w:val="0"/>
        <w:adjustRightInd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完善可再生能源市场化发展机制</w:t>
      </w:r>
    </w:p>
    <w:p>
      <w:pPr>
        <w:overflowPunct w:val="0"/>
        <w:autoSpaceDE w:val="0"/>
        <w:autoSpaceDN w:val="0"/>
        <w:adjustRightInd w:val="0"/>
        <w:ind w:firstLine="64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健全适应新能源高比例发展的电力市场机制，构建中长期、现货、辅助服务等市场衔接的电力市场体系。进一步完善新能源可持续发展价格结算机制，保障新能源发电行业健康可持续发展。</w:t>
      </w:r>
      <w:r>
        <w:rPr>
          <w:rFonts w:hint="default" w:ascii="Times New Roman" w:hAnsi="Times New Roman" w:cs="Times New Roman"/>
          <w:spacing w:val="-6"/>
          <w:kern w:val="0"/>
          <w:szCs w:val="32"/>
        </w:rPr>
        <w:t>建立健全抽水蓄能、新型储能等调节性资源容量价格机制，更好发挥对构建新型电力系统的支撑作用。</w:t>
      </w:r>
      <w:r>
        <w:rPr>
          <w:rFonts w:hint="default" w:ascii="Times New Roman" w:hAnsi="Times New Roman" w:cs="Times New Roman"/>
          <w:snapToGrid w:val="0"/>
          <w:szCs w:val="32"/>
          <w:lang w:bidi="zh-CN"/>
        </w:rPr>
        <w:t>完善分布式新能源市场化交易机制，鼓励分布式电源通过直接或聚合方式参与电力市场交易。加强新能源交易监管，助推新能源公平参与电力市场竞争。</w:t>
      </w:r>
    </w:p>
    <w:p>
      <w:pPr>
        <w:numPr>
          <w:ilvl w:val="0"/>
          <w:numId w:val="4"/>
        </w:num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完善绿证绿电交易保障机制</w:t>
      </w:r>
    </w:p>
    <w:p>
      <w:pPr>
        <w:pStyle w:val="12"/>
        <w:overflowPunct w:val="0"/>
        <w:autoSpaceDE/>
        <w:autoSpaceDN/>
        <w:adjustRightInd/>
        <w:snapToGrid/>
        <w:ind w:firstLine="640" w:firstLineChars="200"/>
        <w:rPr>
          <w:rFonts w:hint="default" w:ascii="Times New Roman" w:hAnsi="Times New Roman" w:cs="Times New Roman"/>
          <w:snapToGrid w:val="0"/>
          <w:szCs w:val="32"/>
          <w:lang w:bidi="zh-CN"/>
        </w:rPr>
      </w:pPr>
      <w:r>
        <w:rPr>
          <w:rFonts w:hint="default" w:ascii="Times New Roman" w:hAnsi="Times New Roman" w:cs="Times New Roman"/>
          <w:snapToGrid w:val="0"/>
          <w:szCs w:val="32"/>
          <w:lang w:bidi="zh-CN"/>
        </w:rPr>
        <w:t>健全可再生能源绿色电力证书交易制度，强化绿证的绿色电力消费属性，推动绿证交易与可再生能源电力消纳保障、电力市场等衔接。积极引导绿色能源消费，拓展绿证应用场景，引导有需求的用户购买绿色电力证书，推动绿证交易机制与重点用能单位可再生能源消费最低比重目标等管理制度衔接。完善绿色电力交易机制，持续扩大绿电交易规模。丰富交易组织方式，探索推进多年期、小时级绿电交易的组织与实施。</w:t>
      </w:r>
    </w:p>
    <w:p>
      <w:pPr>
        <w:overflowPunct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3.强化可再生能源发展要素保障</w:t>
      </w:r>
    </w:p>
    <w:p>
      <w:pPr>
        <w:pStyle w:val="7"/>
        <w:overflowPunct w:val="0"/>
        <w:snapToGrid/>
        <w:ind w:firstLine="640"/>
        <w:rPr>
          <w:rFonts w:hint="default" w:ascii="Times New Roman" w:hAnsi="Times New Roman" w:cs="Times New Roman"/>
          <w:snapToGrid w:val="0"/>
        </w:rPr>
      </w:pPr>
      <w:r>
        <w:rPr>
          <w:rFonts w:hint="default" w:ascii="Times New Roman" w:hAnsi="Times New Roman" w:cs="Times New Roman"/>
          <w:snapToGrid w:val="0"/>
        </w:rPr>
        <w:t>完善可再生能源项目建设要素保障支持政策，</w:t>
      </w:r>
      <w:r>
        <w:rPr>
          <w:rFonts w:hint="default" w:ascii="Times New Roman" w:hAnsi="Times New Roman" w:cs="Times New Roman"/>
        </w:rPr>
        <w:t>将可再生能源可开发利用范围等空间信息纳入国土空间规划“一张图”，</w:t>
      </w:r>
      <w:r>
        <w:rPr>
          <w:rFonts w:hint="default" w:ascii="Times New Roman" w:hAnsi="Times New Roman" w:cs="Times New Roman"/>
          <w:snapToGrid w:val="0"/>
        </w:rPr>
        <w:t>合理保障可再生能源建设用地用林需求。不断完善</w:t>
      </w:r>
      <w:r>
        <w:rPr>
          <w:rFonts w:hint="eastAsia" w:cs="Times New Roman"/>
          <w:snapToGrid w:val="0"/>
          <w:lang w:val="en-US" w:eastAsia="zh-CN"/>
        </w:rPr>
        <w:t>全省</w:t>
      </w:r>
      <w:r>
        <w:rPr>
          <w:rFonts w:hint="default" w:ascii="Times New Roman" w:hAnsi="Times New Roman" w:cs="Times New Roman"/>
          <w:snapToGrid w:val="0"/>
        </w:rPr>
        <w:t>新能源建设部门联席会议机制，优化新能源项目开发建设环境。</w:t>
      </w:r>
      <w:r>
        <w:rPr>
          <w:rFonts w:hint="default" w:ascii="Times New Roman" w:hAnsi="Times New Roman" w:cs="Times New Roman"/>
        </w:rPr>
        <w:t>强化新能源项目开发建设全流程管理，推动降低新能源项目非技术成本。</w:t>
      </w:r>
      <w:r>
        <w:rPr>
          <w:rFonts w:hint="default" w:ascii="Times New Roman" w:hAnsi="Times New Roman" w:cs="Times New Roman"/>
          <w:snapToGrid w:val="0"/>
        </w:rPr>
        <w:t>加强电网要素保障，</w:t>
      </w:r>
      <w:r>
        <w:rPr>
          <w:rFonts w:hint="default" w:ascii="Times New Roman" w:hAnsi="Times New Roman" w:cs="Times New Roman"/>
          <w:snapToGrid w:val="0"/>
          <w:szCs w:val="32"/>
        </w:rPr>
        <w:t>确保公平、无歧视向可再生能源发电项目提供接网服务。推动电网企业、电力交易机构及时、准确、完整披露市场信息，保障可再生能源发电企业知情权与参与权，营造公平透明的市场环境。</w:t>
      </w:r>
      <w:r>
        <w:rPr>
          <w:rFonts w:hint="default" w:ascii="Times New Roman" w:hAnsi="Times New Roman" w:cs="Times New Roman"/>
          <w:snapToGrid w:val="0"/>
        </w:rPr>
        <w:t>引导加大政策性资金和金融支持力度，鼓励可再生能源相关金融产品和服务创新。</w:t>
      </w:r>
    </w:p>
    <w:p>
      <w:pPr>
        <w:overflowPunct w:val="0"/>
        <w:autoSpaceDE w:val="0"/>
        <w:autoSpaceDN w:val="0"/>
        <w:ind w:firstLine="643"/>
        <w:outlineLvl w:val="2"/>
        <w:rPr>
          <w:rFonts w:hint="default" w:ascii="Times New Roman" w:hAnsi="Times New Roman" w:eastAsia="楷体_GB2312" w:cs="Times New Roman"/>
          <w:b/>
        </w:rPr>
      </w:pPr>
      <w:r>
        <w:rPr>
          <w:rFonts w:hint="default" w:ascii="Times New Roman" w:hAnsi="Times New Roman" w:eastAsia="楷体_GB2312" w:cs="Times New Roman"/>
          <w:b/>
        </w:rPr>
        <w:t>4.加强可再生能源发展体制机制改革创新</w:t>
      </w:r>
    </w:p>
    <w:p>
      <w:pPr>
        <w:overflowPunct w:val="0"/>
        <w:autoSpaceDE w:val="0"/>
        <w:autoSpaceDN w:val="0"/>
        <w:ind w:firstLine="640"/>
        <w:rPr>
          <w:rFonts w:hint="default" w:ascii="Times New Roman" w:hAnsi="Times New Roman" w:cs="Times New Roman"/>
        </w:rPr>
      </w:pPr>
      <w:r>
        <w:rPr>
          <w:rFonts w:hint="default" w:ascii="Times New Roman" w:hAnsi="Times New Roman" w:cs="Times New Roman"/>
          <w:snapToGrid w:val="0"/>
          <w:szCs w:val="32"/>
        </w:rPr>
        <w:t>落实《中华人民共和国能源法》和国家相关政策要求，适应新能源全面市场化改革的需要，在综合统筹、发展节奏、项目审批等方面持续改革创新。建立可再生能源项目库，加强省级统筹，省市县分级管理，有序推进全省可再生能源项目建设。优化项目开发建设管理机制，厘清政府与市场边界，按照建设全国统一大市场要求，不断规范市场秩序，激发市场主体投资活力。完善新能源项目核准（备案）管理制度，加强项目规划、开发、建设的全过程监管。创新拓展可再生能源消纳方式，明确可再生能源电力消纳责任权重责任主体，同步完善权重监测、评价和考核机制，做好可再生能源电力消纳责任权重与可再生能源可持续发展价格结算机制的衔接。</w:t>
      </w:r>
      <w:bookmarkStart w:id="76" w:name="_Toc27086"/>
      <w:bookmarkStart w:id="77" w:name="_Toc23980"/>
      <w:bookmarkStart w:id="78" w:name="_Toc12211"/>
      <w:bookmarkStart w:id="79" w:name="_Toc20256"/>
      <w:r>
        <w:rPr>
          <w:rFonts w:hint="default" w:ascii="Times New Roman" w:hAnsi="Times New Roman" w:cs="Times New Roman"/>
        </w:rPr>
        <w:br w:type="page"/>
      </w:r>
    </w:p>
    <w:p>
      <w:pPr>
        <w:keepNext/>
        <w:keepLines/>
        <w:ind w:firstLine="0" w:firstLineChars="0"/>
        <w:jc w:val="center"/>
        <w:outlineLvl w:val="0"/>
        <w:rPr>
          <w:rFonts w:hint="default" w:ascii="Times New Roman" w:hAnsi="Times New Roman" w:eastAsia="方正小标宋简体" w:cs="Times New Roman"/>
          <w:kern w:val="44"/>
          <w:sz w:val="42"/>
        </w:rPr>
      </w:pPr>
      <w:bookmarkStart w:id="80" w:name="_Toc8997"/>
      <w:bookmarkStart w:id="81" w:name="_Toc4001"/>
      <w:bookmarkStart w:id="82" w:name="_Toc30203"/>
      <w:bookmarkStart w:id="83" w:name="_Toc7516"/>
      <w:bookmarkStart w:id="84" w:name="_Toc12924"/>
      <w:r>
        <w:rPr>
          <w:rFonts w:hint="default" w:ascii="Times New Roman" w:hAnsi="Times New Roman" w:eastAsia="方正小标宋简体" w:cs="Times New Roman"/>
          <w:kern w:val="44"/>
          <w:sz w:val="42"/>
        </w:rPr>
        <w:fldChar w:fldCharType="begin"/>
      </w:r>
      <w:r>
        <w:rPr>
          <w:rFonts w:hint="default" w:ascii="Times New Roman" w:hAnsi="Times New Roman" w:eastAsia="方正小标宋简体" w:cs="Times New Roman"/>
          <w:kern w:val="44"/>
          <w:sz w:val="42"/>
        </w:rPr>
        <w:instrText xml:space="preserve"> HYPERLINK \l "_Toc433901788" </w:instrText>
      </w:r>
      <w:r>
        <w:rPr>
          <w:rFonts w:hint="default" w:ascii="Times New Roman" w:hAnsi="Times New Roman" w:eastAsia="方正小标宋简体" w:cs="Times New Roman"/>
          <w:kern w:val="44"/>
          <w:sz w:val="42"/>
        </w:rPr>
        <w:fldChar w:fldCharType="separate"/>
      </w:r>
      <w:r>
        <w:rPr>
          <w:rFonts w:hint="default" w:ascii="Times New Roman" w:hAnsi="Times New Roman" w:eastAsia="方正小标宋简体" w:cs="Times New Roman"/>
          <w:kern w:val="44"/>
          <w:sz w:val="42"/>
        </w:rPr>
        <w:t xml:space="preserve">第三章  </w:t>
      </w:r>
      <w:r>
        <w:rPr>
          <w:rFonts w:hint="default" w:ascii="Times New Roman" w:hAnsi="Times New Roman" w:eastAsia="方正小标宋简体" w:cs="Times New Roman"/>
          <w:kern w:val="44"/>
          <w:sz w:val="42"/>
        </w:rPr>
        <w:fldChar w:fldCharType="end"/>
      </w:r>
      <w:bookmarkEnd w:id="76"/>
      <w:bookmarkEnd w:id="77"/>
      <w:bookmarkEnd w:id="80"/>
      <w:r>
        <w:rPr>
          <w:rFonts w:hint="default" w:ascii="Times New Roman" w:hAnsi="Times New Roman" w:eastAsia="方正小标宋简体" w:cs="Times New Roman"/>
          <w:kern w:val="44"/>
          <w:sz w:val="42"/>
        </w:rPr>
        <w:t>组织实施</w:t>
      </w:r>
      <w:bookmarkEnd w:id="81"/>
      <w:bookmarkEnd w:id="82"/>
      <w:bookmarkEnd w:id="83"/>
      <w:bookmarkEnd w:id="84"/>
    </w:p>
    <w:p>
      <w:pPr>
        <w:ind w:firstLine="0" w:firstLineChars="0"/>
        <w:jc w:val="center"/>
        <w:rPr>
          <w:rFonts w:hint="default" w:ascii="Times New Roman" w:hAnsi="Times New Roman" w:cs="Times New Roman"/>
        </w:rPr>
      </w:pPr>
    </w:p>
    <w:p>
      <w:pPr>
        <w:ind w:firstLine="640"/>
        <w:rPr>
          <w:rFonts w:hint="default" w:ascii="Times New Roman" w:hAnsi="Times New Roman" w:cs="Times New Roman"/>
          <w:snapToGrid w:val="0"/>
          <w:highlight w:val="yellow"/>
        </w:rPr>
        <w:sectPr>
          <w:footerReference r:id="rId13" w:type="default"/>
          <w:pgSz w:w="11906" w:h="16838"/>
          <w:pgMar w:top="1871" w:right="1531" w:bottom="1531" w:left="1588" w:header="851" w:footer="1304" w:gutter="0"/>
          <w:cols w:space="425" w:num="1"/>
          <w:docGrid w:type="lines" w:linePitch="312" w:charSpace="0"/>
        </w:sectPr>
      </w:pPr>
      <w:r>
        <w:rPr>
          <w:rFonts w:hint="default" w:ascii="Times New Roman" w:hAnsi="Times New Roman" w:cs="Times New Roman"/>
        </w:rPr>
        <w:t>加强可再生能源规划与上位规划及有关专项规划的衔接和协调，</w:t>
      </w:r>
      <w:r>
        <w:rPr>
          <w:rFonts w:hint="default" w:ascii="Times New Roman" w:hAnsi="Times New Roman" w:cs="Times New Roman"/>
          <w:snapToGrid w:val="0"/>
        </w:rPr>
        <w:t>强化省直各相关部门之间的协同，建立健全信息共享机制，提高规划的科学性和可操作性，形成能源主管部门统筹、多部门参与机制，协调推进规划实施，</w:t>
      </w:r>
      <w:r>
        <w:rPr>
          <w:rFonts w:hint="default" w:ascii="Times New Roman" w:hAnsi="Times New Roman" w:cs="Times New Roman"/>
          <w:szCs w:val="32"/>
        </w:rPr>
        <w:t>将相关要求传导落实并贯穿规划实施全过程。</w:t>
      </w:r>
      <w:r>
        <w:rPr>
          <w:rFonts w:hint="default" w:ascii="Times New Roman" w:hAnsi="Times New Roman" w:cs="Times New Roman"/>
          <w:snapToGrid w:val="0"/>
          <w:szCs w:val="32"/>
        </w:rPr>
        <w:t>优化完善省新能源建设部门联席会议机制，做好要素保障，持续优化营商环境，落实规划重要目标、重点任务和重大工程项目。各市州及县市区政府根据规划要求，按职责分工细化任务举措、工作措施，着力抓好各项任务落实。积极组织开展规划实施情况监测分析和中期评估，加强对规划指标、改革措施和项目实施情况的监测，及时分析问题、总结经验、制定对策，推动可再生能源规划任务、措施、项目、产业</w:t>
      </w:r>
      <w:r>
        <w:rPr>
          <w:rFonts w:hint="eastAsia" w:cs="Times New Roman"/>
          <w:snapToGrid w:val="0"/>
          <w:szCs w:val="32"/>
          <w:lang w:val="en-US" w:eastAsia="zh-CN"/>
        </w:rPr>
        <w:t>和</w:t>
      </w:r>
      <w:r>
        <w:rPr>
          <w:rFonts w:hint="default" w:ascii="Times New Roman" w:hAnsi="Times New Roman" w:cs="Times New Roman"/>
          <w:snapToGrid w:val="0"/>
          <w:szCs w:val="32"/>
        </w:rPr>
        <w:t>政策落实到位。</w:t>
      </w:r>
      <w:bookmarkEnd w:id="17"/>
      <w:bookmarkEnd w:id="78"/>
      <w:bookmarkEnd w:id="79"/>
    </w:p>
    <w:p>
      <w:pPr>
        <w:spacing w:after="223" w:afterLines="50"/>
        <w:ind w:firstLine="0" w:firstLineChars="0"/>
        <w:rPr>
          <w:rFonts w:hint="default" w:ascii="Times New Roman" w:hAnsi="Times New Roman" w:eastAsia="黑体" w:cs="Times New Roman"/>
          <w:szCs w:val="32"/>
        </w:rPr>
      </w:pPr>
      <w:bookmarkStart w:id="85" w:name="OLE_LINK1"/>
      <w:bookmarkStart w:id="86" w:name="_Toc16903"/>
      <w:bookmarkStart w:id="87" w:name="_Toc1788"/>
      <w:r>
        <w:rPr>
          <w:rFonts w:hint="default" w:ascii="Times New Roman" w:hAnsi="Times New Roman" w:eastAsia="黑体" w:cs="Times New Roman"/>
          <w:szCs w:val="32"/>
        </w:rPr>
        <w:t>附件</w:t>
      </w:r>
    </w:p>
    <w:bookmarkEnd w:id="85"/>
    <w:p>
      <w:pPr>
        <w:ind w:firstLine="720"/>
        <w:rPr>
          <w:rFonts w:hint="default" w:ascii="Times New Roman" w:hAnsi="Times New Roman" w:eastAsia="方正小标宋简体" w:cs="Times New Roman"/>
          <w:sz w:val="36"/>
          <w:szCs w:val="28"/>
        </w:rPr>
      </w:pPr>
      <w:r>
        <w:rPr>
          <w:rFonts w:hint="eastAsia" w:ascii="方正小标宋_GBK" w:hAnsi="方正小标宋_GBK" w:eastAsia="方正小标宋_GBK" w:cs="方正小标宋_GBK"/>
          <w:sz w:val="36"/>
          <w:szCs w:val="28"/>
        </w:rPr>
        <w:t>湖南省“十五五”可再生能源发展重大项目表</w:t>
      </w:r>
      <w:bookmarkEnd w:id="86"/>
      <w:bookmarkEnd w:id="87"/>
    </w:p>
    <w:tbl>
      <w:tblPr>
        <w:tblStyle w:val="13"/>
        <w:tblW w:w="8518" w:type="dxa"/>
        <w:jc w:val="center"/>
        <w:tblLayout w:type="fixed"/>
        <w:tblCellMar>
          <w:top w:w="0" w:type="dxa"/>
          <w:left w:w="108" w:type="dxa"/>
          <w:bottom w:w="0" w:type="dxa"/>
          <w:right w:w="108" w:type="dxa"/>
        </w:tblCellMar>
      </w:tblPr>
      <w:tblGrid>
        <w:gridCol w:w="655"/>
        <w:gridCol w:w="2977"/>
        <w:gridCol w:w="1067"/>
        <w:gridCol w:w="1468"/>
        <w:gridCol w:w="1412"/>
        <w:gridCol w:w="939"/>
      </w:tblGrid>
      <w:tr>
        <w:tblPrEx>
          <w:tblCellMar>
            <w:top w:w="0" w:type="dxa"/>
            <w:left w:w="108" w:type="dxa"/>
            <w:bottom w:w="0" w:type="dxa"/>
            <w:right w:w="108" w:type="dxa"/>
          </w:tblCellMar>
        </w:tblPrEx>
        <w:trPr>
          <w:trHeight w:val="54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序号</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项目名称</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kern w:val="0"/>
                <w:sz w:val="22"/>
                <w:szCs w:val="22"/>
                <w:lang w:bidi="ar"/>
              </w:rPr>
            </w:pPr>
            <w:r>
              <w:rPr>
                <w:rFonts w:hint="default" w:ascii="Times New Roman" w:hAnsi="Times New Roman" w:eastAsia="黑体" w:cs="Times New Roman"/>
                <w:kern w:val="0"/>
                <w:sz w:val="22"/>
                <w:szCs w:val="22"/>
                <w:lang w:bidi="ar"/>
              </w:rPr>
              <w:t>建设</w:t>
            </w:r>
          </w:p>
          <w:p>
            <w:pPr>
              <w:snapToGrid w:val="0"/>
              <w:spacing w:line="240" w:lineRule="auto"/>
              <w:ind w:firstLine="0" w:firstLineChars="0"/>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地点</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kern w:val="0"/>
                <w:sz w:val="22"/>
                <w:szCs w:val="22"/>
                <w:lang w:bidi="ar"/>
              </w:rPr>
            </w:pPr>
            <w:r>
              <w:rPr>
                <w:rFonts w:hint="default" w:ascii="Times New Roman" w:hAnsi="Times New Roman" w:eastAsia="黑体" w:cs="Times New Roman"/>
                <w:kern w:val="0"/>
                <w:sz w:val="22"/>
                <w:szCs w:val="22"/>
                <w:lang w:bidi="ar"/>
              </w:rPr>
              <w:t>建设规模</w:t>
            </w:r>
          </w:p>
          <w:p>
            <w:pPr>
              <w:snapToGrid w:val="0"/>
              <w:spacing w:line="240" w:lineRule="auto"/>
              <w:ind w:firstLine="0" w:firstLineChars="0"/>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建设年限</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黑体" w:cs="Times New Roman"/>
                <w:kern w:val="0"/>
                <w:sz w:val="22"/>
                <w:szCs w:val="22"/>
                <w:lang w:val="en" w:bidi="ar"/>
              </w:rPr>
            </w:pPr>
            <w:r>
              <w:rPr>
                <w:rFonts w:hint="default" w:ascii="Times New Roman" w:hAnsi="Times New Roman" w:eastAsia="黑体" w:cs="Times New Roman"/>
                <w:kern w:val="0"/>
                <w:sz w:val="22"/>
                <w:szCs w:val="22"/>
                <w:lang w:val="en" w:bidi="ar"/>
              </w:rPr>
              <w:t>备注</w:t>
            </w:r>
          </w:p>
        </w:tc>
      </w:tr>
      <w:tr>
        <w:tblPrEx>
          <w:tblCellMar>
            <w:top w:w="0" w:type="dxa"/>
            <w:left w:w="108" w:type="dxa"/>
            <w:bottom w:w="0" w:type="dxa"/>
            <w:right w:w="108" w:type="dxa"/>
          </w:tblCellMar>
        </w:tblPrEx>
        <w:trPr>
          <w:trHeight w:val="270" w:hRule="atLeast"/>
          <w:jc w:val="center"/>
        </w:trPr>
        <w:tc>
          <w:tcPr>
            <w:tcW w:w="75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一、抽水蓄能项目</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平江抽水蓄能电站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岳阳市平江县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140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2017-2028</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安化抽水蓄能电站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益阳市安化县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240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2022-2031</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622"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汨罗玉池抽水蓄能电站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岳阳市汨罗市</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120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2023-2030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4</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攸县广寒坪抽水蓄能电站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株洲市攸县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180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2022-2030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5</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炎陵罗萍江抽水蓄能电站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株洲市炎陵县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120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2022-2029</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6</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Style w:val="18"/>
                <w:rFonts w:hint="default" w:ascii="Times New Roman" w:hAnsi="Times New Roman" w:cs="Times New Roman"/>
                <w:color w:val="auto"/>
                <w:sz w:val="22"/>
                <w:szCs w:val="22"/>
                <w:lang w:bidi="ar"/>
              </w:rPr>
            </w:pPr>
            <w:r>
              <w:rPr>
                <w:rFonts w:hint="default" w:ascii="Times New Roman" w:hAnsi="Times New Roman" w:eastAsia="宋体" w:cs="Times New Roman"/>
                <w:kern w:val="0"/>
                <w:sz w:val="22"/>
                <w:szCs w:val="22"/>
                <w:lang w:bidi="ar"/>
              </w:rPr>
              <w:t>桃源木旺溪抽水蓄能电站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kern w:val="0"/>
                <w:sz w:val="22"/>
                <w:szCs w:val="22"/>
                <w:lang w:bidi="ar"/>
              </w:rPr>
            </w:pPr>
            <w:r>
              <w:rPr>
                <w:rFonts w:hint="default" w:ascii="Times New Roman" w:hAnsi="Times New Roman" w:eastAsia="宋体" w:cs="Times New Roman"/>
                <w:kern w:val="0"/>
                <w:sz w:val="22"/>
                <w:szCs w:val="22"/>
                <w:lang w:bidi="ar"/>
              </w:rPr>
              <w:t>常德市桃源县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120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2022-2030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7</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Style w:val="18"/>
                <w:rFonts w:hint="default" w:ascii="Times New Roman" w:hAnsi="Times New Roman" w:cs="Times New Roman"/>
                <w:color w:val="auto"/>
                <w:sz w:val="22"/>
                <w:szCs w:val="22"/>
                <w:lang w:bidi="ar"/>
              </w:rPr>
            </w:pPr>
            <w:r>
              <w:rPr>
                <w:rFonts w:hint="default" w:ascii="Times New Roman" w:hAnsi="Times New Roman" w:eastAsia="宋体" w:cs="Times New Roman"/>
                <w:kern w:val="0"/>
                <w:sz w:val="22"/>
                <w:szCs w:val="22"/>
                <w:lang w:bidi="ar"/>
              </w:rPr>
              <w:t>辰溪抽水蓄能电站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kern w:val="0"/>
                <w:sz w:val="22"/>
                <w:szCs w:val="22"/>
                <w:lang w:bidi="ar"/>
              </w:rPr>
            </w:pPr>
            <w:r>
              <w:rPr>
                <w:rFonts w:hint="default" w:ascii="Times New Roman" w:hAnsi="Times New Roman" w:eastAsia="宋体" w:cs="Times New Roman"/>
                <w:kern w:val="0"/>
                <w:sz w:val="22"/>
                <w:szCs w:val="22"/>
                <w:lang w:bidi="ar"/>
              </w:rPr>
              <w:t>怀化市辰溪县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120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2023-2029</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8</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Style w:val="18"/>
                <w:rFonts w:hint="default" w:ascii="Times New Roman" w:hAnsi="Times New Roman" w:cs="Times New Roman"/>
                <w:color w:val="auto"/>
                <w:sz w:val="22"/>
                <w:szCs w:val="22"/>
                <w:lang w:bidi="ar"/>
              </w:rPr>
            </w:pPr>
            <w:r>
              <w:rPr>
                <w:rFonts w:hint="default" w:ascii="Times New Roman" w:hAnsi="Times New Roman" w:eastAsia="宋体" w:cs="Times New Roman"/>
                <w:kern w:val="0"/>
                <w:sz w:val="22"/>
                <w:szCs w:val="22"/>
                <w:lang w:bidi="ar"/>
              </w:rPr>
              <w:t>江华湾水源抽水蓄能电站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kern w:val="0"/>
                <w:sz w:val="22"/>
                <w:szCs w:val="22"/>
                <w:lang w:bidi="ar"/>
              </w:rPr>
            </w:pPr>
            <w:r>
              <w:rPr>
                <w:rFonts w:hint="default" w:ascii="Times New Roman" w:hAnsi="Times New Roman" w:eastAsia="宋体" w:cs="Times New Roman"/>
                <w:kern w:val="0"/>
                <w:sz w:val="22"/>
                <w:szCs w:val="22"/>
                <w:lang w:bidi="ar"/>
              </w:rPr>
              <w:t>永州市江华县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140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2023-2032</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9</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Style w:val="18"/>
                <w:rFonts w:hint="default" w:ascii="Times New Roman" w:hAnsi="Times New Roman" w:cs="Times New Roman"/>
                <w:color w:val="auto"/>
                <w:sz w:val="22"/>
                <w:szCs w:val="22"/>
                <w:lang w:bidi="ar"/>
              </w:rPr>
            </w:pPr>
            <w:r>
              <w:rPr>
                <w:rFonts w:hint="default" w:ascii="Times New Roman" w:hAnsi="Times New Roman" w:eastAsia="宋体" w:cs="Times New Roman"/>
                <w:kern w:val="0"/>
                <w:sz w:val="22"/>
                <w:szCs w:val="22"/>
                <w:lang w:bidi="ar"/>
              </w:rPr>
              <w:t>双牌天子山抽水蓄能电站</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kern w:val="0"/>
                <w:sz w:val="22"/>
                <w:szCs w:val="22"/>
                <w:lang w:bidi="ar"/>
              </w:rPr>
            </w:pPr>
            <w:r>
              <w:rPr>
                <w:rFonts w:hint="default" w:ascii="Times New Roman" w:hAnsi="Times New Roman" w:eastAsia="宋体" w:cs="Times New Roman"/>
                <w:kern w:val="0"/>
                <w:sz w:val="22"/>
                <w:szCs w:val="22"/>
                <w:lang w:bidi="ar"/>
              </w:rPr>
              <w:t>永州市双牌县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140</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r>
              <w:rPr>
                <w:rFonts w:hint="default" w:ascii="Times New Roman" w:hAnsi="Times New Roman" w:eastAsia="宋体" w:cs="Times New Roman"/>
                <w:kern w:val="0"/>
                <w:sz w:val="22"/>
                <w:szCs w:val="22"/>
                <w:lang w:bidi="ar"/>
              </w:rPr>
              <w:t>2024-2032</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ind w:firstLine="44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75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二、水电改造项目</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Style w:val="18"/>
                <w:rFonts w:hint="default" w:ascii="Times New Roman" w:hAnsi="Times New Roman" w:cs="Times New Roman" w:eastAsiaTheme="minorEastAsia"/>
                <w:color w:val="auto"/>
                <w:sz w:val="22"/>
                <w:szCs w:val="22"/>
                <w:lang w:bidi="ar"/>
              </w:rPr>
              <w:t>柘溪水电厂增容改造</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Style w:val="18"/>
                <w:rFonts w:hint="default" w:ascii="Times New Roman" w:hAnsi="Times New Roman" w:cs="Times New Roman" w:eastAsiaTheme="minorEastAsia"/>
                <w:color w:val="auto"/>
                <w:sz w:val="22"/>
                <w:szCs w:val="22"/>
                <w:lang w:bidi="ar"/>
              </w:rPr>
              <w:t>益阳市安化县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扩容</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1万千瓦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2025-2027</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p>
        </w:tc>
      </w:tr>
      <w:tr>
        <w:tblPrEx>
          <w:tblCellMar>
            <w:top w:w="0" w:type="dxa"/>
            <w:left w:w="108" w:type="dxa"/>
            <w:bottom w:w="0" w:type="dxa"/>
            <w:right w:w="108" w:type="dxa"/>
          </w:tblCellMar>
        </w:tblPrEx>
        <w:trPr>
          <w:trHeight w:val="27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Style w:val="18"/>
                <w:rFonts w:hint="default" w:ascii="Times New Roman" w:hAnsi="Times New Roman" w:cs="Times New Roman" w:eastAsiaTheme="minorEastAsia"/>
                <w:color w:val="auto"/>
                <w:sz w:val="22"/>
                <w:szCs w:val="22"/>
                <w:lang w:bidi="ar"/>
              </w:rPr>
              <w:t>凤滩水电厂增容改造</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Style w:val="18"/>
                <w:rFonts w:hint="default" w:ascii="Times New Roman" w:hAnsi="Times New Roman" w:cs="Times New Roman" w:eastAsiaTheme="minorEastAsia"/>
                <w:color w:val="auto"/>
                <w:sz w:val="22"/>
                <w:szCs w:val="22"/>
                <w:lang w:bidi="ar"/>
              </w:rPr>
              <w:t>怀化市沅陵县</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扩容</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1.5万千瓦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2025-2027</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p>
        </w:tc>
      </w:tr>
      <w:tr>
        <w:tblPrEx>
          <w:tblCellMar>
            <w:top w:w="0" w:type="dxa"/>
            <w:left w:w="108" w:type="dxa"/>
            <w:bottom w:w="0" w:type="dxa"/>
            <w:right w:w="108" w:type="dxa"/>
          </w:tblCellMar>
        </w:tblPrEx>
        <w:trPr>
          <w:trHeight w:val="48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3</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符合条件的小水电设备更新改造</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有关</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市州</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2026-2030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eastAsia" w:ascii="Times New Roman" w:hAnsi="Times New Roman" w:cs="Times New Roman" w:eastAsiaTheme="minorEastAsia"/>
                <w:kern w:val="0"/>
                <w:sz w:val="22"/>
                <w:szCs w:val="22"/>
                <w:lang w:eastAsia="zh-CN" w:bidi="ar"/>
              </w:rPr>
            </w:pPr>
            <w:r>
              <w:rPr>
                <w:rFonts w:hint="default" w:ascii="Times New Roman" w:hAnsi="Times New Roman" w:cs="Times New Roman" w:eastAsiaTheme="minorEastAsia"/>
                <w:kern w:val="0"/>
                <w:sz w:val="22"/>
                <w:szCs w:val="22"/>
                <w:lang w:bidi="ar"/>
              </w:rPr>
              <w:t>省水利厅</w:t>
            </w:r>
            <w:r>
              <w:rPr>
                <w:rFonts w:hint="eastAsia" w:cs="Times New Roman" w:eastAsiaTheme="minorEastAsia"/>
                <w:kern w:val="0"/>
                <w:sz w:val="22"/>
                <w:szCs w:val="22"/>
                <w:lang w:val="en-US" w:eastAsia="zh-CN" w:bidi="ar"/>
              </w:rPr>
              <w:t>牵头</w:t>
            </w:r>
          </w:p>
        </w:tc>
      </w:tr>
      <w:tr>
        <w:tblPrEx>
          <w:tblCellMar>
            <w:top w:w="0" w:type="dxa"/>
            <w:left w:w="108" w:type="dxa"/>
            <w:bottom w:w="0" w:type="dxa"/>
            <w:right w:w="108" w:type="dxa"/>
          </w:tblCellMar>
        </w:tblPrEx>
        <w:trPr>
          <w:trHeight w:val="270" w:hRule="atLeast"/>
          <w:jc w:val="center"/>
        </w:trPr>
        <w:tc>
          <w:tcPr>
            <w:tcW w:w="75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三、生物质发电项目</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kern w:val="0"/>
                <w:sz w:val="22"/>
                <w:szCs w:val="22"/>
                <w:lang w:bidi="ar"/>
              </w:rPr>
            </w:pPr>
          </w:p>
        </w:tc>
      </w:tr>
      <w:tr>
        <w:tblPrEx>
          <w:tblCellMar>
            <w:top w:w="0" w:type="dxa"/>
            <w:left w:w="108" w:type="dxa"/>
            <w:bottom w:w="0" w:type="dxa"/>
            <w:right w:w="108" w:type="dxa"/>
          </w:tblCellMar>
        </w:tblPrEx>
        <w:trPr>
          <w:trHeight w:val="48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生物质发电项目</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有关</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市州</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新增规模</w:t>
            </w:r>
          </w:p>
          <w:p>
            <w:pPr>
              <w:snapToGrid w:val="0"/>
              <w:spacing w:line="240" w:lineRule="auto"/>
              <w:ind w:firstLine="0" w:firstLineChars="0"/>
              <w:jc w:val="center"/>
              <w:textAlignment w:val="center"/>
              <w:rPr>
                <w:rFonts w:hint="default" w:ascii="Times New Roman" w:hAnsi="Times New Roman" w:cs="Times New Roman" w:eastAsiaTheme="minorEastAsia"/>
                <w:color w:val="FF0000"/>
                <w:sz w:val="22"/>
                <w:szCs w:val="22"/>
              </w:rPr>
            </w:pPr>
            <w:r>
              <w:rPr>
                <w:rFonts w:hint="default" w:ascii="Times New Roman" w:hAnsi="Times New Roman" w:cs="Times New Roman" w:eastAsiaTheme="minorEastAsia"/>
                <w:kern w:val="0"/>
                <w:sz w:val="22"/>
                <w:szCs w:val="22"/>
                <w:lang w:bidi="ar"/>
              </w:rPr>
              <w:t>26万千瓦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2026-2030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270" w:hRule="atLeast"/>
          <w:jc w:val="center"/>
        </w:trPr>
        <w:tc>
          <w:tcPr>
            <w:tcW w:w="757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sz w:val="22"/>
                <w:szCs w:val="22"/>
              </w:rPr>
            </w:pPr>
            <w:r>
              <w:rPr>
                <w:rFonts w:hint="default" w:ascii="Times New Roman" w:hAnsi="Times New Roman" w:eastAsia="黑体" w:cs="Times New Roman"/>
                <w:kern w:val="0"/>
                <w:sz w:val="22"/>
                <w:szCs w:val="22"/>
                <w:lang w:bidi="ar"/>
              </w:rPr>
              <w:t>四、风电、光伏发电项目</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left"/>
              <w:textAlignment w:val="center"/>
              <w:rPr>
                <w:rFonts w:hint="default" w:ascii="Times New Roman" w:hAnsi="Times New Roman" w:eastAsia="黑体" w:cs="Times New Roman"/>
                <w:kern w:val="0"/>
                <w:sz w:val="22"/>
                <w:szCs w:val="22"/>
                <w:lang w:bidi="ar"/>
              </w:rPr>
            </w:pPr>
          </w:p>
        </w:tc>
      </w:tr>
      <w:tr>
        <w:tblPrEx>
          <w:tblCellMar>
            <w:top w:w="0" w:type="dxa"/>
            <w:left w:w="108" w:type="dxa"/>
            <w:bottom w:w="0" w:type="dxa"/>
            <w:right w:w="108" w:type="dxa"/>
          </w:tblCellMar>
        </w:tblPrEx>
        <w:trPr>
          <w:trHeight w:val="51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1</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风电项目</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有关</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市州</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新增规模超883万千瓦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2026-2030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p>
        </w:tc>
      </w:tr>
      <w:tr>
        <w:tblPrEx>
          <w:tblCellMar>
            <w:top w:w="0" w:type="dxa"/>
            <w:left w:w="108" w:type="dxa"/>
            <w:bottom w:w="0" w:type="dxa"/>
            <w:right w:w="108" w:type="dxa"/>
          </w:tblCellMar>
        </w:tblPrEx>
        <w:trPr>
          <w:trHeight w:val="750" w:hRule="atLeast"/>
          <w:jc w:val="center"/>
        </w:trPr>
        <w:tc>
          <w:tcPr>
            <w:tcW w:w="655"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sz w:val="22"/>
                <w:szCs w:val="22"/>
              </w:rPr>
            </w:pPr>
            <w:r>
              <w:rPr>
                <w:rFonts w:hint="default" w:ascii="Times New Roman" w:hAnsi="Times New Roman" w:eastAsia="宋体" w:cs="Times New Roman"/>
                <w:kern w:val="0"/>
                <w:sz w:val="22"/>
                <w:szCs w:val="22"/>
                <w:lang w:bidi="ar"/>
              </w:rPr>
              <w:t>2</w:t>
            </w:r>
          </w:p>
        </w:tc>
        <w:tc>
          <w:tcPr>
            <w:tcW w:w="297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光伏发电项目</w:t>
            </w:r>
          </w:p>
        </w:tc>
        <w:tc>
          <w:tcPr>
            <w:tcW w:w="1067"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kern w:val="0"/>
                <w:sz w:val="22"/>
                <w:szCs w:val="22"/>
                <w:lang w:bidi="ar"/>
              </w:rPr>
            </w:pPr>
            <w:r>
              <w:rPr>
                <w:rFonts w:hint="default" w:ascii="Times New Roman" w:hAnsi="Times New Roman" w:cs="Times New Roman" w:eastAsiaTheme="minorEastAsia"/>
                <w:kern w:val="0"/>
                <w:sz w:val="22"/>
                <w:szCs w:val="22"/>
                <w:lang w:bidi="ar"/>
              </w:rPr>
              <w:t>有关</w:t>
            </w:r>
          </w:p>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市州</w:t>
            </w:r>
          </w:p>
        </w:tc>
        <w:tc>
          <w:tcPr>
            <w:tcW w:w="1468"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新增规模超926万千瓦</w:t>
            </w:r>
          </w:p>
        </w:tc>
        <w:tc>
          <w:tcPr>
            <w:tcW w:w="1412"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cs="Times New Roman" w:eastAsiaTheme="minorEastAsia"/>
                <w:sz w:val="22"/>
                <w:szCs w:val="22"/>
              </w:rPr>
            </w:pPr>
            <w:r>
              <w:rPr>
                <w:rFonts w:hint="default" w:ascii="Times New Roman" w:hAnsi="Times New Roman" w:cs="Times New Roman" w:eastAsiaTheme="minorEastAsia"/>
                <w:kern w:val="0"/>
                <w:sz w:val="22"/>
                <w:szCs w:val="22"/>
                <w:lang w:bidi="ar"/>
              </w:rPr>
              <w:t>2026-2030</w:t>
            </w:r>
          </w:p>
        </w:tc>
        <w:tc>
          <w:tcPr>
            <w:tcW w:w="939" w:type="dxa"/>
            <w:tcBorders>
              <w:top w:val="single" w:color="000000" w:sz="4" w:space="0"/>
              <w:left w:val="single" w:color="000000" w:sz="4" w:space="0"/>
              <w:bottom w:val="single" w:color="000000" w:sz="4" w:space="0"/>
              <w:right w:val="single" w:color="000000" w:sz="4" w:space="0"/>
            </w:tcBorders>
            <w:shd w:val="clear" w:color="auto" w:fill="auto"/>
            <w:vAlign w:val="center"/>
          </w:tcPr>
          <w:p>
            <w:pPr>
              <w:snapToGrid w:val="0"/>
              <w:spacing w:line="240" w:lineRule="auto"/>
              <w:ind w:firstLine="0" w:firstLineChars="0"/>
              <w:jc w:val="center"/>
              <w:textAlignment w:val="center"/>
              <w:rPr>
                <w:rFonts w:hint="default" w:ascii="Times New Roman" w:hAnsi="Times New Roman" w:eastAsia="宋体" w:cs="Times New Roman"/>
                <w:kern w:val="0"/>
                <w:sz w:val="22"/>
                <w:szCs w:val="22"/>
                <w:lang w:bidi="ar"/>
              </w:rPr>
            </w:pPr>
          </w:p>
        </w:tc>
      </w:tr>
    </w:tbl>
    <w:p>
      <w:pPr>
        <w:pStyle w:val="2"/>
        <w:spacing w:line="20" w:lineRule="exact"/>
        <w:ind w:left="0" w:leftChars="0"/>
        <w:rPr>
          <w:rFonts w:hint="default" w:ascii="Times New Roman" w:hAnsi="Times New Roman" w:cs="Times New Roman"/>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0" w:firstLineChars="0"/>
        <w:rPr>
          <w:rFonts w:hint="default"/>
        </w:rPr>
      </w:pPr>
    </w:p>
    <w:p>
      <w:pPr>
        <w:spacing w:line="580" w:lineRule="exact"/>
        <w:ind w:firstLine="640" w:firstLineChars="200"/>
        <w:jc w:val="left"/>
        <w:rPr>
          <w:rFonts w:ascii="Times New Roman" w:hAnsi="Times New Roman" w:eastAsia="仿宋"/>
          <w:bCs/>
          <w:sz w:val="32"/>
          <w:szCs w:val="32"/>
        </w:rPr>
      </w:pPr>
    </w:p>
    <w:tbl>
      <w:tblPr>
        <w:tblStyle w:val="13"/>
        <w:tblW w:w="9004" w:type="dxa"/>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0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004" w:type="dxa"/>
            <w:tcBorders>
              <w:top w:val="single" w:color="auto" w:sz="4" w:space="0"/>
              <w:bottom w:val="single" w:color="auto" w:sz="4" w:space="0"/>
            </w:tcBorders>
            <w:noWrap w:val="0"/>
            <w:vAlign w:val="top"/>
          </w:tcPr>
          <w:p>
            <w:pPr>
              <w:spacing w:line="520" w:lineRule="exact"/>
              <w:ind w:left="160" w:leftChars="50" w:firstLine="0" w:firstLineChars="0"/>
              <w:jc w:val="left"/>
              <w:rPr>
                <w:rFonts w:ascii="Times New Roman" w:hAnsi="Times New Roman" w:eastAsia="仿宋_GB2312"/>
                <w:bCs/>
                <w:sz w:val="28"/>
                <w:szCs w:val="28"/>
              </w:rPr>
            </w:pPr>
            <w:r>
              <w:rPr>
                <w:rFonts w:ascii="Times New Roman" w:hAnsi="Times New Roman" w:eastAsia="仿宋_GB2312"/>
                <w:bCs/>
                <w:sz w:val="28"/>
                <w:szCs w:val="28"/>
              </w:rPr>
              <w:t xml:space="preserve">湖南省发展和改革委员会办公室            </w:t>
            </w:r>
            <w:bookmarkStart w:id="88" w:name="FlYear2"/>
            <w:r>
              <w:rPr>
                <w:rFonts w:ascii="Times New Roman" w:hAnsi="Times New Roman" w:eastAsia="仿宋_GB2312"/>
                <w:bCs/>
                <w:sz w:val="28"/>
                <w:szCs w:val="28"/>
              </w:rPr>
              <w:t>202</w:t>
            </w:r>
            <w:bookmarkEnd w:id="88"/>
            <w:r>
              <w:rPr>
                <w:rFonts w:hint="eastAsia" w:ascii="Times New Roman" w:hAnsi="Times New Roman" w:eastAsia="仿宋_GB2312"/>
                <w:bCs/>
                <w:sz w:val="28"/>
                <w:szCs w:val="28"/>
                <w:lang w:val="en-US" w:eastAsia="zh-CN"/>
              </w:rPr>
              <w:t>6</w:t>
            </w:r>
            <w:r>
              <w:rPr>
                <w:rFonts w:ascii="Times New Roman" w:hAnsi="Times New Roman" w:eastAsia="仿宋_GB2312"/>
                <w:bCs/>
                <w:sz w:val="28"/>
                <w:szCs w:val="28"/>
              </w:rPr>
              <w:t>年</w:t>
            </w:r>
            <w:r>
              <w:rPr>
                <w:rFonts w:hint="default" w:ascii="Times New Roman" w:hAnsi="Times New Roman" w:eastAsia="仿宋_GB2312" w:cs="Times New Roman"/>
                <w:sz w:val="28"/>
                <w:szCs w:val="28"/>
                <w:lang w:val="en-US" w:eastAsia="zh-CN"/>
              </w:rPr>
              <w:t>10月</w:t>
            </w:r>
            <w:r>
              <w:rPr>
                <w:rFonts w:ascii="Times New Roman" w:hAnsi="Times New Roman" w:eastAsia="仿宋_GB2312"/>
                <w:bCs/>
                <w:sz w:val="28"/>
                <w:szCs w:val="28"/>
              </w:rPr>
              <w:t>2</w:t>
            </w:r>
            <w:r>
              <w:rPr>
                <w:rFonts w:hint="default" w:ascii="Times New Roman" w:hAnsi="Times New Roman" w:eastAsia="仿宋_GB2312"/>
                <w:bCs/>
                <w:sz w:val="28"/>
                <w:szCs w:val="28"/>
                <w:lang w:val="en"/>
              </w:rPr>
              <w:t>9</w:t>
            </w:r>
            <w:r>
              <w:rPr>
                <w:rFonts w:ascii="Times New Roman" w:hAnsi="Times New Roman" w:eastAsia="仿宋_GB2312"/>
                <w:bCs/>
                <w:sz w:val="28"/>
                <w:szCs w:val="28"/>
              </w:rPr>
              <w:t>日印发</w:t>
            </w:r>
          </w:p>
        </w:tc>
      </w:tr>
    </w:tbl>
    <w:p>
      <w:pPr>
        <w:spacing w:line="40" w:lineRule="exact"/>
        <w:ind w:firstLine="0" w:firstLineChars="0"/>
        <w:rPr>
          <w:rFonts w:hint="default"/>
        </w:rPr>
      </w:pPr>
    </w:p>
    <w:sectPr>
      <w:headerReference r:id="rId14" w:type="default"/>
      <w:footerReference r:id="rId15" w:type="default"/>
      <w:footerReference r:id="rId16" w:type="even"/>
      <w:pgSz w:w="11906" w:h="16838"/>
      <w:pgMar w:top="1871" w:right="1531" w:bottom="1531" w:left="1588" w:header="851" w:footer="1304" w:gutter="0"/>
      <w:cols w:space="0" w:num="1"/>
      <w:docGrid w:type="lines" w:linePitch="44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wordWrap w:val="0"/>
      <w:spacing w:line="240" w:lineRule="auto"/>
      <w:ind w:firstLine="560"/>
      <w:jc w:val="right"/>
      <w:rPr>
        <w:rFonts w:hint="eastAsia" w:eastAsia="仿宋_GB2312"/>
        <w:sz w:val="28"/>
        <w:szCs w:val="28"/>
        <w:lang w:eastAsia="zh-CN"/>
      </w:rPr>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r>
      <w:rPr>
        <w:rFonts w:hint="eastAsia"/>
        <w:kern w:val="0"/>
        <w:sz w:val="28"/>
        <w:szCs w:val="28"/>
        <w:lang w:eastAsia="zh-CN"/>
      </w:rPr>
      <w:t>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0" w:firstLineChars="0"/>
      <w:rPr>
        <w:rFonts w:hint="eastAsia" w:eastAsia="仿宋_GB2312"/>
        <w:lang w:eastAsia="zh-CN"/>
      </w:rPr>
    </w:pPr>
    <w:r>
      <w:rPr>
        <w:rFonts w:hint="eastAsia"/>
        <w:lang w:eastAsia="zh-CN"/>
      </w:rPr>
      <w:t>　</w:t>
    </w: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560"/>
      <w:jc w:val="right"/>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5</w:t>
    </w:r>
    <w:r>
      <w:rPr>
        <w:sz w:val="28"/>
        <w:szCs w:val="28"/>
      </w:rPr>
      <w:fldChar w:fldCharType="end"/>
    </w:r>
    <w:r>
      <w:rPr>
        <w:sz w:val="28"/>
        <w:szCs w:val="28"/>
      </w:rPr>
      <w:t xml:space="preserve"> —</w:t>
    </w:r>
    <w:r>
      <w:rPr>
        <w:rFonts w:hint="eastAsia"/>
        <w:sz w:val="28"/>
        <w:szCs w:val="28"/>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0" w:firstLineChars="0"/>
    </w:pPr>
    <w:r>
      <w:rPr>
        <w:rFonts w:hint="eastAsia"/>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18</w:t>
    </w:r>
    <w:r>
      <w:rPr>
        <w:sz w:val="28"/>
        <w:szCs w:val="28"/>
      </w:rPr>
      <w:fldChar w:fldCharType="end"/>
    </w:r>
    <w:r>
      <w:rPr>
        <w:sz w:val="28"/>
        <w:szCs w:val="28"/>
      </w:rPr>
      <w:t xml:space="preserve"> —</w:t>
    </w:r>
    <w:r>
      <w:rPr>
        <w:rFonts w:hint="eastAsia"/>
        <w:sz w:val="28"/>
        <w:szCs w:val="28"/>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36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spacing w:line="240" w:lineRule="auto"/>
                            <w:ind w:firstLine="360"/>
                          </w:pPr>
                          <w:r>
                            <w:rPr>
                              <w:rFonts w:hint="eastAsia"/>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17</w:t>
                          </w:r>
                          <w:r>
                            <w:rPr>
                              <w:sz w:val="28"/>
                              <w:szCs w:val="28"/>
                            </w:rPr>
                            <w:fldChar w:fldCharType="end"/>
                          </w:r>
                          <w:r>
                            <w:rPr>
                              <w:sz w:val="28"/>
                              <w:szCs w:val="28"/>
                            </w:rPr>
                            <w:t xml:space="preserve"> —</w:t>
                          </w:r>
                          <w:r>
                            <w:rPr>
                              <w:rFonts w:hint="eastAsia"/>
                              <w:sz w:val="28"/>
                              <w:szCs w:val="28"/>
                              <w:lang w:eastAsia="zh-CN"/>
                            </w:rPr>
                            <w:t>　　</w:t>
                          </w:r>
                          <w:r>
                            <w:rPr>
                              <w:rFonts w:hint="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8"/>
                      <w:spacing w:line="240" w:lineRule="auto"/>
                      <w:ind w:firstLine="360"/>
                    </w:pPr>
                    <w:r>
                      <w:rPr>
                        <w:rFonts w:hint="eastAsia"/>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17</w:t>
                    </w:r>
                    <w:r>
                      <w:rPr>
                        <w:sz w:val="28"/>
                        <w:szCs w:val="28"/>
                      </w:rPr>
                      <w:fldChar w:fldCharType="end"/>
                    </w:r>
                    <w:r>
                      <w:rPr>
                        <w:sz w:val="28"/>
                        <w:szCs w:val="28"/>
                      </w:rPr>
                      <w:t xml:space="preserve"> —</w:t>
                    </w:r>
                    <w:r>
                      <w:rPr>
                        <w:rFonts w:hint="eastAsia"/>
                        <w:sz w:val="28"/>
                        <w:szCs w:val="28"/>
                        <w:lang w:eastAsia="zh-CN"/>
                      </w:rPr>
                      <w:t>　　</w:t>
                    </w:r>
                    <w:r>
                      <w:rPr>
                        <w:rFonts w:hint="eastAsia"/>
                        <w:sz w:val="28"/>
                        <w:szCs w:val="28"/>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360"/>
      <w:jc w:val="right"/>
    </w:pPr>
    <w:r>
      <w:rPr>
        <w:rFonts w:hint="eastAsia"/>
      </w:rPr>
      <w:t xml:space="preserve">  </w:t>
    </w: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18</w:t>
    </w:r>
    <w:r>
      <w:rPr>
        <w:sz w:val="28"/>
        <w:szCs w:val="28"/>
      </w:rPr>
      <w:fldChar w:fldCharType="end"/>
    </w:r>
    <w:r>
      <w:rPr>
        <w:sz w:val="28"/>
        <w:szCs w:val="28"/>
      </w:rPr>
      <w:t xml:space="preserve"> —</w:t>
    </w:r>
    <w:r>
      <w:rPr>
        <w:rFonts w:hint="eastAsia"/>
        <w:sz w:val="28"/>
        <w:szCs w:val="28"/>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spacing w:line="240" w:lineRule="auto"/>
      <w:ind w:firstLine="0" w:firstLineChars="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
    <w:p>
      <w:pPr>
        <w:spacing w:line="240" w:lineRule="auto"/>
        <w:ind w:firstLine="640"/>
      </w:pPr>
      <w:r>
        <w:separator/>
      </w:r>
    </w:p>
  </w:footnote>
  <w:footnote w:type="continuationSeparator" w:id="5">
    <w:p>
      <w:pPr>
        <w:spacing w:line="240" w:lineRule="auto"/>
        <w:ind w:firstLine="640"/>
      </w:pPr>
      <w:r>
        <w:continuationSeparator/>
      </w:r>
    </w:p>
  </w:footnote>
  <w:footnote w:id="0">
    <w:p>
      <w:pPr>
        <w:pStyle w:val="11"/>
        <w:spacing w:line="240" w:lineRule="auto"/>
        <w:ind w:firstLine="600"/>
        <w:rPr>
          <w:color w:val="000000" w:themeColor="text1"/>
          <w14:textFill>
            <w14:solidFill>
              <w14:schemeClr w14:val="tx1"/>
            </w14:solidFill>
          </w14:textFill>
        </w:rPr>
      </w:pPr>
      <w:r>
        <w:rPr>
          <w:rStyle w:val="16"/>
          <w:color w:val="000000" w:themeColor="text1"/>
          <w:sz w:val="30"/>
          <w:szCs w:val="30"/>
          <w14:textFill>
            <w14:solidFill>
              <w14:schemeClr w14:val="tx1"/>
            </w14:solidFill>
          </w14:textFill>
        </w:rPr>
        <w:footnoteRef/>
      </w:r>
      <w:r>
        <w:rPr>
          <w:color w:val="000000" w:themeColor="text1"/>
          <w:sz w:val="30"/>
          <w:szCs w:val="30"/>
          <w14:textFill>
            <w14:solidFill>
              <w14:schemeClr w14:val="tx1"/>
            </w14:solidFill>
          </w14:textFill>
        </w:rPr>
        <w:t xml:space="preserve"> </w:t>
      </w:r>
      <w:r>
        <w:rPr>
          <w:snapToGrid w:val="0"/>
          <w:color w:val="000000" w:themeColor="text1"/>
          <w:sz w:val="24"/>
          <w14:textFill>
            <w14:solidFill>
              <w14:schemeClr w14:val="tx1"/>
            </w14:solidFill>
          </w14:textFill>
        </w:rPr>
        <w:t>可再生能源发电装机中，2030年风电、光伏总装机预期最低规模为5900万千瓦，预期最高规模为6500万千瓦。</w:t>
      </w:r>
    </w:p>
  </w:footnote>
  <w:footnote w:id="1">
    <w:p>
      <w:pPr>
        <w:pStyle w:val="11"/>
        <w:spacing w:line="240" w:lineRule="auto"/>
        <w:ind w:firstLine="600"/>
        <w:rPr>
          <w:color w:val="000000" w:themeColor="text1"/>
          <w14:textFill>
            <w14:solidFill>
              <w14:schemeClr w14:val="tx1"/>
            </w14:solidFill>
          </w14:textFill>
        </w:rPr>
      </w:pPr>
      <w:r>
        <w:rPr>
          <w:rStyle w:val="16"/>
          <w:color w:val="000000" w:themeColor="text1"/>
          <w:sz w:val="30"/>
          <w:szCs w:val="30"/>
          <w14:textFill>
            <w14:solidFill>
              <w14:schemeClr w14:val="tx1"/>
            </w14:solidFill>
          </w14:textFill>
        </w:rPr>
        <w:footnoteRef/>
      </w:r>
      <w:r>
        <w:rPr>
          <w:color w:val="000000" w:themeColor="text1"/>
          <w:sz w:val="30"/>
          <w:szCs w:val="30"/>
          <w14:textFill>
            <w14:solidFill>
              <w14:schemeClr w14:val="tx1"/>
            </w14:solidFill>
          </w14:textFill>
        </w:rPr>
        <w:t xml:space="preserve"> </w:t>
      </w:r>
      <w:r>
        <w:rPr>
          <w:snapToGrid w:val="0"/>
          <w:color w:val="000000" w:themeColor="text1"/>
          <w:sz w:val="24"/>
          <w14:textFill>
            <w14:solidFill>
              <w14:schemeClr w14:val="tx1"/>
            </w14:solidFill>
          </w14:textFill>
        </w:rPr>
        <w:t>可再生能源电力消纳责任权重和非水可再生能源电力消纳责任权重以最终国家文件为准。</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BCD837"/>
    <w:multiLevelType w:val="multilevel"/>
    <w:tmpl w:val="C9BCD837"/>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suff w:val="nothing"/>
      <w:lvlText w:val="（%4）"/>
      <w:lvlJc w:val="left"/>
      <w:pPr>
        <w:ind w:left="-24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E655C395"/>
    <w:multiLevelType w:val="singleLevel"/>
    <w:tmpl w:val="E655C395"/>
    <w:lvl w:ilvl="0" w:tentative="0">
      <w:start w:val="1"/>
      <w:numFmt w:val="decimal"/>
      <w:suff w:val="nothing"/>
      <w:lvlText w:val="%1．"/>
      <w:lvlJc w:val="left"/>
      <w:pPr>
        <w:ind w:left="0" w:firstLine="400"/>
      </w:pPr>
      <w:rPr>
        <w:rFonts w:hint="default"/>
      </w:rPr>
    </w:lvl>
  </w:abstractNum>
  <w:abstractNum w:abstractNumId="2">
    <w:nsid w:val="1459F1D6"/>
    <w:multiLevelType w:val="singleLevel"/>
    <w:tmpl w:val="1459F1D6"/>
    <w:lvl w:ilvl="0" w:tentative="0">
      <w:start w:val="1"/>
      <w:numFmt w:val="chineseCounting"/>
      <w:pStyle w:val="4"/>
      <w:suff w:val="nothing"/>
      <w:lvlText w:val="（%1）"/>
      <w:lvlJc w:val="left"/>
      <w:pPr>
        <w:ind w:left="0" w:firstLine="420"/>
      </w:pPr>
      <w:rPr>
        <w:rFonts w:hint="eastAsia"/>
      </w:rPr>
    </w:lvl>
  </w:abstractNum>
  <w:num w:numId="1">
    <w:abstractNumId w:val="0"/>
  </w:num>
  <w:num w:numId="2">
    <w:abstractNumId w:val="2"/>
  </w:num>
  <w:num w:numId="3">
    <w:abstractNumId w:val="1"/>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evenAndOddHeaders w:val="true"/>
  <w:drawingGridHorizontalSpacing w:val="160"/>
  <w:drawingGridVerticalSpacing w:val="447"/>
  <w:displayHorizontalDrawingGridEvery w:val="2"/>
  <w:noPunctuationKerning w:val="true"/>
  <w:characterSpacingControl w:val="compressPunctuation"/>
  <w:footnotePr>
    <w:footnote w:id="4"/>
    <w:footnote w:id="5"/>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F6602"/>
    <w:rsid w:val="00007238"/>
    <w:rsid w:val="000123DF"/>
    <w:rsid w:val="00016496"/>
    <w:rsid w:val="0007657C"/>
    <w:rsid w:val="00084BA1"/>
    <w:rsid w:val="000940AE"/>
    <w:rsid w:val="00131D5E"/>
    <w:rsid w:val="001379E2"/>
    <w:rsid w:val="0014314C"/>
    <w:rsid w:val="0015717E"/>
    <w:rsid w:val="001A7351"/>
    <w:rsid w:val="001C4A8D"/>
    <w:rsid w:val="001D2967"/>
    <w:rsid w:val="001E1A13"/>
    <w:rsid w:val="001F1757"/>
    <w:rsid w:val="00202D2E"/>
    <w:rsid w:val="00217581"/>
    <w:rsid w:val="00263B5C"/>
    <w:rsid w:val="00280414"/>
    <w:rsid w:val="002875C1"/>
    <w:rsid w:val="002A2F30"/>
    <w:rsid w:val="002B5594"/>
    <w:rsid w:val="003021A9"/>
    <w:rsid w:val="00377DF7"/>
    <w:rsid w:val="00387596"/>
    <w:rsid w:val="00387600"/>
    <w:rsid w:val="003F4BD9"/>
    <w:rsid w:val="0042065E"/>
    <w:rsid w:val="00421CE2"/>
    <w:rsid w:val="00423A28"/>
    <w:rsid w:val="004C7D40"/>
    <w:rsid w:val="004E5F44"/>
    <w:rsid w:val="00527D02"/>
    <w:rsid w:val="005609E7"/>
    <w:rsid w:val="005B12D8"/>
    <w:rsid w:val="005D1B3B"/>
    <w:rsid w:val="00627E4A"/>
    <w:rsid w:val="0065551F"/>
    <w:rsid w:val="0065649D"/>
    <w:rsid w:val="006731D8"/>
    <w:rsid w:val="0068288E"/>
    <w:rsid w:val="006C00B4"/>
    <w:rsid w:val="006D7EBB"/>
    <w:rsid w:val="00755DA6"/>
    <w:rsid w:val="007757B2"/>
    <w:rsid w:val="00776523"/>
    <w:rsid w:val="007B028A"/>
    <w:rsid w:val="007D064E"/>
    <w:rsid w:val="007D1928"/>
    <w:rsid w:val="0084513B"/>
    <w:rsid w:val="00853DD2"/>
    <w:rsid w:val="00876B42"/>
    <w:rsid w:val="00893C4D"/>
    <w:rsid w:val="008960F4"/>
    <w:rsid w:val="00953417"/>
    <w:rsid w:val="0099225D"/>
    <w:rsid w:val="00995B35"/>
    <w:rsid w:val="00997FD6"/>
    <w:rsid w:val="009F7A84"/>
    <w:rsid w:val="00A17F3A"/>
    <w:rsid w:val="00AF534E"/>
    <w:rsid w:val="00B02FE3"/>
    <w:rsid w:val="00B10C1E"/>
    <w:rsid w:val="00B55E17"/>
    <w:rsid w:val="00B5748A"/>
    <w:rsid w:val="00B6630D"/>
    <w:rsid w:val="00B70DF6"/>
    <w:rsid w:val="00BD00C1"/>
    <w:rsid w:val="00BE241E"/>
    <w:rsid w:val="00BE7C17"/>
    <w:rsid w:val="00C63AE6"/>
    <w:rsid w:val="00CF5DB1"/>
    <w:rsid w:val="00D22AF1"/>
    <w:rsid w:val="00D412BC"/>
    <w:rsid w:val="00D62FC2"/>
    <w:rsid w:val="00D94E5E"/>
    <w:rsid w:val="00DB3965"/>
    <w:rsid w:val="00DB4C1D"/>
    <w:rsid w:val="00E34798"/>
    <w:rsid w:val="00E72955"/>
    <w:rsid w:val="00E7320A"/>
    <w:rsid w:val="00EA1767"/>
    <w:rsid w:val="00EA2CAC"/>
    <w:rsid w:val="00EC0AAA"/>
    <w:rsid w:val="00F50A2F"/>
    <w:rsid w:val="00F731F8"/>
    <w:rsid w:val="00F9740D"/>
    <w:rsid w:val="06E45A7E"/>
    <w:rsid w:val="0E4D1CFD"/>
    <w:rsid w:val="1159557D"/>
    <w:rsid w:val="14636F90"/>
    <w:rsid w:val="18E6320F"/>
    <w:rsid w:val="1E920DF8"/>
    <w:rsid w:val="1EFBC818"/>
    <w:rsid w:val="1FFF5AC9"/>
    <w:rsid w:val="29198EA7"/>
    <w:rsid w:val="32FEE4FD"/>
    <w:rsid w:val="37196A1E"/>
    <w:rsid w:val="3A7F6847"/>
    <w:rsid w:val="3CAB2482"/>
    <w:rsid w:val="3DC26A1B"/>
    <w:rsid w:val="48AE5662"/>
    <w:rsid w:val="49CC20EF"/>
    <w:rsid w:val="4FE51FC6"/>
    <w:rsid w:val="573747EC"/>
    <w:rsid w:val="5E970EFE"/>
    <w:rsid w:val="62C15D42"/>
    <w:rsid w:val="6B375D60"/>
    <w:rsid w:val="6BFBF1BD"/>
    <w:rsid w:val="6BFE234F"/>
    <w:rsid w:val="6DBB252F"/>
    <w:rsid w:val="6DFF9653"/>
    <w:rsid w:val="6FBBAE79"/>
    <w:rsid w:val="6FFE19DB"/>
    <w:rsid w:val="71F725E6"/>
    <w:rsid w:val="72F79EC6"/>
    <w:rsid w:val="757E3F91"/>
    <w:rsid w:val="75BCCAC7"/>
    <w:rsid w:val="771966E6"/>
    <w:rsid w:val="7BEB40D5"/>
    <w:rsid w:val="7C7062F5"/>
    <w:rsid w:val="7CD998DD"/>
    <w:rsid w:val="7EFFF2A9"/>
    <w:rsid w:val="7F590282"/>
    <w:rsid w:val="7F6F6602"/>
    <w:rsid w:val="7FEB514C"/>
    <w:rsid w:val="8FF72E6F"/>
    <w:rsid w:val="93D3606F"/>
    <w:rsid w:val="991BFBEC"/>
    <w:rsid w:val="9AFE84E7"/>
    <w:rsid w:val="9DFBE715"/>
    <w:rsid w:val="A7D7FDAC"/>
    <w:rsid w:val="BBC7CC1D"/>
    <w:rsid w:val="BBD5C859"/>
    <w:rsid w:val="BCFD726D"/>
    <w:rsid w:val="BEACC062"/>
    <w:rsid w:val="BF56554A"/>
    <w:rsid w:val="C7CBE59B"/>
    <w:rsid w:val="CD4FA819"/>
    <w:rsid w:val="CD572A4E"/>
    <w:rsid w:val="DB7E5B79"/>
    <w:rsid w:val="E3EDE997"/>
    <w:rsid w:val="E7DEDA3C"/>
    <w:rsid w:val="F8FF25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96" w:lineRule="exact"/>
      <w:ind w:firstLine="420" w:firstLineChars="200"/>
      <w:jc w:val="both"/>
    </w:pPr>
    <w:rPr>
      <w:rFonts w:ascii="Times New Roman" w:hAnsi="Times New Roman" w:eastAsia="仿宋_GB2312" w:cs="Times New Roman"/>
      <w:kern w:val="2"/>
      <w:sz w:val="32"/>
      <w:szCs w:val="24"/>
      <w:lang w:val="en-US" w:eastAsia="zh-CN" w:bidi="ar-SA"/>
    </w:rPr>
  </w:style>
  <w:style w:type="paragraph" w:styleId="3">
    <w:name w:val="heading 1"/>
    <w:basedOn w:val="1"/>
    <w:next w:val="1"/>
    <w:qFormat/>
    <w:uiPriority w:val="0"/>
    <w:pPr>
      <w:numPr>
        <w:ilvl w:val="0"/>
        <w:numId w:val="1"/>
      </w:numPr>
      <w:spacing w:line="560" w:lineRule="exact"/>
      <w:ind w:firstLine="880"/>
      <w:outlineLvl w:val="0"/>
    </w:pPr>
    <w:rPr>
      <w:rFonts w:ascii="黑体" w:hAnsi="黑体" w:eastAsia="黑体" w:cs="黑体"/>
      <w:szCs w:val="36"/>
      <w:lang w:val="zh-CN" w:bidi="zh-CN"/>
    </w:rPr>
  </w:style>
  <w:style w:type="paragraph" w:styleId="4">
    <w:name w:val="heading 2"/>
    <w:basedOn w:val="1"/>
    <w:next w:val="1"/>
    <w:semiHidden/>
    <w:unhideWhenUsed/>
    <w:qFormat/>
    <w:uiPriority w:val="0"/>
    <w:pPr>
      <w:keepNext/>
      <w:numPr>
        <w:ilvl w:val="0"/>
        <w:numId w:val="2"/>
      </w:numPr>
      <w:outlineLvl w:val="1"/>
    </w:pPr>
    <w:rPr>
      <w:rFonts w:ascii="仿宋_GB2312" w:hAnsi="仿宋_GB2312" w:cs="仿宋_GB2312"/>
      <w:b/>
      <w:bCs/>
      <w:szCs w:val="32"/>
      <w:lang w:val="zh-CN" w:bidi="zh-CN"/>
    </w:rPr>
  </w:style>
  <w:style w:type="paragraph" w:styleId="5">
    <w:name w:val="heading 3"/>
    <w:basedOn w:val="1"/>
    <w:next w:val="1"/>
    <w:semiHidden/>
    <w:unhideWhenUsed/>
    <w:qFormat/>
    <w:uiPriority w:val="0"/>
    <w:pPr>
      <w:keepNext/>
      <w:keepLines/>
      <w:numPr>
        <w:ilvl w:val="2"/>
        <w:numId w:val="1"/>
      </w:numPr>
      <w:ind w:firstLine="0" w:firstLineChars="0"/>
      <w:outlineLvl w:val="2"/>
    </w:pPr>
    <w:rPr>
      <w:rFonts w:eastAsia="楷体_GB2312" w:asciiTheme="minorHAnsi" w:hAnsiTheme="minorHAnsi" w:cstheme="minorBidi"/>
      <w:b/>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widowControl/>
      <w:spacing w:line="240" w:lineRule="auto"/>
      <w:ind w:left="420" w:leftChars="200" w:firstLine="0" w:firstLineChars="0"/>
      <w:textAlignment w:val="baseline"/>
    </w:pPr>
    <w:rPr>
      <w:rFonts w:ascii="Calibri" w:hAnsi="Calibri" w:eastAsia="黑体"/>
    </w:rPr>
  </w:style>
  <w:style w:type="paragraph" w:styleId="6">
    <w:name w:val="index 5"/>
    <w:basedOn w:val="1"/>
    <w:next w:val="1"/>
    <w:qFormat/>
    <w:uiPriority w:val="0"/>
    <w:pPr>
      <w:ind w:left="1680"/>
    </w:pPr>
  </w:style>
  <w:style w:type="paragraph" w:styleId="7">
    <w:name w:val="Body Text"/>
    <w:basedOn w:val="1"/>
    <w:next w:val="1"/>
    <w:qFormat/>
    <w:uiPriority w:val="0"/>
    <w:pPr>
      <w:autoSpaceDE w:val="0"/>
      <w:autoSpaceDN w:val="0"/>
      <w:adjustRightInd w:val="0"/>
      <w:snapToGrid w:val="0"/>
      <w:ind w:firstLine="800"/>
    </w:pPr>
  </w:style>
  <w:style w:type="paragraph" w:styleId="8">
    <w:name w:val="footer"/>
    <w:basedOn w:val="1"/>
    <w:next w:val="6"/>
    <w:link w:val="19"/>
    <w:unhideWhenUsed/>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0">
    <w:name w:val="toc 1"/>
    <w:basedOn w:val="1"/>
    <w:next w:val="1"/>
    <w:qFormat/>
    <w:uiPriority w:val="0"/>
    <w:pPr>
      <w:ind w:firstLine="0" w:firstLineChars="0"/>
    </w:pPr>
    <w:rPr>
      <w:rFonts w:eastAsia="黑体"/>
      <w:szCs w:val="32"/>
    </w:rPr>
  </w:style>
  <w:style w:type="paragraph" w:styleId="11">
    <w:name w:val="footnote text"/>
    <w:basedOn w:val="1"/>
    <w:qFormat/>
    <w:uiPriority w:val="0"/>
    <w:pPr>
      <w:snapToGrid w:val="0"/>
      <w:jc w:val="left"/>
    </w:pPr>
    <w:rPr>
      <w:sz w:val="18"/>
    </w:rPr>
  </w:style>
  <w:style w:type="paragraph" w:styleId="12">
    <w:name w:val="Body Text First Indent"/>
    <w:basedOn w:val="7"/>
    <w:qFormat/>
    <w:uiPriority w:val="0"/>
    <w:pPr>
      <w:ind w:firstLine="420" w:firstLineChars="100"/>
    </w:pPr>
  </w:style>
  <w:style w:type="table" w:styleId="14">
    <w:name w:val="Table Grid"/>
    <w:basedOn w:val="13"/>
    <w:qFormat/>
    <w:uiPriority w:val="39"/>
    <w:pPr>
      <w:ind w:firstLine="289"/>
      <w:jc w:val="right"/>
    </w:pPr>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footnote reference"/>
    <w:basedOn w:val="15"/>
    <w:qFormat/>
    <w:uiPriority w:val="0"/>
    <w:rPr>
      <w:vertAlign w:val="superscript"/>
    </w:rPr>
  </w:style>
  <w:style w:type="paragraph" w:styleId="17">
    <w:name w:val="List Paragraph"/>
    <w:basedOn w:val="1"/>
    <w:qFormat/>
    <w:uiPriority w:val="1"/>
    <w:pPr>
      <w:ind w:left="220" w:firstLine="640"/>
    </w:pPr>
    <w:rPr>
      <w:rFonts w:ascii="仿宋_GB2312" w:hAnsi="仿宋_GB2312" w:cs="仿宋_GB2312"/>
      <w:lang w:val="zh-CN" w:bidi="zh-CN"/>
    </w:rPr>
  </w:style>
  <w:style w:type="character" w:customStyle="1" w:styleId="18">
    <w:name w:val="font101"/>
    <w:basedOn w:val="15"/>
    <w:qFormat/>
    <w:uiPriority w:val="0"/>
    <w:rPr>
      <w:rFonts w:hint="eastAsia" w:ascii="仿宋_GB2312" w:eastAsia="仿宋_GB2312" w:cs="仿宋_GB2312"/>
      <w:color w:val="000000"/>
      <w:sz w:val="20"/>
      <w:szCs w:val="20"/>
      <w:u w:val="none"/>
    </w:rPr>
  </w:style>
  <w:style w:type="character" w:customStyle="1" w:styleId="19">
    <w:name w:val="页脚 Char"/>
    <w:basedOn w:val="15"/>
    <w:link w:val="8"/>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4.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19</Pages>
  <Words>38</Words>
  <Characters>42</Characters>
  <Lines>118</Lines>
  <Paragraphs>33</Paragraphs>
  <TotalTime>0</TotalTime>
  <ScaleCrop>false</ScaleCrop>
  <LinksUpToDate>false</LinksUpToDate>
  <CharactersWithSpaces>42</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2026-10-10T12:03:00Z</dcterms:created>
  <dc:creator>S zp</dc:creator>
  <cp:lastModifiedBy>lick</cp:lastModifiedBy>
  <cp:lastPrinted>2026-10-10T15:32:00Z</cp:lastPrinted>
  <dcterms:modified xsi:type="dcterms:W3CDTF">2026-11-02T17:13:29Z</dcterms:modified>
  <dc:title>附件1</dc:title>
  <cp:revision>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03A1EDC71A8CE3F21C21BB6A91BA3B77_41</vt:lpwstr>
  </property>
  <property fmtid="{D5CDD505-2E9C-101B-9397-08002B2CF9AE}" pid="4" name="KSOTemplateDocerSaveRecord">
    <vt:lpwstr>eyJoZGlkIjoiOTgxZjdlYzIwN2ZiNjMzODg5N2ExMDc3NzZmY2FlYmMiLCJ1c2VySWQiOiIzMTg1MTIxMTMifQ==</vt:lpwstr>
  </property>
</Properties>
</file>