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6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adjustRightInd w:val="0"/>
        <w:snapToGrid w:val="0"/>
        <w:spacing w:line="596" w:lineRule="exact"/>
        <w:jc w:val="center"/>
        <w:rPr>
          <w:rFonts w:hint="default" w:ascii="Times New Roman" w:hAnsi="Times New Roman" w:eastAsia="方正小标宋_GBK" w:cs="Times New Roman"/>
          <w:sz w:val="42"/>
          <w:szCs w:val="42"/>
          <w:highlight w:val="none"/>
        </w:rPr>
      </w:pPr>
      <w:r>
        <w:rPr>
          <w:rFonts w:hint="default" w:ascii="Times New Roman" w:hAnsi="Times New Roman" w:eastAsia="方正小标宋_GBK" w:cs="Times New Roman"/>
          <w:sz w:val="42"/>
          <w:szCs w:val="42"/>
          <w:highlight w:val="none"/>
        </w:rPr>
        <w:t>湖南省电力市场管理委员会成员单位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9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  <w:highlight w:val="none"/>
        </w:rPr>
      </w:pPr>
      <w:r>
        <w:rPr>
          <w:rFonts w:hint="eastAsia" w:ascii="Times New Roman" w:hAnsi="Times New Roman" w:eastAsia="方正小标宋_GBK" w:cs="Times New Roman"/>
          <w:sz w:val="42"/>
          <w:szCs w:val="42"/>
          <w:highlight w:val="none"/>
          <w:lang w:val="en-US" w:eastAsia="zh-CN"/>
        </w:rPr>
        <w:t>招募</w:t>
      </w:r>
      <w:r>
        <w:rPr>
          <w:rFonts w:hint="default" w:ascii="Times New Roman" w:hAnsi="Times New Roman" w:eastAsia="方正小标宋_GBK" w:cs="Times New Roman"/>
          <w:sz w:val="42"/>
          <w:szCs w:val="42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tabs>
          <w:tab w:val="left" w:pos="64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20"/>
          <w:highlight w:val="none"/>
          <w:lang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0"/>
          <w:highlight w:val="none"/>
        </w:rPr>
        <w:t>、成员单位应具备的基本条件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在湖南省内工商部门登记注册，具有独立法人资格（不含第三方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售电（配售电）企业：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资产总额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不低于1亿元人民币且在湖南电力市场正常开展售电业务的企业。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电力用户：原则上20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年在湖南电网购电量1亿千瓦时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以上的企业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或购电量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千万千瓦时及以上的高新企业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除售电企业外，在湖南境内有集团（母）公司的企业，必须以集团（母）公司名义根据主营业务参与相应类别成员的招募。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contextualSpacing/>
        <w:jc w:val="both"/>
        <w:outlineLvl w:val="9"/>
        <w:rPr>
          <w:rFonts w:hint="default" w:ascii="Times New Roman" w:hAnsi="Times New Roman" w:eastAsia="黑体" w:cs="Times New Roman"/>
          <w:sz w:val="32"/>
          <w:szCs w:val="20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20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20"/>
          <w:highlight w:val="none"/>
        </w:rPr>
        <w:t>、市场管理委员会委员应具备的条件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拥护党和国家的方针政策，大局意识和创新意识较强，为人正派公道。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从事电力行业或电力相关工作3年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以上，具有与电力相关的专业背景或工作背景。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原则上属于成员单位中层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以上管理岗位的在职工作人员，具有履行职责所需的相关能力。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信用良好，最近3年无违法违规记录和不良信用记录。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contextualSpacing/>
        <w:jc w:val="both"/>
        <w:outlineLvl w:val="9"/>
        <w:rPr>
          <w:rFonts w:hint="default" w:ascii="Times New Roman" w:hAnsi="Times New Roman" w:eastAsia="黑体" w:cs="Times New Roman"/>
          <w:sz w:val="32"/>
          <w:szCs w:val="20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20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20"/>
          <w:highlight w:val="none"/>
        </w:rPr>
        <w:t>、招募方式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符合成员单位基本条件的售电（配售电）企业、电力用户自愿申报参与招募。申报单位数量超过相应类别成员单位招募数量限额时，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进行差额选举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，按照得票数高低次序确定候选单位，票数相同者进行第二轮投票。申报单位数量不足或投票机制失效导致席位空缺，由省发改委根据实际情况指定。售电（配售电）企业、电力用户还应遵从以下原则：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售电（配售电）企业：为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非电网公司、发电企业背景的售电公司。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电力用户：按照行业分类，原则上同一行业不超过2个名额。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本次招募最终入选单位和委员由省发改委审核确定。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3C1C"/>
    <w:rsid w:val="0D453C1C"/>
    <w:rsid w:val="4BF16B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2026-02-11T08:35:00Z</dcterms:created>
  <dc:creator>张文华</dc:creator>
  <cp:lastModifiedBy>张文华</cp:lastModifiedBy>
  <dcterms:modified xsi:type="dcterms:W3CDTF">2026-02-11T08:39:19Z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