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b/>
          <w:kern w:val="0"/>
          <w:sz w:val="40"/>
        </w:rPr>
      </w:pPr>
      <w:r>
        <w:rPr>
          <w:rFonts w:hint="eastAsia" w:cs="仿宋_GB2312"/>
        </w:rPr>
        <mc:AlternateContent>
          <mc:Choice Requires="wps">
            <w:drawing>
              <wp:anchor distT="0" distB="0" distL="114300" distR="114300" simplePos="0" relativeHeight="251659264" behindDoc="0" locked="0" layoutInCell="1" allowOverlap="1">
                <wp:simplePos x="0" y="0"/>
                <wp:positionH relativeFrom="column">
                  <wp:posOffset>4020185</wp:posOffset>
                </wp:positionH>
                <wp:positionV relativeFrom="paragraph">
                  <wp:posOffset>-31115</wp:posOffset>
                </wp:positionV>
                <wp:extent cx="1125855" cy="528320"/>
                <wp:effectExtent l="0" t="0" r="0" b="5080"/>
                <wp:wrapSquare wrapText="bothSides"/>
                <wp:docPr id="24" name="文本框 1"/>
                <wp:cNvGraphicFramePr/>
                <a:graphic xmlns:a="http://schemas.openxmlformats.org/drawingml/2006/main">
                  <a:graphicData uri="http://schemas.microsoft.com/office/word/2010/wordprocessingShape">
                    <wps:wsp>
                      <wps:cNvSpPr txBox="1"/>
                      <wps:spPr>
                        <a:xfrm>
                          <a:off x="0" y="0"/>
                          <a:ext cx="1125855" cy="528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tLeast"/>
                              <w:ind w:firstLine="0" w:firstLineChars="0"/>
                              <w:jc w:val="center"/>
                              <w:rPr>
                                <w:rFonts w:hint="eastAsia" w:ascii="黑体" w:hAnsi="Verdana" w:eastAsia="黑体"/>
                                <w:color w:val="4C4C4C"/>
                                <w:sz w:val="24"/>
                                <w:lang w:val="en-US" w:eastAsia="zh-CN"/>
                              </w:rPr>
                            </w:pPr>
                            <w:r>
                              <w:rPr>
                                <w:rFonts w:hint="eastAsia" w:ascii="黑体" w:hAnsi="Verdana" w:eastAsia="黑体"/>
                                <w:color w:val="4C4C4C"/>
                                <w:sz w:val="24"/>
                              </w:rPr>
                              <w:t>内部资料   注意</w:t>
                            </w:r>
                            <w:r>
                              <w:rPr>
                                <w:rFonts w:hint="eastAsia" w:ascii="黑体" w:hAnsi="Verdana" w:eastAsia="黑体"/>
                                <w:color w:val="4C4C4C"/>
                                <w:sz w:val="24"/>
                                <w:lang w:val="en-US" w:eastAsia="zh-CN"/>
                              </w:rPr>
                              <w:t>保密</w:t>
                            </w:r>
                          </w:p>
                        </w:txbxContent>
                      </wps:txbx>
                      <wps:bodyPr upright="1"/>
                    </wps:wsp>
                  </a:graphicData>
                </a:graphic>
              </wp:anchor>
            </w:drawing>
          </mc:Choice>
          <mc:Fallback>
            <w:pict>
              <v:shape id="文本框 1" o:spid="_x0000_s1026" o:spt="202" type="#_x0000_t202" style="position:absolute;left:0pt;margin-left:316.55pt;margin-top:-2.45pt;height:41.6pt;width:88.65pt;mso-wrap-distance-bottom:0pt;mso-wrap-distance-left:9pt;mso-wrap-distance-right:9pt;mso-wrap-distance-top:0pt;z-index:251659264;mso-width-relative:page;mso-height-relative:page;" fillcolor="#FFFFFF" filled="t" stroked="t" coordsize="21600,21600" o:gfxdata="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G3HIdkAAAAJAQAADwAAAAAA&#10;AAABACAAAAAiAAAAZHJzL2Rvd25yZXYueG1sUEsBAhQAFAAAAAgAh07iQMOd5OASAgAARQQAAA4A&#10;AAAAAAAAAQAgAAAAKAEAAGRycy9lMm9Eb2MueG1sUEsFBgAAAAAGAAYAWQEAAKwFAAAAAA==&#10;">
                <v:fill on="t" focussize="0,0"/>
                <v:stroke color="#000000" joinstyle="miter"/>
                <v:imagedata o:title=""/>
                <o:lock v:ext="edit" aspectratio="f"/>
                <v:textbox>
                  <w:txbxContent>
                    <w:p>
                      <w:pPr>
                        <w:spacing w:line="240" w:lineRule="atLeast"/>
                        <w:ind w:firstLine="0" w:firstLineChars="0"/>
                        <w:jc w:val="center"/>
                        <w:rPr>
                          <w:rFonts w:hint="eastAsia" w:ascii="黑体" w:hAnsi="Verdana" w:eastAsia="黑体"/>
                          <w:color w:val="4C4C4C"/>
                          <w:sz w:val="24"/>
                          <w:lang w:val="en-US" w:eastAsia="zh-CN"/>
                        </w:rPr>
                      </w:pPr>
                      <w:r>
                        <w:rPr>
                          <w:rFonts w:hint="eastAsia" w:ascii="黑体" w:hAnsi="Verdana" w:eastAsia="黑体"/>
                          <w:color w:val="4C4C4C"/>
                          <w:sz w:val="24"/>
                        </w:rPr>
                        <w:t>内部资料   注意</w:t>
                      </w:r>
                      <w:r>
                        <w:rPr>
                          <w:rFonts w:hint="eastAsia" w:ascii="黑体" w:hAnsi="Verdana" w:eastAsia="黑体"/>
                          <w:color w:val="4C4C4C"/>
                          <w:sz w:val="24"/>
                          <w:lang w:val="en-US" w:eastAsia="zh-CN"/>
                        </w:rPr>
                        <w:t>保密</w:t>
                      </w:r>
                    </w:p>
                  </w:txbxContent>
                </v:textbox>
                <w10:wrap type="square"/>
              </v:shape>
            </w:pict>
          </mc:Fallback>
        </mc:AlternateContent>
      </w:r>
    </w:p>
    <w:p>
      <w:pPr>
        <w:pStyle w:val="9"/>
        <w:ind w:firstLine="1040"/>
        <w:rPr>
          <w:rFonts w:ascii="方正小标宋_GBK" w:hAnsi="方正小标宋_GBK" w:eastAsia="方正小标宋_GBK" w:cs="方正小标宋_GBK"/>
          <w:sz w:val="52"/>
        </w:rPr>
      </w:pPr>
      <w:bookmarkStart w:id="0" w:name="_Toc19267"/>
      <w:bookmarkStart w:id="1" w:name="_Toc29701"/>
      <w:bookmarkStart w:id="2" w:name="_Toc19846"/>
      <w:bookmarkStart w:id="3" w:name="_Toc28337"/>
      <w:bookmarkStart w:id="4" w:name="_Toc4316"/>
    </w:p>
    <w:p>
      <w:pPr>
        <w:pStyle w:val="9"/>
        <w:ind w:firstLine="1040"/>
        <w:rPr>
          <w:rFonts w:ascii="方正小标宋_GBK" w:hAnsi="方正小标宋_GBK" w:eastAsia="方正小标宋_GBK" w:cs="方正小标宋_GBK"/>
          <w:sz w:val="52"/>
        </w:rPr>
      </w:pPr>
    </w:p>
    <w:p>
      <w:pPr>
        <w:pStyle w:val="9"/>
        <w:spacing w:after="0"/>
        <w:ind w:firstLine="960"/>
        <w:rPr>
          <w:rFonts w:ascii="仿宋_GB2312" w:hAnsi="仿宋_GB2312" w:cs="仿宋_GB2312"/>
          <w:sz w:val="48"/>
          <w:szCs w:val="48"/>
        </w:rPr>
      </w:pPr>
    </w:p>
    <w:p>
      <w:pPr>
        <w:pStyle w:val="9"/>
        <w:spacing w:after="0"/>
        <w:ind w:firstLine="960"/>
        <w:rPr>
          <w:rFonts w:ascii="仿宋_GB2312" w:hAnsi="仿宋_GB2312" w:cs="仿宋_GB2312"/>
          <w:sz w:val="48"/>
          <w:szCs w:val="48"/>
        </w:rPr>
      </w:pPr>
    </w:p>
    <w:p>
      <w:pPr>
        <w:suppressAutoHyphens/>
        <w:spacing w:after="156" w:afterLines="50" w:line="560" w:lineRule="exact"/>
        <w:ind w:firstLine="0" w:firstLineChars="0"/>
        <w:jc w:val="center"/>
        <w:rPr>
          <w:rFonts w:ascii="方正小标宋_GBK" w:hAnsi="方正小标宋_GBK" w:eastAsia="方正小标宋_GBK" w:cs="方正小标宋_GBK"/>
          <w:kern w:val="0"/>
          <w:sz w:val="52"/>
        </w:rPr>
      </w:pPr>
      <w:r>
        <w:rPr>
          <w:rFonts w:hint="eastAsia" w:ascii="方正小标宋_GBK" w:hAnsi="方正小标宋_GBK" w:eastAsia="方正小标宋_GBK" w:cs="方正小标宋_GBK"/>
          <w:kern w:val="0"/>
          <w:sz w:val="52"/>
        </w:rPr>
        <w:t>湖南省电力</w:t>
      </w:r>
      <w:r>
        <w:rPr>
          <w:rFonts w:hint="eastAsia" w:ascii="方正小标宋_GBK" w:hAnsi="方正小标宋_GBK" w:eastAsia="方正小标宋_GBK" w:cs="方正小标宋_GBK"/>
          <w:kern w:val="0"/>
          <w:sz w:val="52"/>
          <w:lang w:val="en-US" w:eastAsia="zh-CN"/>
        </w:rPr>
        <w:t>现货</w:t>
      </w:r>
      <w:r>
        <w:rPr>
          <w:rFonts w:hint="eastAsia" w:ascii="方正小标宋_GBK" w:hAnsi="方正小标宋_GBK" w:eastAsia="方正小标宋_GBK" w:cs="方正小标宋_GBK"/>
          <w:kern w:val="0"/>
          <w:sz w:val="52"/>
        </w:rPr>
        <w:t>市场结算实施细则</w:t>
      </w:r>
      <w:bookmarkEnd w:id="0"/>
      <w:bookmarkEnd w:id="1"/>
      <w:bookmarkEnd w:id="2"/>
      <w:bookmarkEnd w:id="3"/>
      <w:bookmarkEnd w:id="4"/>
    </w:p>
    <w:p>
      <w:pPr>
        <w:suppressAutoHyphens/>
        <w:spacing w:before="156" w:beforeLines="50"/>
        <w:ind w:firstLine="0" w:firstLineChars="0"/>
        <w:jc w:val="center"/>
        <w:rPr>
          <w:rFonts w:ascii="方正小标宋_GBK" w:hAnsi="方正小标宋_GBK" w:eastAsia="方正小标宋_GBK" w:cs="方正小标宋_GBK"/>
          <w:kern w:val="0"/>
          <w:szCs w:val="32"/>
          <w:lang w:val="zh-CN"/>
        </w:rPr>
      </w:pPr>
      <w:r>
        <w:rPr>
          <w:rFonts w:hint="eastAsia" w:ascii="方正小标宋_GBK" w:hAnsi="方正小标宋_GBK" w:eastAsia="方正小标宋_GBK" w:cs="方正小标宋_GBK"/>
          <w:kern w:val="0"/>
          <w:szCs w:val="32"/>
          <w:lang w:val="zh-CN"/>
        </w:rPr>
        <w:t>（征求意见稿）</w:t>
      </w:r>
    </w:p>
    <w:p>
      <w:pPr>
        <w:tabs>
          <w:tab w:val="center" w:pos="4309"/>
          <w:tab w:val="left" w:pos="7399"/>
        </w:tabs>
        <w:spacing w:line="360" w:lineRule="auto"/>
        <w:ind w:firstLine="0" w:firstLineChars="0"/>
        <w:jc w:val="center"/>
        <w:rPr>
          <w:rFonts w:cs="仿宋_GB2312"/>
          <w:sz w:val="40"/>
        </w:rPr>
      </w:pPr>
    </w:p>
    <w:p>
      <w:pPr>
        <w:jc w:val="left"/>
        <w:rPr>
          <w:rFonts w:cs="仿宋_GB2312"/>
        </w:rPr>
      </w:pPr>
      <w:r>
        <w:rPr>
          <w:rFonts w:hint="eastAsia" w:cs="仿宋_GB2312"/>
        </w:rPr>
        <w:br w:type="page"/>
      </w:r>
    </w:p>
    <w:sdt>
      <w:sdtPr>
        <w:rPr>
          <w:rFonts w:hint="eastAsia" w:ascii="仿宋_GB2312" w:hAnsi="仿宋_GB2312" w:eastAsia="仿宋_GB2312" w:cs="仿宋_GB2312"/>
          <w:sz w:val="44"/>
          <w:szCs w:val="44"/>
          <w:lang w:val="zh-CN"/>
        </w:rPr>
        <w:id w:val="880205218"/>
        <w:docPartObj>
          <w:docPartGallery w:val="Table of Contents"/>
          <w:docPartUnique/>
        </w:docPartObj>
      </w:sdtPr>
      <w:sdtEndPr>
        <w:rPr>
          <w:rFonts w:hint="eastAsia" w:ascii="仿宋_GB2312" w:hAnsi="仿宋_GB2312" w:eastAsia="仿宋_GB2312" w:cs="仿宋_GB2312"/>
          <w:b/>
          <w:bCs/>
          <w:sz w:val="28"/>
          <w:szCs w:val="28"/>
          <w:lang w:val="zh-CN"/>
        </w:rPr>
      </w:sdtEndPr>
      <w:sdtContent>
        <w:p>
          <w:pPr>
            <w:spacing w:before="0" w:beforeLines="0" w:after="0" w:afterLines="0" w:line="240" w:lineRule="auto"/>
            <w:ind w:left="0" w:leftChars="0" w:right="0" w:rightChars="0" w:firstLine="0" w:firstLineChars="0"/>
            <w:jc w:val="center"/>
            <w:rPr>
              <w:rFonts w:hint="eastAsia" w:cs="仿宋_GB2312"/>
              <w:sz w:val="44"/>
              <w:szCs w:val="44"/>
            </w:rPr>
          </w:pPr>
          <w:r>
            <w:rPr>
              <w:rFonts w:hint="eastAsia" w:ascii="仿宋_GB2312" w:hAnsi="仿宋_GB2312" w:eastAsia="仿宋_GB2312" w:cs="仿宋_GB2312"/>
              <w:sz w:val="44"/>
              <w:szCs w:val="44"/>
            </w:rPr>
            <w:t>目</w:t>
          </w:r>
          <w:r>
            <w:rPr>
              <w:rFonts w:hint="eastAsia" w:cs="仿宋_GB2312"/>
              <w:sz w:val="44"/>
              <w:szCs w:val="44"/>
              <w:lang w:val="en-US" w:eastAsia="zh-CN"/>
            </w:rPr>
            <w:t xml:space="preserve">  </w:t>
          </w:r>
          <w:r>
            <w:rPr>
              <w:rFonts w:hint="eastAsia" w:ascii="仿宋_GB2312" w:hAnsi="仿宋_GB2312" w:eastAsia="仿宋_GB2312" w:cs="仿宋_GB2312"/>
              <w:sz w:val="44"/>
              <w:szCs w:val="44"/>
            </w:rPr>
            <w:t>录</w:t>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_Toc9401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 </w:t>
          </w:r>
          <w:r>
            <w:rPr>
              <w:rFonts w:hint="eastAsia" w:ascii="仿宋_GB2312" w:hAnsi="仿宋_GB2312" w:eastAsia="仿宋_GB2312" w:cs="仿宋_GB2312"/>
              <w:sz w:val="28"/>
              <w:szCs w:val="28"/>
            </w:rPr>
            <w:t>总  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_Toc9401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_Toc12725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2. </w:t>
          </w:r>
          <w:r>
            <w:rPr>
              <w:rFonts w:hint="eastAsia" w:ascii="仿宋_GB2312" w:hAnsi="仿宋_GB2312" w:eastAsia="仿宋_GB2312" w:cs="仿宋_GB2312"/>
              <w:sz w:val="28"/>
              <w:szCs w:val="28"/>
            </w:rPr>
            <w:t>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_Toc12725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_Toc24119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3. </w:t>
          </w:r>
          <w:r>
            <w:rPr>
              <w:rFonts w:hint="eastAsia" w:ascii="仿宋_GB2312" w:hAnsi="仿宋_GB2312" w:eastAsia="仿宋_GB2312" w:cs="仿宋_GB2312"/>
              <w:sz w:val="28"/>
              <w:szCs w:val="28"/>
            </w:rPr>
            <w:t>术语定义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_Toc24119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_Toc14533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 </w:t>
          </w:r>
          <w:r>
            <w:rPr>
              <w:rFonts w:hint="eastAsia" w:ascii="仿宋_GB2312" w:hAnsi="仿宋_GB2312" w:eastAsia="仿宋_GB2312" w:cs="仿宋_GB2312"/>
              <w:sz w:val="28"/>
              <w:szCs w:val="28"/>
            </w:rPr>
            <w:t>主要权责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_Toc14533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_Toc14734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4.1 </w:t>
          </w:r>
          <w:r>
            <w:rPr>
              <w:rFonts w:hint="eastAsia" w:ascii="仿宋_GB2312" w:hAnsi="仿宋_GB2312" w:eastAsia="仿宋_GB2312" w:cs="仿宋_GB2312"/>
              <w:sz w:val="28"/>
              <w:szCs w:val="28"/>
            </w:rPr>
            <w:t>发电企业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_Toc13257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4.2 </w:t>
          </w:r>
          <w:r>
            <w:rPr>
              <w:rFonts w:hint="eastAsia" w:ascii="仿宋_GB2312" w:hAnsi="仿宋_GB2312" w:eastAsia="仿宋_GB2312" w:cs="仿宋_GB2312"/>
              <w:sz w:val="28"/>
              <w:szCs w:val="28"/>
            </w:rPr>
            <w:t>批发市场用户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_Toc1410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4.3 </w:t>
          </w:r>
          <w:r>
            <w:rPr>
              <w:rFonts w:hint="eastAsia" w:ascii="仿宋_GB2312" w:hAnsi="仿宋_GB2312" w:eastAsia="仿宋_GB2312" w:cs="仿宋_GB2312"/>
              <w:sz w:val="28"/>
              <w:szCs w:val="28"/>
            </w:rPr>
            <w:t>零售市场用户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_Toc27788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4.4 </w:t>
          </w:r>
          <w:r>
            <w:rPr>
              <w:rFonts w:hint="eastAsia" w:ascii="仿宋_GB2312" w:hAnsi="仿宋_GB2312" w:eastAsia="仿宋_GB2312" w:cs="仿宋_GB2312"/>
              <w:sz w:val="28"/>
              <w:szCs w:val="28"/>
            </w:rPr>
            <w:t>市场运营机构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_Toc2683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4.5 </w:t>
          </w:r>
          <w:r>
            <w:rPr>
              <w:rFonts w:hint="eastAsia" w:ascii="仿宋_GB2312" w:hAnsi="仿宋_GB2312" w:eastAsia="仿宋_GB2312" w:cs="仿宋_GB2312"/>
              <w:sz w:val="28"/>
              <w:szCs w:val="28"/>
            </w:rPr>
            <w:t>电网企业</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_Toc16501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5. </w:t>
          </w:r>
          <w:r>
            <w:rPr>
              <w:rFonts w:hint="eastAsia" w:ascii="仿宋_GB2312" w:hAnsi="仿宋_GB2312" w:eastAsia="仿宋_GB2312" w:cs="仿宋_GB2312"/>
              <w:sz w:val="28"/>
              <w:szCs w:val="28"/>
            </w:rPr>
            <w:t>结算原则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_Toc5218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5.1 </w:t>
          </w:r>
          <w:r>
            <w:rPr>
              <w:rFonts w:hint="eastAsia" w:ascii="仿宋_GB2312" w:hAnsi="仿宋_GB2312" w:eastAsia="仿宋_GB2312" w:cs="仿宋_GB2312"/>
              <w:sz w:val="28"/>
              <w:szCs w:val="28"/>
            </w:rPr>
            <w:t>发电侧结算模式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5.2 </w:t>
          </w:r>
          <w:r>
            <w:rPr>
              <w:rFonts w:hint="eastAsia" w:ascii="仿宋_GB2312" w:hAnsi="仿宋_GB2312" w:eastAsia="仿宋_GB2312" w:cs="仿宋_GB2312"/>
              <w:sz w:val="28"/>
              <w:szCs w:val="28"/>
            </w:rPr>
            <w:t>用户侧结算模式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_Toc12330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5.3 </w:t>
          </w:r>
          <w:r>
            <w:rPr>
              <w:rFonts w:hint="eastAsia" w:ascii="仿宋_GB2312" w:hAnsi="仿宋_GB2312" w:eastAsia="仿宋_GB2312" w:cs="仿宋_GB2312"/>
              <w:sz w:val="28"/>
              <w:szCs w:val="28"/>
            </w:rPr>
            <w:t>结算周期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_Toc12330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_Toc1038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5.4 </w:t>
          </w:r>
          <w:r>
            <w:rPr>
              <w:rFonts w:hint="eastAsia" w:ascii="仿宋_GB2312" w:hAnsi="仿宋_GB2312" w:eastAsia="仿宋_GB2312" w:cs="仿宋_GB2312"/>
              <w:sz w:val="28"/>
              <w:szCs w:val="28"/>
            </w:rPr>
            <w:t>结算单位时间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_Toc25322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6. </w:t>
          </w:r>
          <w:r>
            <w:rPr>
              <w:rFonts w:hint="eastAsia" w:ascii="仿宋_GB2312" w:hAnsi="仿宋_GB2312" w:eastAsia="仿宋_GB2312" w:cs="仿宋_GB2312"/>
              <w:sz w:val="28"/>
              <w:szCs w:val="28"/>
            </w:rPr>
            <w:t>结算流程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_Toc25322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_Toc10803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6.1 </w:t>
          </w:r>
          <w:r>
            <w:rPr>
              <w:rFonts w:hint="eastAsia" w:ascii="仿宋_GB2312" w:hAnsi="仿宋_GB2312" w:eastAsia="仿宋_GB2312" w:cs="仿宋_GB2312"/>
              <w:sz w:val="28"/>
              <w:szCs w:val="28"/>
            </w:rPr>
            <w:t>数据准备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_Toc3694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6.2 </w:t>
          </w:r>
          <w:r>
            <w:rPr>
              <w:rFonts w:hint="eastAsia" w:ascii="仿宋_GB2312" w:hAnsi="仿宋_GB2312" w:eastAsia="仿宋_GB2312" w:cs="仿宋_GB2312"/>
              <w:sz w:val="28"/>
              <w:szCs w:val="28"/>
            </w:rPr>
            <w:t>结算流程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_Toc17000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7. </w:t>
          </w:r>
          <w:r>
            <w:rPr>
              <w:rFonts w:hint="eastAsia" w:ascii="仿宋_GB2312" w:hAnsi="仿宋_GB2312" w:eastAsia="仿宋_GB2312" w:cs="仿宋_GB2312"/>
              <w:sz w:val="28"/>
              <w:szCs w:val="28"/>
            </w:rPr>
            <w:t>发电侧结算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_Toc17000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_Toc6058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7.1 </w:t>
          </w:r>
          <w:r>
            <w:rPr>
              <w:rFonts w:hint="eastAsia" w:ascii="仿宋_GB2312" w:hAnsi="仿宋_GB2312" w:eastAsia="仿宋_GB2312" w:cs="仿宋_GB2312"/>
              <w:sz w:val="28"/>
              <w:szCs w:val="28"/>
            </w:rPr>
            <w:t>中长期合约电费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_Toc19142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7.2 </w:t>
          </w:r>
          <w:r>
            <w:rPr>
              <w:rFonts w:hint="eastAsia" w:ascii="仿宋_GB2312" w:hAnsi="仿宋_GB2312" w:eastAsia="仿宋_GB2312" w:cs="仿宋_GB2312"/>
              <w:sz w:val="28"/>
              <w:szCs w:val="28"/>
              <w:lang w:eastAsia="zh-CN"/>
            </w:rPr>
            <w:t>日前市场</w:t>
          </w:r>
          <w:r>
            <w:rPr>
              <w:rFonts w:hint="eastAsia" w:ascii="仿宋_GB2312" w:hAnsi="仿宋_GB2312" w:eastAsia="仿宋_GB2312" w:cs="仿宋_GB2312"/>
              <w:sz w:val="28"/>
              <w:szCs w:val="28"/>
            </w:rPr>
            <w:t>偏差结算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_Toc17785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7.3 </w:t>
          </w:r>
          <w:r>
            <w:rPr>
              <w:rFonts w:hint="eastAsia" w:ascii="仿宋_GB2312" w:hAnsi="仿宋_GB2312" w:eastAsia="仿宋_GB2312" w:cs="仿宋_GB2312"/>
              <w:sz w:val="28"/>
              <w:szCs w:val="28"/>
              <w:lang w:eastAsia="zh-CN"/>
            </w:rPr>
            <w:t>实时市场</w:t>
          </w:r>
          <w:r>
            <w:rPr>
              <w:rFonts w:hint="eastAsia" w:ascii="仿宋_GB2312" w:hAnsi="仿宋_GB2312" w:eastAsia="仿宋_GB2312" w:cs="仿宋_GB2312"/>
              <w:sz w:val="28"/>
              <w:szCs w:val="28"/>
            </w:rPr>
            <w:t>偏差结算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_Toc17785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_Toc21310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8. </w:t>
          </w:r>
          <w:r>
            <w:rPr>
              <w:rFonts w:hint="eastAsia" w:ascii="仿宋_GB2312" w:hAnsi="仿宋_GB2312" w:eastAsia="仿宋_GB2312" w:cs="仿宋_GB2312"/>
              <w:sz w:val="28"/>
              <w:szCs w:val="28"/>
            </w:rPr>
            <w:t>用户侧结算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_Toc17028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8.1 </w:t>
          </w:r>
          <w:r>
            <w:rPr>
              <w:rFonts w:hint="eastAsia" w:ascii="仿宋_GB2312" w:hAnsi="仿宋_GB2312" w:eastAsia="仿宋_GB2312" w:cs="仿宋_GB2312"/>
              <w:sz w:val="28"/>
              <w:szCs w:val="28"/>
            </w:rPr>
            <w:t>中长期合约结算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_Toc13414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8.2 </w:t>
          </w:r>
          <w:r>
            <w:rPr>
              <w:rFonts w:hint="eastAsia" w:ascii="仿宋_GB2312" w:hAnsi="仿宋_GB2312" w:eastAsia="仿宋_GB2312" w:cs="仿宋_GB2312"/>
              <w:sz w:val="28"/>
              <w:szCs w:val="28"/>
              <w:lang w:eastAsia="zh-CN"/>
            </w:rPr>
            <w:t>日前市场</w:t>
          </w:r>
          <w:r>
            <w:rPr>
              <w:rFonts w:hint="eastAsia" w:ascii="仿宋_GB2312" w:hAnsi="仿宋_GB2312" w:eastAsia="仿宋_GB2312" w:cs="仿宋_GB2312"/>
              <w:sz w:val="28"/>
              <w:szCs w:val="28"/>
            </w:rPr>
            <w:t>偏差结算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_Toc13414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_Toc17231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8.3 </w:t>
          </w:r>
          <w:r>
            <w:rPr>
              <w:rFonts w:hint="eastAsia" w:ascii="仿宋_GB2312" w:hAnsi="仿宋_GB2312" w:eastAsia="仿宋_GB2312" w:cs="仿宋_GB2312"/>
              <w:sz w:val="28"/>
              <w:szCs w:val="28"/>
              <w:lang w:eastAsia="zh-CN"/>
            </w:rPr>
            <w:t>实时市场</w:t>
          </w:r>
          <w:r>
            <w:rPr>
              <w:rFonts w:hint="eastAsia" w:ascii="仿宋_GB2312" w:hAnsi="仿宋_GB2312" w:eastAsia="仿宋_GB2312" w:cs="仿宋_GB2312"/>
              <w:sz w:val="28"/>
              <w:szCs w:val="28"/>
            </w:rPr>
            <w:t>偏差结算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_Toc17231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_Toc15827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9. </w:t>
          </w:r>
          <w:r>
            <w:rPr>
              <w:rFonts w:hint="eastAsia" w:ascii="仿宋_GB2312" w:hAnsi="仿宋_GB2312" w:eastAsia="仿宋_GB2312" w:cs="仿宋_GB2312"/>
              <w:sz w:val="28"/>
              <w:szCs w:val="28"/>
              <w:highlight w:val="none"/>
            </w:rPr>
            <w:t>储能电站结算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_Toc6587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9.1 </w:t>
          </w:r>
          <w:r>
            <w:rPr>
              <w:rFonts w:hint="eastAsia" w:ascii="仿宋_GB2312" w:hAnsi="仿宋_GB2312" w:eastAsia="仿宋_GB2312" w:cs="仿宋_GB2312"/>
              <w:sz w:val="28"/>
              <w:szCs w:val="28"/>
              <w:highlight w:val="none"/>
              <w:lang w:eastAsia="zh-CN"/>
            </w:rPr>
            <w:t>日前市场</w:t>
          </w:r>
          <w:r>
            <w:rPr>
              <w:rFonts w:hint="eastAsia" w:ascii="仿宋_GB2312" w:hAnsi="仿宋_GB2312" w:eastAsia="仿宋_GB2312" w:cs="仿宋_GB2312"/>
              <w:sz w:val="28"/>
              <w:szCs w:val="28"/>
              <w:highlight w:val="none"/>
            </w:rPr>
            <w:t>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_Toc6587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_Toc8215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9.2 </w:t>
          </w:r>
          <w:r>
            <w:rPr>
              <w:rFonts w:hint="eastAsia" w:ascii="仿宋_GB2312" w:hAnsi="仿宋_GB2312" w:eastAsia="仿宋_GB2312" w:cs="仿宋_GB2312"/>
              <w:sz w:val="28"/>
              <w:szCs w:val="28"/>
              <w:highlight w:val="none"/>
              <w:lang w:eastAsia="zh-CN"/>
            </w:rPr>
            <w:t>实时市场</w:t>
          </w:r>
          <w:r>
            <w:rPr>
              <w:rFonts w:hint="eastAsia" w:ascii="仿宋_GB2312" w:hAnsi="仿宋_GB2312" w:eastAsia="仿宋_GB2312" w:cs="仿宋_GB2312"/>
              <w:sz w:val="28"/>
              <w:szCs w:val="28"/>
              <w:highlight w:val="none"/>
            </w:rPr>
            <w:t>偏差结算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_Toc8215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_Toc2427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10. </w:t>
          </w:r>
          <w:r>
            <w:rPr>
              <w:rFonts w:hint="eastAsia" w:ascii="仿宋_GB2312" w:hAnsi="仿宋_GB2312" w:eastAsia="仿宋_GB2312" w:cs="仿宋_GB2312"/>
              <w:sz w:val="28"/>
              <w:szCs w:val="28"/>
            </w:rPr>
            <w:t>零售市场结算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_Toc14298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11. </w:t>
          </w:r>
          <w:r>
            <w:rPr>
              <w:rFonts w:hint="eastAsia" w:ascii="仿宋_GB2312" w:hAnsi="仿宋_GB2312" w:eastAsia="仿宋_GB2312" w:cs="仿宋_GB2312"/>
              <w:sz w:val="28"/>
              <w:szCs w:val="28"/>
            </w:rPr>
            <w:t>辅助服务市场结算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_Toc3405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 </w:t>
          </w:r>
          <w:r>
            <w:rPr>
              <w:rFonts w:hint="eastAsia" w:ascii="仿宋_GB2312" w:hAnsi="仿宋_GB2312" w:eastAsia="仿宋_GB2312" w:cs="仿宋_GB2312"/>
              <w:sz w:val="28"/>
              <w:szCs w:val="28"/>
            </w:rPr>
            <w:t>市场运营费用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_Toc19120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12.1 </w:t>
          </w:r>
          <w:r>
            <w:rPr>
              <w:rFonts w:hint="eastAsia" w:ascii="仿宋_GB2312" w:hAnsi="仿宋_GB2312" w:eastAsia="仿宋_GB2312" w:cs="仿宋_GB2312"/>
              <w:sz w:val="28"/>
              <w:szCs w:val="28"/>
            </w:rPr>
            <w:t>成本补偿类费用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_Toc31488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12.2 </w:t>
          </w:r>
          <w:r>
            <w:rPr>
              <w:rFonts w:hint="eastAsia" w:ascii="仿宋_GB2312" w:hAnsi="仿宋_GB2312" w:eastAsia="仿宋_GB2312" w:cs="仿宋_GB2312"/>
              <w:sz w:val="28"/>
              <w:szCs w:val="28"/>
            </w:rPr>
            <w:t>市场调节类费用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_Toc31488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_Toc2963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12.3 </w:t>
          </w:r>
          <w:r>
            <w:rPr>
              <w:rFonts w:hint="eastAsia" w:ascii="仿宋_GB2312" w:hAnsi="仿宋_GB2312" w:eastAsia="仿宋_GB2312" w:cs="仿宋_GB2312"/>
              <w:sz w:val="28"/>
              <w:szCs w:val="28"/>
            </w:rPr>
            <w:t>市场不平衡类费用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_Toc9347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12.4 </w:t>
          </w:r>
          <w:r>
            <w:rPr>
              <w:rFonts w:hint="eastAsia" w:ascii="仿宋_GB2312" w:hAnsi="仿宋_GB2312" w:eastAsia="仿宋_GB2312" w:cs="仿宋_GB2312"/>
              <w:sz w:val="28"/>
              <w:szCs w:val="28"/>
            </w:rPr>
            <w:t>两个细则考核</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_Toc9347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_Toc11303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12.5 </w:t>
          </w:r>
          <w:r>
            <w:rPr>
              <w:rFonts w:hint="eastAsia" w:ascii="仿宋_GB2312" w:hAnsi="仿宋_GB2312" w:eastAsia="仿宋_GB2312" w:cs="仿宋_GB2312"/>
              <w:sz w:val="28"/>
              <w:szCs w:val="28"/>
              <w:highlight w:val="none"/>
              <w:lang w:val="en-US" w:eastAsia="zh-CN"/>
            </w:rPr>
            <w:t>市场运营</w:t>
          </w:r>
          <w:r>
            <w:rPr>
              <w:rFonts w:hint="eastAsia" w:ascii="仿宋_GB2312" w:hAnsi="仿宋_GB2312" w:eastAsia="仿宋_GB2312" w:cs="仿宋_GB2312"/>
              <w:sz w:val="28"/>
              <w:szCs w:val="28"/>
              <w:highlight w:val="none"/>
            </w:rPr>
            <w:t>费用分摊及返还方式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_Toc18066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13. </w:t>
          </w:r>
          <w:r>
            <w:rPr>
              <w:rFonts w:hint="eastAsia" w:ascii="仿宋_GB2312" w:hAnsi="仿宋_GB2312" w:eastAsia="仿宋_GB2312" w:cs="仿宋_GB2312"/>
              <w:sz w:val="28"/>
              <w:szCs w:val="28"/>
            </w:rPr>
            <w:t>电费差错处理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_Toc18066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_Toc10552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14. </w:t>
          </w:r>
          <w:r>
            <w:rPr>
              <w:rFonts w:hint="eastAsia" w:ascii="仿宋_GB2312" w:hAnsi="仿宋_GB2312" w:eastAsia="仿宋_GB2312" w:cs="仿宋_GB2312"/>
              <w:sz w:val="28"/>
              <w:szCs w:val="28"/>
            </w:rPr>
            <w:t>收付款管理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_Toc10552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 w:val="clear" w:pos="8296"/>
            </w:tabs>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_Toc13327 </w:instrText>
          </w:r>
          <w:r>
            <w:rPr>
              <w:rFonts w:hint="eastAsia" w:ascii="仿宋_GB2312" w:hAnsi="仿宋_GB2312" w:eastAsia="仿宋_GB2312" w:cs="仿宋_GB2312"/>
              <w:sz w:val="28"/>
              <w:szCs w:val="28"/>
            </w:rPr>
            <w:fldChar w:fldCharType="separate"/>
          </w:r>
          <w:r>
            <w:rPr>
              <w:rFonts w:hint="default" w:ascii="仿宋_GB2312" w:hAnsi="仿宋_GB2312" w:eastAsia="仿宋_GB2312" w:cs="仿宋_GB2312"/>
              <w:sz w:val="28"/>
              <w:szCs w:val="28"/>
            </w:rPr>
            <w:t xml:space="preserve">15. </w:t>
          </w:r>
          <w:r>
            <w:rPr>
              <w:rFonts w:hint="eastAsia" w:ascii="仿宋_GB2312" w:hAnsi="仿宋_GB2312" w:eastAsia="仿宋_GB2312" w:cs="仿宋_GB2312"/>
              <w:sz w:val="28"/>
              <w:szCs w:val="28"/>
            </w:rPr>
            <w:t>其他结算事项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spacing w:line="240" w:lineRule="auto"/>
            <w:ind w:firstLine="0" w:firstLineChars="0"/>
            <w:rPr>
              <w:rFonts w:cs="仿宋_GB2312"/>
              <w:sz w:val="28"/>
              <w:szCs w:val="28"/>
            </w:rPr>
          </w:pPr>
          <w:r>
            <w:rPr>
              <w:rFonts w:hint="eastAsia" w:cs="仿宋_GB2312"/>
              <w:sz w:val="28"/>
              <w:szCs w:val="28"/>
            </w:rPr>
            <w:fldChar w:fldCharType="end"/>
          </w:r>
        </w:p>
      </w:sdtContent>
    </w:sdt>
    <w:p>
      <w:pPr>
        <w:ind w:left="0" w:leftChars="0" w:firstLine="0" w:firstLineChars="0"/>
        <w:jc w:val="both"/>
        <w:rPr>
          <w:rFonts w:cs="仿宋_GB2312"/>
        </w:rPr>
      </w:pPr>
    </w:p>
    <w:p>
      <w:pPr>
        <w:jc w:val="center"/>
        <w:rPr>
          <w:rFonts w:cs="仿宋_GB2312"/>
        </w:rPr>
      </w:pPr>
    </w:p>
    <w:p>
      <w:pPr>
        <w:pStyle w:val="9"/>
        <w:spacing w:after="0"/>
        <w:rPr>
          <w:rFonts w:ascii="仿宋_GB2312" w:hAnsi="仿宋_GB2312" w:cs="仿宋_GB231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pPr>
      <w:r>
        <w:rPr>
          <w:rFonts w:hint="eastAsia" w:ascii="仿宋_GB2312" w:hAnsi="仿宋_GB2312" w:cs="仿宋_GB2312"/>
        </w:rPr>
        <w:br w:type="page"/>
      </w:r>
    </w:p>
    <w:p>
      <w:pPr>
        <w:pStyle w:val="105"/>
        <w:spacing w:before="156" w:after="156"/>
        <w:ind w:firstLine="643"/>
      </w:pPr>
      <w:bookmarkStart w:id="5" w:name="_Toc28980"/>
      <w:bookmarkStart w:id="6" w:name="_Toc13026"/>
      <w:bookmarkStart w:id="7" w:name="_Toc16856"/>
      <w:bookmarkStart w:id="8" w:name="_Toc9401"/>
      <w:bookmarkStart w:id="9" w:name="_Toc5093"/>
      <w:bookmarkStart w:id="10" w:name="_Toc18966"/>
      <w:bookmarkStart w:id="11" w:name="_Toc6108"/>
      <w:bookmarkStart w:id="12" w:name="_Toc14689"/>
      <w:bookmarkStart w:id="13" w:name="_Toc28580"/>
      <w:bookmarkStart w:id="14" w:name="_Toc22802"/>
      <w:bookmarkStart w:id="15" w:name="_Toc16180"/>
      <w:bookmarkStart w:id="16" w:name="_Toc11663"/>
      <w:bookmarkStart w:id="17" w:name="_Toc29574"/>
      <w:bookmarkStart w:id="18" w:name="_Toc28862"/>
      <w:bookmarkStart w:id="19" w:name="_Toc21317"/>
      <w:bookmarkStart w:id="20" w:name="_Toc20884"/>
      <w:bookmarkStart w:id="21" w:name="_Toc19860"/>
      <w:bookmarkStart w:id="22" w:name="_Toc15480"/>
      <w:bookmarkStart w:id="23" w:name="_Toc8891"/>
      <w:bookmarkStart w:id="24" w:name="_Toc24357657"/>
      <w:bookmarkStart w:id="25" w:name="_Toc91163980"/>
      <w:bookmarkStart w:id="26" w:name="_Toc17389"/>
      <w:bookmarkStart w:id="27" w:name="_Toc20321"/>
      <w:bookmarkStart w:id="28" w:name="_Toc24463"/>
      <w:bookmarkStart w:id="29" w:name="_Toc13970"/>
      <w:r>
        <w:rPr>
          <w:rFonts w:hint="eastAsia"/>
        </w:rPr>
        <w:t>总  述</w:t>
      </w:r>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Start w:id="30" w:name="_Ref487208873"/>
      <w:r>
        <w:rPr>
          <w:rFonts w:hint="eastAsia"/>
        </w:rPr>
        <w:t>为指导、规范、明确湖南电力市场结算相关工作开展，维护电力交易各方的合法权益和社会公众利益，确保电力市场安全、经济、绿色，依据《中共中央国务院关于进一步深化电力体制改革的若干意见》（中发〔2015〕9号）及其配套文件、《发电企业与电网企业电费结算办法》（国能发监管〔2020〕79号）及其配套文件等文件要求制定本细则。</w:t>
      </w:r>
    </w:p>
    <w:p>
      <w:pPr>
        <w:pStyle w:val="105"/>
        <w:spacing w:before="156" w:after="156"/>
        <w:ind w:firstLine="643"/>
      </w:pPr>
      <w:bookmarkStart w:id="31" w:name="_Toc992"/>
      <w:bookmarkStart w:id="32" w:name="_Toc6251"/>
      <w:bookmarkStart w:id="33" w:name="_Toc15512"/>
      <w:bookmarkStart w:id="34" w:name="_Toc27934"/>
      <w:bookmarkStart w:id="35" w:name="_Toc20526"/>
      <w:bookmarkStart w:id="36" w:name="_Toc11987"/>
      <w:bookmarkStart w:id="37" w:name="_Toc8934"/>
      <w:bookmarkStart w:id="38" w:name="_Toc9463"/>
      <w:bookmarkStart w:id="39" w:name="_Toc8510"/>
      <w:bookmarkStart w:id="40" w:name="_Toc19111"/>
      <w:bookmarkStart w:id="41" w:name="_Toc12725"/>
      <w:bookmarkStart w:id="42" w:name="_Toc32328"/>
      <w:bookmarkStart w:id="43" w:name="_Toc3470"/>
      <w:bookmarkStart w:id="44" w:name="_Toc3699"/>
      <w:bookmarkStart w:id="45" w:name="_Toc4103"/>
      <w:bookmarkStart w:id="46" w:name="_Toc16737"/>
      <w:bookmarkStart w:id="47" w:name="_Toc25699"/>
      <w:bookmarkStart w:id="48" w:name="_Toc18765"/>
      <w:bookmarkStart w:id="49" w:name="_Toc669"/>
      <w:r>
        <w:rPr>
          <w:rFonts w:hint="eastAsia"/>
        </w:rPr>
        <w:t>适用范围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bookmarkStart w:id="50" w:name="_Hlk91186532"/>
      <w:r>
        <w:rPr>
          <w:rFonts w:hint="eastAsia"/>
        </w:rPr>
        <w:t>本细则适用于</w:t>
      </w:r>
      <w:r>
        <w:rPr>
          <w:rFonts w:hint="eastAsia"/>
          <w:lang w:val="en-US" w:eastAsia="zh-CN"/>
        </w:rPr>
        <w:t>湖南电力</w:t>
      </w:r>
      <w:r>
        <w:rPr>
          <w:rFonts w:hint="eastAsia"/>
        </w:rPr>
        <w:t>现货市场</w:t>
      </w:r>
      <w:r>
        <w:rPr>
          <w:rFonts w:hint="eastAsia"/>
          <w:lang w:val="en-US" w:eastAsia="zh-CN"/>
        </w:rPr>
        <w:t>运行期间</w:t>
      </w:r>
      <w:r>
        <w:rPr>
          <w:rFonts w:hint="eastAsia"/>
        </w:rPr>
        <w:t>湖南省电力市场结算工作。</w:t>
      </w:r>
    </w:p>
    <w:p>
      <w:pPr>
        <w:pStyle w:val="105"/>
        <w:spacing w:before="156" w:after="156"/>
        <w:ind w:firstLine="643"/>
      </w:pPr>
      <w:bookmarkStart w:id="51" w:name="_Toc5574"/>
      <w:bookmarkStart w:id="52" w:name="_Toc5571"/>
      <w:bookmarkStart w:id="53" w:name="_Toc15061"/>
      <w:bookmarkStart w:id="54" w:name="_Toc31385"/>
      <w:bookmarkStart w:id="55" w:name="_Toc32174"/>
      <w:bookmarkStart w:id="56" w:name="_Toc30335"/>
      <w:bookmarkStart w:id="57" w:name="_Toc22990"/>
      <w:bookmarkStart w:id="58" w:name="_Toc12072"/>
      <w:bookmarkStart w:id="59" w:name="_Toc22017"/>
      <w:bookmarkStart w:id="60" w:name="_Toc24119"/>
      <w:bookmarkStart w:id="61" w:name="_Toc22804"/>
      <w:bookmarkStart w:id="62" w:name="_Toc32179"/>
      <w:r>
        <w:rPr>
          <w:rFonts w:hint="eastAsia"/>
        </w:rPr>
        <w:t>术语定义</w:t>
      </w:r>
      <w:bookmarkEnd w:id="51"/>
      <w:bookmarkEnd w:id="52"/>
      <w:bookmarkEnd w:id="53"/>
      <w:bookmarkEnd w:id="54"/>
      <w:bookmarkEnd w:id="55"/>
      <w:bookmarkEnd w:id="56"/>
      <w:bookmarkEnd w:id="57"/>
      <w:bookmarkEnd w:id="58"/>
      <w:bookmarkEnd w:id="59"/>
      <w:bookmarkEnd w:id="60"/>
      <w:bookmarkEnd w:id="61"/>
      <w:bookmarkEnd w:id="62"/>
    </w:p>
    <w:p>
      <w:pPr>
        <w:numPr>
          <w:ilvl w:val="0"/>
          <w:numId w:val="4"/>
        </w:numPr>
      </w:pPr>
      <w:r>
        <w:rPr>
          <w:rFonts w:hint="eastAsia"/>
        </w:rPr>
        <w:t>电能</w:t>
      </w:r>
      <w:r>
        <w:rPr>
          <w:rFonts w:hint="eastAsia"/>
          <w:lang w:val="en-US" w:eastAsia="zh-CN"/>
        </w:rPr>
        <w:t>量</w:t>
      </w:r>
      <w:r>
        <w:rPr>
          <w:rFonts w:hint="eastAsia"/>
        </w:rPr>
        <w:t>电费：指</w:t>
      </w:r>
      <w:r>
        <w:rPr>
          <w:rFonts w:hint="eastAsia"/>
          <w:lang w:eastAsia="zh-CN"/>
        </w:rPr>
        <w:t>经营主体</w:t>
      </w:r>
      <w:r>
        <w:rPr>
          <w:rFonts w:hint="eastAsia"/>
        </w:rPr>
        <w:t>在现货市场和中长期交易市场中以电能量为交易标的物的电费。</w:t>
      </w:r>
    </w:p>
    <w:p>
      <w:pPr>
        <w:numPr>
          <w:ilvl w:val="0"/>
          <w:numId w:val="4"/>
        </w:numPr>
      </w:pPr>
      <w:r>
        <w:rPr>
          <w:rFonts w:hint="eastAsia"/>
        </w:rPr>
        <w:t>辅助服务费用：为维护系统的安全稳定运行、保证电能质量，由</w:t>
      </w:r>
      <w:r>
        <w:rPr>
          <w:rFonts w:hint="eastAsia"/>
          <w:lang w:eastAsia="zh-CN"/>
        </w:rPr>
        <w:t>经营主体</w:t>
      </w:r>
      <w:r>
        <w:rPr>
          <w:rFonts w:hint="eastAsia"/>
        </w:rPr>
        <w:t>提供辅助服务所得的费用。</w:t>
      </w:r>
    </w:p>
    <w:p>
      <w:pPr>
        <w:numPr>
          <w:ilvl w:val="0"/>
          <w:numId w:val="4"/>
        </w:numPr>
      </w:pPr>
      <w:r>
        <w:rPr>
          <w:rFonts w:hint="eastAsia"/>
          <w:color w:val="auto"/>
        </w:rPr>
        <w:t>“两个细则”电费：指《</w:t>
      </w:r>
      <w:r>
        <w:rPr>
          <w:rFonts w:hint="eastAsia" w:hAnsi="仿宋_GB2312" w:cstheme="minorBidi"/>
          <w:color w:val="auto"/>
          <w:sz w:val="32"/>
          <w:szCs w:val="22"/>
          <w:shd w:val="clear" w:color="auto" w:fill="auto"/>
        </w:rPr>
        <w:t>华中区域并网发电厂辅助服务管理实施</w:t>
      </w:r>
      <w:r>
        <w:rPr>
          <w:rFonts w:hint="default" w:hAnsi="仿宋_GB2312" w:cstheme="minorBidi"/>
          <w:color w:val="auto"/>
          <w:sz w:val="32"/>
          <w:szCs w:val="22"/>
          <w:shd w:val="clear" w:color="auto" w:fill="auto"/>
        </w:rPr>
        <w:t>细则</w:t>
      </w:r>
      <w:r>
        <w:rPr>
          <w:rFonts w:hint="eastAsia" w:hAnsi="仿宋_GB2312" w:cstheme="minorBidi"/>
          <w:color w:val="auto"/>
          <w:sz w:val="32"/>
          <w:szCs w:val="22"/>
          <w:shd w:val="clear" w:color="auto" w:fill="auto"/>
        </w:rPr>
        <w:t>》和《华中区域发电厂并网运行管理实施细则》</w:t>
      </w:r>
      <w:r>
        <w:rPr>
          <w:rFonts w:hint="eastAsia"/>
          <w:color w:val="auto"/>
        </w:rPr>
        <w:t>规范的辅助服务费用和并网运行考核等费用。</w:t>
      </w:r>
    </w:p>
    <w:p>
      <w:pPr>
        <w:numPr>
          <w:ilvl w:val="0"/>
          <w:numId w:val="4"/>
        </w:numPr>
      </w:pPr>
      <w:r>
        <w:rPr>
          <w:rFonts w:hint="eastAsia"/>
        </w:rPr>
        <w:t>节点电价：指在满足当前输电网络设备约束条件和各类其它资源的工作特点的情况下，在某一节点增加单位负荷需求时所需要增加的边际成本。</w:t>
      </w:r>
    </w:p>
    <w:p>
      <w:pPr>
        <w:numPr>
          <w:ilvl w:val="0"/>
          <w:numId w:val="4"/>
        </w:numPr>
      </w:pPr>
      <w:r>
        <w:rPr>
          <w:rFonts w:hint="eastAsia"/>
        </w:rPr>
        <w:t>统一结算点电价：用电侧采用统一结算点电价，即发电侧所有节点电价加权平</w:t>
      </w:r>
      <w:r>
        <w:rPr>
          <w:rFonts w:hint="eastAsia"/>
          <w:lang w:val="en-US" w:eastAsia="zh-CN"/>
        </w:rPr>
        <w:t>均</w:t>
      </w:r>
      <w:r>
        <w:rPr>
          <w:rFonts w:hint="eastAsia"/>
        </w:rPr>
        <w:t>值。</w:t>
      </w:r>
    </w:p>
    <w:p>
      <w:pPr>
        <w:numPr>
          <w:ilvl w:val="0"/>
          <w:numId w:val="4"/>
        </w:numPr>
      </w:pPr>
      <w:r>
        <w:rPr>
          <w:rFonts w:hint="eastAsia"/>
        </w:rPr>
        <w:t>批发市场用户：直接参与批发市场的电力用户</w:t>
      </w:r>
      <w:r>
        <w:rPr>
          <w:rFonts w:hint="eastAsia"/>
          <w:lang w:eastAsia="zh-CN"/>
        </w:rPr>
        <w:t>（</w:t>
      </w:r>
      <w:r>
        <w:rPr>
          <w:rFonts w:hint="eastAsia"/>
        </w:rPr>
        <w:t>批发用户</w:t>
      </w:r>
      <w:r>
        <w:rPr>
          <w:rFonts w:hint="eastAsia"/>
          <w:lang w:eastAsia="zh-CN"/>
        </w:rPr>
        <w:t>）</w:t>
      </w:r>
      <w:r>
        <w:rPr>
          <w:rFonts w:hint="eastAsia"/>
        </w:rPr>
        <w:t>、售电公司等。</w:t>
      </w:r>
    </w:p>
    <w:p>
      <w:pPr>
        <w:numPr>
          <w:ilvl w:val="0"/>
          <w:numId w:val="4"/>
        </w:numPr>
      </w:pPr>
      <w:r>
        <w:rPr>
          <w:rFonts w:hint="eastAsia"/>
        </w:rPr>
        <w:t>零售市场用户：通过售电公司间接参与批发市场购电的电力用户。</w:t>
      </w:r>
    </w:p>
    <w:p>
      <w:pPr>
        <w:numPr>
          <w:ilvl w:val="0"/>
          <w:numId w:val="4"/>
        </w:numPr>
      </w:pPr>
      <w:r>
        <w:rPr>
          <w:rFonts w:hint="eastAsia"/>
        </w:rPr>
        <w:t>电网企业代理购电用户：暂未直接从电力市场购电，由电网企业代理购电的工商业用户。</w:t>
      </w:r>
    </w:p>
    <w:p>
      <w:pPr>
        <w:numPr>
          <w:ilvl w:val="0"/>
          <w:numId w:val="4"/>
        </w:numPr>
      </w:pPr>
      <w:r>
        <w:rPr>
          <w:rFonts w:hint="eastAsia"/>
        </w:rPr>
        <w:t>中长期分时净合约电量：指发电企业或市场用户在分时段内达成的所有中长期合约电量的代数和。</w:t>
      </w:r>
    </w:p>
    <w:p>
      <w:pPr>
        <w:numPr>
          <w:ilvl w:val="0"/>
          <w:numId w:val="4"/>
        </w:numPr>
        <w:rPr>
          <w:highlight w:val="none"/>
        </w:rPr>
      </w:pPr>
      <w:r>
        <w:rPr>
          <w:rFonts w:hint="eastAsia"/>
        </w:rPr>
        <w:t>中长期分时净合约综合价格：指发电企业或市场用户在分时段内达成的所有中长期合约电量电价的加权平</w:t>
      </w:r>
      <w:r>
        <w:rPr>
          <w:rFonts w:hint="eastAsia"/>
          <w:highlight w:val="none"/>
        </w:rPr>
        <w:t>均值。</w:t>
      </w:r>
    </w:p>
    <w:p>
      <w:pPr>
        <w:numPr>
          <w:ilvl w:val="0"/>
          <w:numId w:val="4"/>
        </w:numPr>
        <w:rPr>
          <w:highlight w:val="none"/>
        </w:rPr>
      </w:pPr>
      <w:r>
        <w:rPr>
          <w:rFonts w:hint="eastAsia"/>
          <w:highlight w:val="none"/>
        </w:rPr>
        <w:t>现货市场</w:t>
      </w:r>
      <w:r>
        <w:rPr>
          <w:rFonts w:hint="eastAsia"/>
          <w:highlight w:val="none"/>
          <w:lang w:val="en-US" w:eastAsia="zh-CN"/>
        </w:rPr>
        <w:t>月度分时综合</w:t>
      </w:r>
      <w:r>
        <w:rPr>
          <w:rFonts w:hint="eastAsia"/>
          <w:highlight w:val="none"/>
        </w:rPr>
        <w:t>价格</w:t>
      </w:r>
      <w:r>
        <w:rPr>
          <w:rFonts w:hint="eastAsia"/>
          <w:highlight w:val="none"/>
          <w:lang w:eastAsia="zh-CN"/>
        </w:rPr>
        <w:t>：</w:t>
      </w:r>
      <w:r>
        <w:rPr>
          <w:rFonts w:hint="eastAsia"/>
          <w:highlight w:val="none"/>
          <w:lang w:val="en-US" w:eastAsia="zh-CN"/>
        </w:rPr>
        <w:t>指发电企业</w:t>
      </w:r>
      <w:r>
        <w:rPr>
          <w:rFonts w:hint="eastAsia" w:ascii="仿宋_GB2312" w:hAnsi="仿宋_GB2312" w:cs="仿宋_GB2312"/>
          <w:highlight w:val="none"/>
          <w:lang w:val="en-US"/>
        </w:rPr>
        <w:t>当月内</w:t>
      </w:r>
      <w:r>
        <w:rPr>
          <w:rFonts w:hint="eastAsia"/>
          <w:highlight w:val="none"/>
          <w:lang w:val="en-US" w:eastAsia="zh-CN"/>
        </w:rPr>
        <w:t>日前市场与实时市场分时段内所有节点电价</w:t>
      </w:r>
      <w:r>
        <w:rPr>
          <w:rFonts w:hint="eastAsia" w:ascii="仿宋_GB2312" w:hAnsi="仿宋_GB2312" w:cs="仿宋_GB2312"/>
          <w:highlight w:val="none"/>
          <w:lang w:val="en-US"/>
        </w:rPr>
        <w:t>按对应电量占比加权</w:t>
      </w:r>
      <w:r>
        <w:rPr>
          <w:rFonts w:hint="eastAsia" w:cs="仿宋_GB2312"/>
          <w:highlight w:val="none"/>
          <w:lang w:val="en-US" w:eastAsia="zh-CN"/>
        </w:rPr>
        <w:t>平均</w:t>
      </w:r>
      <w:r>
        <w:rPr>
          <w:rFonts w:hint="eastAsia" w:ascii="仿宋_GB2312" w:hAnsi="仿宋_GB2312" w:cs="仿宋_GB2312"/>
          <w:highlight w:val="none"/>
          <w:lang w:val="en-US"/>
        </w:rPr>
        <w:t>值</w:t>
      </w:r>
      <w:r>
        <w:rPr>
          <w:rFonts w:hint="eastAsia" w:cs="仿宋_GB2312"/>
          <w:highlight w:val="none"/>
          <w:lang w:val="en-US" w:eastAsia="zh-CN"/>
        </w:rPr>
        <w:t>。</w:t>
      </w:r>
    </w:p>
    <w:p>
      <w:pPr>
        <w:numPr>
          <w:ilvl w:val="0"/>
          <w:numId w:val="4"/>
        </w:numPr>
      </w:pPr>
      <w:r>
        <w:rPr>
          <w:rFonts w:hint="eastAsia"/>
        </w:rPr>
        <w:t>市场运营费用：市场运营费用指在市场初期清算发用两侧电能量费用之外的费用（不含辅助服务费用），包括成本补偿类费用、市场调节类费用、市场不平衡类费用。</w:t>
      </w:r>
    </w:p>
    <w:p>
      <w:pPr>
        <w:numPr>
          <w:ilvl w:val="0"/>
          <w:numId w:val="4"/>
        </w:numPr>
      </w:pPr>
      <w:r>
        <w:rPr>
          <w:rFonts w:hint="eastAsia"/>
        </w:rPr>
        <w:t>成本补偿类费用：包括机组启动补偿费用、必开机组运行补偿费用</w:t>
      </w:r>
      <w:r>
        <w:rPr>
          <w:rFonts w:hint="eastAsia"/>
          <w:lang w:val="en-US" w:eastAsia="zh-CN"/>
        </w:rPr>
        <w:t>以及独立储能补偿费用</w:t>
      </w:r>
      <w:r>
        <w:rPr>
          <w:rFonts w:hint="eastAsia"/>
        </w:rPr>
        <w:t>。其中</w:t>
      </w:r>
      <w:r>
        <w:rPr>
          <w:rFonts w:hint="eastAsia"/>
          <w:lang w:eastAsia="zh-CN"/>
        </w:rPr>
        <w:t>，</w:t>
      </w:r>
      <w:r>
        <w:rPr>
          <w:rFonts w:hint="eastAsia"/>
        </w:rPr>
        <w:t>机组启动补偿费用是指</w:t>
      </w:r>
      <w:r>
        <w:rPr>
          <w:rFonts w:hint="eastAsia"/>
          <w:highlight w:val="none"/>
        </w:rPr>
        <w:t>对按照日前现货市场出清结果提供启动服务的机组，按照启动报价进行的补偿。必开机组运行补偿费用</w:t>
      </w:r>
      <w:r>
        <w:rPr>
          <w:rFonts w:hint="eastAsia"/>
          <w:highlight w:val="none"/>
          <w:lang w:val="en-US" w:eastAsia="zh-CN"/>
        </w:rPr>
        <w:t>是指交易时段内若必开机组日前市场出清电力小于等于最小必开出力，且该时段日前节点电价低于其成本价格时，对该时段日前现货正偏差电量进行的补偿。</w:t>
      </w:r>
      <w:r>
        <w:rPr>
          <w:rFonts w:hint="eastAsia"/>
          <w:highlight w:val="none"/>
        </w:rPr>
        <w:t>独立储能补偿费用是指因</w:t>
      </w:r>
      <w:r>
        <w:rPr>
          <w:rFonts w:hint="eastAsia"/>
          <w:highlight w:val="none"/>
          <w:lang w:eastAsia="zh-CN"/>
        </w:rPr>
        <w:t>电网运行</w:t>
      </w:r>
      <w:r>
        <w:rPr>
          <w:rFonts w:hint="eastAsia"/>
          <w:highlight w:val="none"/>
        </w:rPr>
        <w:t>需要</w:t>
      </w:r>
      <w:r>
        <w:rPr>
          <w:rFonts w:hint="eastAsia"/>
          <w:highlight w:val="none"/>
          <w:lang w:eastAsia="zh-CN"/>
        </w:rPr>
        <w:t>，由调度机构</w:t>
      </w:r>
      <w:r>
        <w:rPr>
          <w:rFonts w:hint="eastAsia"/>
          <w:highlight w:val="none"/>
        </w:rPr>
        <w:t>调整储能电站的</w:t>
      </w:r>
      <w:r>
        <w:rPr>
          <w:rFonts w:hint="eastAsia"/>
        </w:rPr>
        <w:t>充放电曲线，导致储能电站的</w:t>
      </w:r>
      <w:r>
        <w:rPr>
          <w:rFonts w:hint="eastAsia"/>
          <w:lang w:eastAsia="zh-CN"/>
        </w:rPr>
        <w:t>电能量</w:t>
      </w:r>
      <w:r>
        <w:rPr>
          <w:rFonts w:hint="eastAsia"/>
        </w:rPr>
        <w:t>收益为负时</w:t>
      </w:r>
      <w:r>
        <w:rPr>
          <w:rFonts w:hint="eastAsia"/>
          <w:lang w:eastAsia="zh-CN"/>
        </w:rPr>
        <w:t>，</w:t>
      </w:r>
      <w:r>
        <w:rPr>
          <w:rFonts w:hint="eastAsia"/>
        </w:rPr>
        <w:t>对其</w:t>
      </w:r>
      <w:r>
        <w:rPr>
          <w:rFonts w:hint="eastAsia"/>
          <w:lang w:eastAsia="zh-CN"/>
        </w:rPr>
        <w:t>进行的</w:t>
      </w:r>
      <w:r>
        <w:rPr>
          <w:rFonts w:hint="eastAsia"/>
        </w:rPr>
        <w:t>补偿。</w:t>
      </w:r>
    </w:p>
    <w:p>
      <w:pPr>
        <w:numPr>
          <w:ilvl w:val="0"/>
          <w:numId w:val="4"/>
        </w:numPr>
      </w:pPr>
      <w:r>
        <w:rPr>
          <w:rFonts w:hint="eastAsia"/>
        </w:rPr>
        <w:t>市场调节类费用：包括火电中长期</w:t>
      </w:r>
      <w:r>
        <w:rPr>
          <w:rFonts w:hint="eastAsia"/>
          <w:lang w:val="en-US" w:eastAsia="zh-CN"/>
        </w:rPr>
        <w:t>偏差收益</w:t>
      </w:r>
      <w:r>
        <w:rPr>
          <w:rFonts w:hint="eastAsia"/>
        </w:rPr>
        <w:t>回收费用、新能源中长期</w:t>
      </w:r>
      <w:r>
        <w:rPr>
          <w:rFonts w:hint="eastAsia"/>
          <w:lang w:val="en-US" w:eastAsia="zh-CN"/>
        </w:rPr>
        <w:t>偏差收益</w:t>
      </w:r>
      <w:r>
        <w:rPr>
          <w:rFonts w:hint="eastAsia"/>
        </w:rPr>
        <w:t>回收费用以及用户侧中长期</w:t>
      </w:r>
      <w:r>
        <w:rPr>
          <w:rFonts w:hint="eastAsia"/>
          <w:lang w:val="en-US" w:eastAsia="zh-CN"/>
        </w:rPr>
        <w:t>偏差收益</w:t>
      </w:r>
      <w:r>
        <w:rPr>
          <w:rFonts w:hint="eastAsia"/>
        </w:rPr>
        <w:t>回收费用。其中，火电中长期</w:t>
      </w:r>
      <w:r>
        <w:rPr>
          <w:rFonts w:hint="eastAsia"/>
          <w:lang w:val="en-US" w:eastAsia="zh-CN"/>
        </w:rPr>
        <w:t>偏差收益</w:t>
      </w:r>
      <w:r>
        <w:rPr>
          <w:rFonts w:hint="eastAsia"/>
        </w:rPr>
        <w:t>回收费用是指火电企业中长期</w:t>
      </w:r>
      <w:r>
        <w:rPr>
          <w:rFonts w:hint="eastAsia"/>
          <w:lang w:val="en-US" w:eastAsia="zh-CN"/>
        </w:rPr>
        <w:t>合同</w:t>
      </w:r>
      <w:r>
        <w:rPr>
          <w:rFonts w:hint="eastAsia"/>
        </w:rPr>
        <w:t>电量低于</w:t>
      </w:r>
      <w:r>
        <w:rPr>
          <w:rFonts w:hint="eastAsia"/>
          <w:lang w:val="en-US" w:eastAsia="zh-CN"/>
        </w:rPr>
        <w:t>或高于</w:t>
      </w:r>
      <w:r>
        <w:rPr>
          <w:rFonts w:hint="eastAsia"/>
        </w:rPr>
        <w:t>实际结算电量一定比例时，对低于下限要求</w:t>
      </w:r>
      <w:r>
        <w:rPr>
          <w:rFonts w:hint="eastAsia"/>
          <w:lang w:val="en-US" w:eastAsia="zh-CN"/>
        </w:rPr>
        <w:t>或高于上限要求</w:t>
      </w:r>
      <w:r>
        <w:rPr>
          <w:rFonts w:hint="eastAsia"/>
        </w:rPr>
        <w:t>的电量进行</w:t>
      </w:r>
      <w:r>
        <w:rPr>
          <w:rFonts w:hint="eastAsia"/>
          <w:lang w:val="en-US" w:eastAsia="zh-CN"/>
        </w:rPr>
        <w:t>偏差收益</w:t>
      </w:r>
      <w:r>
        <w:rPr>
          <w:rFonts w:hint="eastAsia"/>
        </w:rPr>
        <w:t>费用回收。新能源中长期</w:t>
      </w:r>
      <w:r>
        <w:rPr>
          <w:rFonts w:hint="eastAsia"/>
          <w:lang w:val="en-US" w:eastAsia="zh-CN"/>
        </w:rPr>
        <w:t>偏差收益</w:t>
      </w:r>
      <w:r>
        <w:rPr>
          <w:rFonts w:hint="eastAsia"/>
        </w:rPr>
        <w:t>回收费用是指新能源企业中长期</w:t>
      </w:r>
      <w:r>
        <w:rPr>
          <w:rFonts w:hint="eastAsia"/>
          <w:lang w:val="en-US" w:eastAsia="zh-CN"/>
        </w:rPr>
        <w:t>合同</w:t>
      </w:r>
      <w:r>
        <w:rPr>
          <w:rFonts w:hint="eastAsia"/>
        </w:rPr>
        <w:t>电量低于</w:t>
      </w:r>
      <w:r>
        <w:rPr>
          <w:rFonts w:hint="eastAsia"/>
          <w:lang w:val="en-US" w:eastAsia="zh-CN"/>
        </w:rPr>
        <w:t>或高于</w:t>
      </w:r>
      <w:r>
        <w:rPr>
          <w:rFonts w:hint="eastAsia"/>
        </w:rPr>
        <w:t>实际结算电量一定比例时，对低于下限要求</w:t>
      </w:r>
      <w:r>
        <w:rPr>
          <w:rFonts w:hint="eastAsia"/>
          <w:lang w:val="en-US" w:eastAsia="zh-CN"/>
        </w:rPr>
        <w:t>或高于上限要求</w:t>
      </w:r>
      <w:r>
        <w:rPr>
          <w:rFonts w:hint="eastAsia"/>
        </w:rPr>
        <w:t>的电量进行</w:t>
      </w:r>
      <w:r>
        <w:rPr>
          <w:rFonts w:hint="eastAsia"/>
          <w:lang w:val="en-US" w:eastAsia="zh-CN"/>
        </w:rPr>
        <w:t>偏差收益</w:t>
      </w:r>
      <w:r>
        <w:rPr>
          <w:rFonts w:hint="eastAsia"/>
        </w:rPr>
        <w:t>费用回收。用户侧中长期</w:t>
      </w:r>
      <w:r>
        <w:rPr>
          <w:rFonts w:hint="eastAsia"/>
          <w:lang w:val="en-US" w:eastAsia="zh-CN"/>
        </w:rPr>
        <w:t>偏差收益</w:t>
      </w:r>
      <w:r>
        <w:rPr>
          <w:rFonts w:hint="eastAsia"/>
        </w:rPr>
        <w:t>回收费用是指用户侧中长期</w:t>
      </w:r>
      <w:r>
        <w:rPr>
          <w:rFonts w:hint="eastAsia"/>
          <w:lang w:val="en-US" w:eastAsia="zh-CN"/>
        </w:rPr>
        <w:t>合同</w:t>
      </w:r>
      <w:r>
        <w:rPr>
          <w:rFonts w:hint="eastAsia"/>
        </w:rPr>
        <w:t>电量低于</w:t>
      </w:r>
      <w:r>
        <w:rPr>
          <w:rFonts w:hint="eastAsia"/>
          <w:lang w:val="en-US" w:eastAsia="zh-CN"/>
        </w:rPr>
        <w:t>或高于</w:t>
      </w:r>
      <w:r>
        <w:rPr>
          <w:rFonts w:hint="eastAsia"/>
        </w:rPr>
        <w:t>实际结算电量一定比例时，对低于下限要求</w:t>
      </w:r>
      <w:r>
        <w:rPr>
          <w:rFonts w:hint="eastAsia"/>
          <w:lang w:val="en-US" w:eastAsia="zh-CN"/>
        </w:rPr>
        <w:t>或高于上限要求</w:t>
      </w:r>
      <w:r>
        <w:rPr>
          <w:rFonts w:hint="eastAsia"/>
        </w:rPr>
        <w:t>的电量进行</w:t>
      </w:r>
      <w:r>
        <w:rPr>
          <w:rFonts w:hint="eastAsia"/>
          <w:lang w:val="en-US" w:eastAsia="zh-CN"/>
        </w:rPr>
        <w:t>偏差收益</w:t>
      </w:r>
      <w:r>
        <w:rPr>
          <w:rFonts w:hint="eastAsia"/>
        </w:rPr>
        <w:t>费用回收。</w:t>
      </w:r>
    </w:p>
    <w:p>
      <w:pPr>
        <w:numPr>
          <w:ilvl w:val="0"/>
          <w:numId w:val="4"/>
        </w:numPr>
      </w:pPr>
      <w:r>
        <w:rPr>
          <w:rFonts w:hint="eastAsia"/>
        </w:rPr>
        <w:t>市场不平衡类费用：包括阻塞不平衡费用、市场发用电量不平衡费用以及市场结构类不平衡费用。其中</w:t>
      </w:r>
      <w:r>
        <w:rPr>
          <w:rFonts w:hint="eastAsia"/>
          <w:lang w:eastAsia="zh-CN"/>
        </w:rPr>
        <w:t>，</w:t>
      </w:r>
      <w:r>
        <w:rPr>
          <w:rFonts w:hint="eastAsia"/>
        </w:rPr>
        <w:t>阻塞不平衡费用是指现货市场中，发电侧以节点电价进行电能量电费结算，用户侧以统一结算点电价进行电能量电费结算，导致的应收与应付电费的偏差费用。市场发用电量不平衡费用是指现货模式下市场发电按</w:t>
      </w:r>
      <w:r>
        <w:rPr>
          <w:rFonts w:hint="eastAsia"/>
          <w:lang w:eastAsia="zh-CN"/>
        </w:rPr>
        <w:t>日前市场</w:t>
      </w:r>
      <w:r>
        <w:rPr>
          <w:rFonts w:hint="eastAsia"/>
        </w:rPr>
        <w:t>出清电量结算，用户侧按日前申报电量结算，发用两侧结算电量存在不平衡，导致的不平衡费用。市场结构类不平衡费用主要指由于计划与市场双轨制等原因，导致出现的偏差费用。</w:t>
      </w:r>
    </w:p>
    <w:p>
      <w:pPr>
        <w:numPr>
          <w:ilvl w:val="0"/>
          <w:numId w:val="4"/>
        </w:numPr>
      </w:pPr>
      <w:r>
        <w:rPr>
          <w:rFonts w:hint="eastAsia"/>
        </w:rPr>
        <w:t>优先发电电量：指政府规定按现行价格机制由电网企业收购的保量保价电量。</w:t>
      </w:r>
    </w:p>
    <w:p>
      <w:pPr>
        <w:numPr>
          <w:ilvl w:val="0"/>
          <w:numId w:val="4"/>
        </w:numPr>
      </w:pPr>
      <w:r>
        <w:rPr>
          <w:rFonts w:hint="eastAsia"/>
        </w:rPr>
        <w:t>市场交易电量：主要是指通过市场化方式形成的交易电量。</w:t>
      </w:r>
    </w:p>
    <w:bookmarkEnd w:id="30"/>
    <w:bookmarkEnd w:id="50"/>
    <w:p>
      <w:pPr>
        <w:pStyle w:val="105"/>
        <w:spacing w:before="156" w:after="156"/>
        <w:ind w:firstLine="643"/>
      </w:pPr>
      <w:bookmarkStart w:id="63" w:name="_Toc1430"/>
      <w:bookmarkStart w:id="64" w:name="_Toc9569"/>
      <w:bookmarkStart w:id="65" w:name="_Toc906"/>
      <w:bookmarkStart w:id="66" w:name="_Toc27341"/>
      <w:bookmarkStart w:id="67" w:name="_Toc4396"/>
      <w:bookmarkStart w:id="68" w:name="_Toc9889"/>
      <w:bookmarkStart w:id="69" w:name="_Toc16735"/>
      <w:bookmarkStart w:id="70" w:name="_Toc25923"/>
      <w:bookmarkStart w:id="71" w:name="_Toc24310"/>
      <w:bookmarkStart w:id="72" w:name="_Toc12104"/>
      <w:bookmarkStart w:id="73" w:name="_Toc13416"/>
      <w:bookmarkStart w:id="74" w:name="_Toc17490"/>
      <w:bookmarkStart w:id="75" w:name="_Toc12916"/>
      <w:bookmarkStart w:id="76" w:name="_Toc483"/>
      <w:bookmarkStart w:id="77" w:name="_Toc24357659"/>
      <w:bookmarkStart w:id="78" w:name="_Toc18438"/>
      <w:bookmarkStart w:id="79" w:name="_Toc14533"/>
      <w:bookmarkStart w:id="80" w:name="_Toc15453"/>
      <w:bookmarkStart w:id="81" w:name="_Toc15625"/>
      <w:bookmarkStart w:id="82" w:name="_Toc27163"/>
      <w:bookmarkStart w:id="83" w:name="_Toc26327"/>
      <w:bookmarkStart w:id="84" w:name="_Toc11747"/>
      <w:bookmarkStart w:id="85" w:name="_Toc91163981"/>
      <w:bookmarkStart w:id="86" w:name="_Toc32370"/>
      <w:r>
        <w:rPr>
          <w:rFonts w:hint="eastAsia"/>
        </w:rPr>
        <w:t>主要权责</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106"/>
        <w:spacing w:before="156" w:after="156"/>
        <w:ind w:firstLine="643"/>
      </w:pPr>
      <w:bookmarkStart w:id="87" w:name="_Toc19031"/>
      <w:bookmarkStart w:id="88" w:name="_Toc8480"/>
      <w:bookmarkStart w:id="89" w:name="_Toc22369"/>
      <w:bookmarkStart w:id="90" w:name="_Toc91163982"/>
      <w:bookmarkStart w:id="91" w:name="_Toc14960"/>
      <w:bookmarkStart w:id="92" w:name="_Toc14734"/>
      <w:bookmarkStart w:id="93" w:name="_Toc30444"/>
      <w:bookmarkStart w:id="94" w:name="_Toc25118"/>
      <w:bookmarkStart w:id="95" w:name="_Toc2063"/>
      <w:bookmarkStart w:id="96" w:name="_Toc27518"/>
      <w:bookmarkStart w:id="97" w:name="_Toc110914511"/>
      <w:bookmarkStart w:id="98" w:name="_Toc21195"/>
      <w:bookmarkStart w:id="99" w:name="_Toc12410"/>
      <w:bookmarkStart w:id="100" w:name="_Toc713"/>
      <w:bookmarkStart w:id="101" w:name="_Toc16031"/>
      <w:bookmarkStart w:id="102" w:name="_Toc8637"/>
      <w:bookmarkStart w:id="103" w:name="_Toc27567"/>
      <w:bookmarkStart w:id="104" w:name="_Toc14097"/>
      <w:r>
        <w:rPr>
          <w:rFonts w:hint="eastAsia"/>
        </w:rPr>
        <w:t>发电企业</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
        <w:rPr>
          <w:rFonts w:hint="eastAsia"/>
        </w:rPr>
        <w:t>（一）按照市场规则参与市场交易，履行交易合同、结算合同及与电网企业签订的购售电合同，执行并网调度协议，享受输配电服务。</w:t>
      </w:r>
    </w:p>
    <w:p>
      <w:r>
        <w:rPr>
          <w:rFonts w:hint="eastAsia"/>
        </w:rPr>
        <w:t>（二）在合同有效期内依据合同获取相关方履行合同的信息，在预结算单据公示后审核、确认本企业结算结果。</w:t>
      </w:r>
    </w:p>
    <w:p>
      <w:r>
        <w:rPr>
          <w:rFonts w:hint="eastAsia"/>
        </w:rPr>
        <w:t>（三）按照市场规则，承担辅助服务、偏差考核、违约等相关责任。</w:t>
      </w:r>
    </w:p>
    <w:p>
      <w:r>
        <w:rPr>
          <w:rFonts w:hint="eastAsia"/>
        </w:rPr>
        <w:t>（四）向电网企业开具增值税专用发票并收取电费。</w:t>
      </w:r>
    </w:p>
    <w:p>
      <w:pPr>
        <w:pStyle w:val="106"/>
        <w:spacing w:before="156" w:after="156"/>
        <w:ind w:firstLine="643"/>
      </w:pPr>
      <w:bookmarkStart w:id="105" w:name="_Toc12691"/>
      <w:bookmarkStart w:id="106" w:name="_Toc23681"/>
      <w:bookmarkStart w:id="107" w:name="_Toc22836"/>
      <w:bookmarkStart w:id="108" w:name="_Toc25820"/>
      <w:bookmarkStart w:id="109" w:name="_Toc18926"/>
      <w:bookmarkStart w:id="110" w:name="_Toc91163983"/>
      <w:bookmarkStart w:id="111" w:name="_Toc7638"/>
      <w:bookmarkStart w:id="112" w:name="_Toc110914512"/>
      <w:bookmarkStart w:id="113" w:name="_Toc13257"/>
      <w:bookmarkStart w:id="114" w:name="_Toc11601"/>
      <w:bookmarkStart w:id="115" w:name="_Toc9967"/>
      <w:bookmarkStart w:id="116" w:name="_Toc18138"/>
      <w:bookmarkStart w:id="117" w:name="_Toc1865"/>
      <w:bookmarkStart w:id="118" w:name="_Toc18829"/>
      <w:bookmarkStart w:id="119" w:name="_Toc26040"/>
      <w:bookmarkStart w:id="120" w:name="_Toc17067"/>
      <w:bookmarkStart w:id="121" w:name="_Toc353"/>
      <w:bookmarkStart w:id="122" w:name="_Toc16203"/>
      <w:r>
        <w:rPr>
          <w:rFonts w:hint="eastAsia"/>
        </w:rPr>
        <w:t>批发市场用户</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
        <w:rPr>
          <w:rFonts w:hint="eastAsia"/>
        </w:rPr>
        <w:t>（一）批发市场用户（包括直接参与批发市场的电力用户、售电公司）按照市场规则参与市场交易，履行交易合同，享受输配电服务。</w:t>
      </w:r>
    </w:p>
    <w:p>
      <w:r>
        <w:rPr>
          <w:rFonts w:hint="eastAsia"/>
        </w:rPr>
        <w:t>（二）在交易平台上填制合同结算方式、价格等信息，将合同上传至交易平台备案，在合同有效期内依据合同获取相关方履行合同的信息，在预结算单据结果公示后审核、确认本企业结算结果。</w:t>
      </w:r>
    </w:p>
    <w:p>
      <w:r>
        <w:rPr>
          <w:rFonts w:hint="eastAsia"/>
        </w:rPr>
        <w:t>（三）电力用户向电网企业支付电费并获取增值税专用发票；售电公司向电网企业支付或收取电费，并获取或开具增值税专用发票。</w:t>
      </w:r>
    </w:p>
    <w:p>
      <w:r>
        <w:rPr>
          <w:rFonts w:hint="eastAsia"/>
        </w:rPr>
        <w:t>（四）按照市场规则，承担辅助服务、偏差考核、违约等相关责任。</w:t>
      </w:r>
    </w:p>
    <w:p>
      <w:pPr>
        <w:pStyle w:val="106"/>
        <w:spacing w:before="156" w:after="156"/>
        <w:ind w:firstLine="643"/>
      </w:pPr>
      <w:bookmarkStart w:id="123" w:name="_Toc18484"/>
      <w:bookmarkStart w:id="124" w:name="_Toc10930"/>
      <w:bookmarkStart w:id="125" w:name="_Toc110914513"/>
      <w:bookmarkStart w:id="126" w:name="_Toc15314"/>
      <w:bookmarkStart w:id="127" w:name="_Toc20896"/>
      <w:bookmarkStart w:id="128" w:name="_Toc1410"/>
      <w:bookmarkStart w:id="129" w:name="_Toc612"/>
      <w:bookmarkStart w:id="130" w:name="_Toc19400"/>
      <w:bookmarkStart w:id="131" w:name="_Toc18835"/>
      <w:bookmarkStart w:id="132" w:name="_Toc6672"/>
      <w:bookmarkStart w:id="133" w:name="_Toc25363"/>
      <w:bookmarkStart w:id="134" w:name="_Toc16167"/>
      <w:bookmarkStart w:id="135" w:name="_Toc17242"/>
      <w:bookmarkStart w:id="136" w:name="_Toc91163984"/>
      <w:bookmarkStart w:id="137" w:name="_Toc25887"/>
      <w:bookmarkStart w:id="138" w:name="_Toc11435"/>
      <w:bookmarkStart w:id="139" w:name="_Toc13725"/>
      <w:bookmarkStart w:id="140" w:name="_Toc19567"/>
      <w:r>
        <w:rPr>
          <w:rFonts w:hint="eastAsia"/>
        </w:rPr>
        <w:t>零售市场用户</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
        <w:rPr>
          <w:rFonts w:hint="eastAsia"/>
        </w:rPr>
        <w:t>（一）履行与售电公司签订的零售合同，履行与电网企业签订的供用电合同，享受输配电服务。</w:t>
      </w:r>
    </w:p>
    <w:p>
      <w:r>
        <w:rPr>
          <w:rFonts w:hint="eastAsia"/>
        </w:rPr>
        <w:t>（二）在合同有效期内依据合同获取相关方履行合同的信息，审核、确认本企业的结算结果。</w:t>
      </w:r>
    </w:p>
    <w:p>
      <w:r>
        <w:rPr>
          <w:rFonts w:hint="eastAsia"/>
        </w:rPr>
        <w:t>（三）向电网企业支付电费并获取增值税专用发票。</w:t>
      </w:r>
    </w:p>
    <w:p>
      <w:r>
        <w:rPr>
          <w:rFonts w:hint="eastAsia"/>
        </w:rPr>
        <w:t>（四）按照市场规则，承担辅助服务、偏差考核、违约等相关责任。</w:t>
      </w:r>
    </w:p>
    <w:p>
      <w:pPr>
        <w:pStyle w:val="106"/>
        <w:spacing w:before="156" w:after="156"/>
        <w:ind w:firstLine="643"/>
      </w:pPr>
      <w:bookmarkStart w:id="141" w:name="_Toc8333"/>
      <w:bookmarkStart w:id="142" w:name="_Toc20578"/>
      <w:bookmarkStart w:id="143" w:name="_Toc27788"/>
      <w:bookmarkStart w:id="144" w:name="_Toc28126"/>
      <w:bookmarkStart w:id="145" w:name="_Toc91163985"/>
      <w:bookmarkStart w:id="146" w:name="_Toc18277"/>
      <w:bookmarkStart w:id="147" w:name="_Toc12227"/>
      <w:bookmarkStart w:id="148" w:name="_Toc15688"/>
      <w:bookmarkStart w:id="149" w:name="_Toc29993"/>
      <w:bookmarkStart w:id="150" w:name="_Toc21542"/>
      <w:bookmarkStart w:id="151" w:name="_Toc17921"/>
      <w:bookmarkStart w:id="152" w:name="_Toc14894"/>
      <w:bookmarkStart w:id="153" w:name="_Toc6842"/>
      <w:bookmarkStart w:id="154" w:name="_Toc14313"/>
      <w:bookmarkStart w:id="155" w:name="_Toc20528"/>
      <w:bookmarkStart w:id="156" w:name="_Toc16037"/>
      <w:bookmarkStart w:id="157" w:name="_Toc17835"/>
      <w:bookmarkStart w:id="158" w:name="_Toc110914514"/>
      <w:r>
        <w:rPr>
          <w:rFonts w:hint="eastAsia"/>
        </w:rPr>
        <w:t>市场运营机构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
        <w:rPr>
          <w:rFonts w:hint="eastAsia"/>
        </w:rPr>
        <w:t>（一）交易机构负责</w:t>
      </w:r>
      <w:r>
        <w:rPr>
          <w:rFonts w:hint="eastAsia"/>
          <w:lang w:eastAsia="zh-CN"/>
        </w:rPr>
        <w:t>经营主体</w:t>
      </w:r>
      <w:r>
        <w:rPr>
          <w:rFonts w:hint="eastAsia"/>
        </w:rPr>
        <w:t>注册、市场申报、中长期交易组织、合同管理；负责出具市场结算依据并发布交易结算信息。</w:t>
      </w:r>
    </w:p>
    <w:p>
      <w:r>
        <w:rPr>
          <w:rFonts w:hint="eastAsia"/>
        </w:rPr>
        <w:t>（二）调度机构负责现货电能量市场、辅助服务市场交易组织及出清；负责提供现货市场出清结果、辅助服务补偿及分摊费用、机组考核相关数据等。</w:t>
      </w:r>
    </w:p>
    <w:p>
      <w:pPr>
        <w:pStyle w:val="106"/>
        <w:spacing w:before="156" w:after="156"/>
        <w:ind w:firstLine="643"/>
      </w:pPr>
      <w:bookmarkStart w:id="159" w:name="_Toc110914515"/>
      <w:bookmarkStart w:id="160" w:name="_Toc23233"/>
      <w:bookmarkStart w:id="161" w:name="_Toc12524"/>
      <w:bookmarkStart w:id="162" w:name="_Toc3020"/>
      <w:bookmarkStart w:id="163" w:name="_Toc22607"/>
      <w:bookmarkStart w:id="164" w:name="_Toc22144"/>
      <w:bookmarkStart w:id="165" w:name="_Toc2683"/>
      <w:bookmarkStart w:id="166" w:name="_Toc2826"/>
      <w:bookmarkStart w:id="167" w:name="_Toc14171"/>
      <w:bookmarkStart w:id="168" w:name="_Toc11227"/>
      <w:bookmarkStart w:id="169" w:name="_Toc3442"/>
      <w:bookmarkStart w:id="170" w:name="_Toc28561"/>
      <w:bookmarkStart w:id="171" w:name="_Toc26801"/>
      <w:bookmarkStart w:id="172" w:name="_Toc91163986"/>
      <w:bookmarkStart w:id="173" w:name="_Toc4237"/>
      <w:bookmarkStart w:id="174" w:name="_Toc13888"/>
      <w:bookmarkStart w:id="175" w:name="_Toc17561"/>
      <w:bookmarkStart w:id="176" w:name="_Toc11568"/>
      <w:r>
        <w:rPr>
          <w:rFonts w:hint="eastAsia"/>
        </w:rPr>
        <w:t>电网企业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
        <w:rPr>
          <w:rFonts w:hint="eastAsia"/>
        </w:rPr>
        <w:t>（一）负责按照交易机构提供的结算依据进行电费结算。</w:t>
      </w:r>
    </w:p>
    <w:p>
      <w:r>
        <w:rPr>
          <w:rFonts w:hint="eastAsia"/>
        </w:rPr>
        <w:t>（二）按照合同约定或法律法规的规定，向发电企业收取增值税专用发票后完成电费支付；向电力用户收费并开具增值税专用发票；向售电公司支付或收取电费，并获取或开具增值税专用发票。</w:t>
      </w:r>
    </w:p>
    <w:p>
      <w:pPr>
        <w:pStyle w:val="105"/>
        <w:spacing w:before="156" w:after="156"/>
        <w:ind w:firstLine="643"/>
      </w:pPr>
      <w:bookmarkStart w:id="177" w:name="_Toc80957290"/>
      <w:bookmarkEnd w:id="177"/>
      <w:bookmarkStart w:id="178" w:name="_Toc80957289"/>
      <w:bookmarkEnd w:id="178"/>
      <w:bookmarkStart w:id="179" w:name="_Toc80991765"/>
      <w:bookmarkEnd w:id="179"/>
      <w:bookmarkStart w:id="180" w:name="_Toc80991768"/>
      <w:bookmarkEnd w:id="180"/>
      <w:bookmarkStart w:id="181" w:name="_Toc80957455"/>
      <w:bookmarkEnd w:id="181"/>
      <w:bookmarkStart w:id="182" w:name="_Toc80957452"/>
      <w:bookmarkEnd w:id="182"/>
      <w:bookmarkStart w:id="183" w:name="_Toc80956988"/>
      <w:bookmarkEnd w:id="183"/>
      <w:bookmarkStart w:id="184" w:name="_Toc80957451"/>
      <w:bookmarkEnd w:id="184"/>
      <w:bookmarkStart w:id="185" w:name="_Toc80957453"/>
      <w:bookmarkEnd w:id="185"/>
      <w:bookmarkStart w:id="186" w:name="_Toc80956987"/>
      <w:bookmarkEnd w:id="186"/>
      <w:bookmarkStart w:id="187" w:name="_Toc80957454"/>
      <w:bookmarkEnd w:id="187"/>
      <w:bookmarkStart w:id="188" w:name="_Toc80957287"/>
      <w:bookmarkEnd w:id="188"/>
      <w:bookmarkStart w:id="189" w:name="_Toc80991767"/>
      <w:bookmarkEnd w:id="189"/>
      <w:bookmarkStart w:id="190" w:name="_Toc80991766"/>
      <w:bookmarkEnd w:id="190"/>
      <w:bookmarkStart w:id="191" w:name="_Toc80957291"/>
      <w:bookmarkEnd w:id="191"/>
      <w:bookmarkStart w:id="192" w:name="_Toc80956989"/>
      <w:bookmarkEnd w:id="192"/>
      <w:bookmarkStart w:id="193" w:name="_Toc80991764"/>
      <w:bookmarkEnd w:id="193"/>
      <w:bookmarkStart w:id="194" w:name="_Toc80956990"/>
      <w:bookmarkEnd w:id="194"/>
      <w:bookmarkStart w:id="195" w:name="_Toc80957288"/>
      <w:bookmarkEnd w:id="195"/>
      <w:bookmarkStart w:id="196" w:name="_Toc80956991"/>
      <w:bookmarkEnd w:id="196"/>
      <w:bookmarkStart w:id="197" w:name="_Toc11585"/>
      <w:bookmarkStart w:id="198" w:name="_Toc29955"/>
      <w:bookmarkStart w:id="199" w:name="_Toc27689"/>
      <w:bookmarkStart w:id="200" w:name="_Toc12982"/>
      <w:bookmarkStart w:id="201" w:name="_Toc23942"/>
      <w:bookmarkStart w:id="202" w:name="_Toc11288"/>
      <w:bookmarkStart w:id="203" w:name="_Toc26620"/>
      <w:bookmarkStart w:id="204" w:name="_Toc17051"/>
      <w:bookmarkStart w:id="205" w:name="_Toc5428"/>
      <w:bookmarkStart w:id="206" w:name="_Toc24357664"/>
      <w:bookmarkStart w:id="207" w:name="_Toc16305"/>
      <w:bookmarkStart w:id="208" w:name="_Toc16934"/>
      <w:bookmarkStart w:id="209" w:name="_Toc9376"/>
      <w:bookmarkStart w:id="210" w:name="_Toc12243"/>
      <w:bookmarkStart w:id="211" w:name="_Toc20890"/>
      <w:bookmarkStart w:id="212" w:name="_Toc27302"/>
      <w:bookmarkStart w:id="213" w:name="_Toc4900"/>
      <w:bookmarkStart w:id="214" w:name="_Toc16501"/>
      <w:bookmarkStart w:id="215" w:name="_Toc13408"/>
      <w:bookmarkStart w:id="216" w:name="_Toc5520"/>
      <w:bookmarkStart w:id="217" w:name="_Toc7306"/>
      <w:bookmarkStart w:id="218" w:name="_Toc91163987"/>
      <w:bookmarkStart w:id="219" w:name="_Toc22982"/>
      <w:bookmarkStart w:id="220" w:name="_Toc22399"/>
      <w:r>
        <w:rPr>
          <w:rFonts w:hint="eastAsia"/>
        </w:rPr>
        <w:t>结算原则</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1" w:name="_Toc24357665"/>
      <w:bookmarkStart w:id="222" w:name="_Toc25753"/>
      <w:bookmarkStart w:id="223" w:name="_Toc27443"/>
      <w:bookmarkStart w:id="224" w:name="_Toc16067"/>
    </w:p>
    <w:p>
      <w:r>
        <w:rPr>
          <w:rFonts w:hint="eastAsia"/>
        </w:rPr>
        <w:t>由交易机构负责出具结算依据，电网企业负责电费结算，各</w:t>
      </w:r>
      <w:r>
        <w:rPr>
          <w:rFonts w:hint="eastAsia"/>
          <w:lang w:eastAsia="zh-CN"/>
        </w:rPr>
        <w:t>经营主体</w:t>
      </w:r>
      <w:r>
        <w:rPr>
          <w:rFonts w:hint="eastAsia"/>
        </w:rPr>
        <w:t>保持与电网企业的电费结算支付方式不变。</w:t>
      </w:r>
    </w:p>
    <w:p>
      <w:pPr>
        <w:pStyle w:val="8"/>
        <w:rPr>
          <w:rFonts w:hint="eastAsia" w:ascii="仿宋_GB2312" w:hAnsi="仿宋_GB2312" w:eastAsia="仿宋_GB2312" w:cstheme="minorBidi"/>
        </w:rPr>
      </w:pPr>
      <w:r>
        <w:rPr>
          <w:rFonts w:hint="eastAsia" w:ascii="仿宋_GB2312" w:hAnsi="仿宋_GB2312" w:eastAsia="仿宋_GB2312" w:cstheme="minorBidi"/>
        </w:rPr>
        <w:t>电力现货市场试运行期间，非现货市场发电机组、非现货市场电力用户的结算按照原有中长期结算方式执行，实际发、用电量与中长期合约分解电量的偏差产生的资金差额纳入电力市场统一清算。</w:t>
      </w:r>
    </w:p>
    <w:bookmarkEnd w:id="221"/>
    <w:bookmarkEnd w:id="222"/>
    <w:bookmarkEnd w:id="223"/>
    <w:bookmarkEnd w:id="224"/>
    <w:p>
      <w:pPr>
        <w:pStyle w:val="106"/>
        <w:spacing w:before="156" w:after="156"/>
        <w:ind w:firstLine="643"/>
      </w:pPr>
      <w:bookmarkStart w:id="225" w:name="_Toc110914517"/>
      <w:bookmarkStart w:id="226" w:name="_Toc16741"/>
      <w:bookmarkStart w:id="227" w:name="_Toc16525"/>
      <w:bookmarkStart w:id="228" w:name="_Toc5218"/>
      <w:bookmarkStart w:id="229" w:name="_Toc13438"/>
      <w:bookmarkStart w:id="230" w:name="_Toc2649"/>
      <w:bookmarkStart w:id="231" w:name="_Toc26724"/>
      <w:bookmarkStart w:id="232" w:name="_Toc26011"/>
      <w:bookmarkStart w:id="233" w:name="_Toc21886"/>
      <w:bookmarkStart w:id="234" w:name="_Toc23118"/>
      <w:bookmarkStart w:id="235" w:name="_Toc23633"/>
      <w:bookmarkStart w:id="236" w:name="_Toc7509"/>
      <w:bookmarkStart w:id="237" w:name="_Toc11774"/>
      <w:bookmarkStart w:id="238" w:name="_Toc32081"/>
      <w:bookmarkStart w:id="239" w:name="_Toc2359"/>
      <w:bookmarkStart w:id="240" w:name="_Toc22818"/>
      <w:bookmarkStart w:id="241" w:name="_Toc91163989"/>
      <w:bookmarkStart w:id="242" w:name="_Toc6036"/>
      <w:bookmarkStart w:id="243" w:name="_Toc5590"/>
      <w:bookmarkStart w:id="244" w:name="_Toc15987"/>
      <w:bookmarkStart w:id="245" w:name="OLE_LINK8"/>
      <w:r>
        <w:rPr>
          <w:rFonts w:hint="eastAsia"/>
        </w:rPr>
        <w:t>发电侧结算模式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bookmarkEnd w:id="245"/>
    <w:p>
      <w:pPr>
        <w:rPr>
          <w:rFonts w:hint="default" w:eastAsia="仿宋_GB2312"/>
          <w:lang w:val="en-US" w:eastAsia="zh-CN"/>
        </w:rPr>
      </w:pPr>
      <w:r>
        <w:rPr>
          <w:rFonts w:hint="eastAsia"/>
          <w:lang w:val="en-US" w:eastAsia="zh-CN"/>
        </w:rPr>
        <w:t>5.1.1 对于市场化机组，其中参与现货市场的，中长期市场按照合同约定价格（即按规则分解后的净合约综合价）对中长期合约电量进行结算；日前市场根据日前市场出清电量与中长期合约分解电量的偏差电量，按照日前市场每小时节点电价进行结算；实时市场根据实际上网电量与日前市场出清电量的偏差电量，按照实时市场每小时节点电价进行结算。</w:t>
      </w:r>
      <w:r>
        <w:rPr>
          <w:rFonts w:hint="eastAsia"/>
          <w:highlight w:val="none"/>
          <w:lang w:val="en-US" w:eastAsia="zh-CN"/>
        </w:rPr>
        <w:t>不参与现货市场的，按中长期合约价格及当月现货市场月度综合价格结算。</w:t>
      </w:r>
    </w:p>
    <w:p>
      <w:pPr>
        <w:shd w:val="clear"/>
        <w:rPr>
          <w:rFonts w:hint="default"/>
          <w:highlight w:val="none"/>
          <w:lang w:val="en-US" w:eastAsia="zh-CN"/>
        </w:rPr>
      </w:pPr>
      <w:r>
        <w:rPr>
          <w:rFonts w:hint="eastAsia"/>
          <w:highlight w:val="none"/>
          <w:lang w:val="en-US" w:eastAsia="zh-CN"/>
        </w:rPr>
        <w:t>5.1.2 省内市场化机组参与省间电力现货交易，按照《省间电力现货交易规则（试行）》执行。当省内市场化机组参与省间电力现货售电时，其成交结果叠加至中标机组对应时段的中长期交易结算曲线开展偏差结算。</w:t>
      </w:r>
    </w:p>
    <w:p>
      <w:pPr>
        <w:shd w:val="clear"/>
        <w:rPr>
          <w:rFonts w:hint="default"/>
          <w:highlight w:val="none"/>
          <w:lang w:val="en-US" w:eastAsia="zh-CN"/>
        </w:rPr>
      </w:pPr>
      <w:r>
        <w:rPr>
          <w:rFonts w:hint="eastAsia"/>
        </w:rPr>
        <w:t>5.1.</w:t>
      </w:r>
      <w:r>
        <w:rPr>
          <w:rFonts w:hint="eastAsia"/>
          <w:lang w:val="en-US" w:eastAsia="zh-CN"/>
        </w:rPr>
        <w:t xml:space="preserve">3 </w:t>
      </w:r>
      <w:r>
        <w:rPr>
          <w:rFonts w:hint="eastAsia"/>
          <w:highlight w:val="none"/>
          <w:lang w:val="en-US" w:eastAsia="zh-CN"/>
        </w:rPr>
        <w:t>省内市场化机组参与华中省间调峰辅助服务交易或华中省间备用辅助服务,按照《华中省间电力调峰及备用辅助服务市场运营规则》规定执行。当省内市场化机组作为服务卖方参与华中省间备用辅助服务交易时，其成交结果叠加至中标机组对应时段的中长期交易结算曲线开展偏差结算。当省内市场化机组作为服务卖方参与华中省间调峰辅助服务交易时,其中标容量在省内现货市场出清中预留，其最大出力限额扣减华中省间调峰辅助服务市场交易的中标容量作为机组出力上限参与省内现货市场出清，并将成交结果从其对应时段的中长期交易结算曲线中扣除，以开展偏差结算。</w:t>
      </w:r>
    </w:p>
    <w:p>
      <w:r>
        <w:rPr>
          <w:rFonts w:hint="eastAsia"/>
        </w:rPr>
        <w:t>5.1.</w:t>
      </w:r>
      <w:r>
        <w:rPr>
          <w:rFonts w:hint="eastAsia"/>
          <w:lang w:val="en-US" w:eastAsia="zh-CN"/>
        </w:rPr>
        <w:t xml:space="preserve">4 </w:t>
      </w:r>
      <w:r>
        <w:rPr>
          <w:rFonts w:hint="eastAsia"/>
          <w:highlight w:val="none"/>
        </w:rPr>
        <w:t>对于</w:t>
      </w:r>
      <w:r>
        <w:rPr>
          <w:rFonts w:hint="eastAsia"/>
        </w:rPr>
        <w:t>非市场化机组，实际上网电量按照政府批复的上网电价进行结算。</w:t>
      </w:r>
    </w:p>
    <w:p>
      <w:pPr>
        <w:rPr>
          <w:rFonts w:hint="eastAsia"/>
          <w:highlight w:val="none"/>
          <w:lang w:val="zh-CN"/>
        </w:rPr>
      </w:pPr>
      <w:r>
        <w:rPr>
          <w:rFonts w:hint="eastAsia"/>
          <w:highlight w:val="none"/>
        </w:rPr>
        <w:t>5.1.</w:t>
      </w:r>
      <w:r>
        <w:rPr>
          <w:rFonts w:hint="eastAsia"/>
          <w:highlight w:val="none"/>
          <w:lang w:val="en-US" w:eastAsia="zh-CN"/>
        </w:rPr>
        <w:t>5</w:t>
      </w:r>
      <w:r>
        <w:rPr>
          <w:rFonts w:hint="eastAsia"/>
          <w:highlight w:val="none"/>
        </w:rPr>
        <w:t xml:space="preserve"> </w:t>
      </w:r>
      <w:r>
        <w:rPr>
          <w:rFonts w:hint="eastAsia"/>
          <w:highlight w:val="none"/>
          <w:lang w:val="en-US" w:eastAsia="zh-CN"/>
        </w:rPr>
        <w:t>参与现货市场的</w:t>
      </w:r>
      <w:r>
        <w:rPr>
          <w:rFonts w:hint="eastAsia"/>
          <w:highlight w:val="none"/>
        </w:rPr>
        <w:t>独立储能电站作为价格接受者，其充放电电量按照所在节点的节点边际价格结算，暂不参与市场运营费用分摊</w:t>
      </w:r>
      <w:r>
        <w:rPr>
          <w:rFonts w:hint="eastAsia"/>
          <w:highlight w:val="none"/>
          <w:lang w:val="zh-CN"/>
        </w:rPr>
        <w:t>。</w:t>
      </w:r>
    </w:p>
    <w:p>
      <w:pPr>
        <w:ind w:firstLine="640" w:firstLineChars="200"/>
        <w:rPr>
          <w:rFonts w:hint="default" w:hAnsi="宋体" w:cs="仿宋_GB2312"/>
          <w:color w:val="000000"/>
          <w:szCs w:val="32"/>
          <w:highlight w:val="yellow"/>
          <w:lang w:val="en-US" w:eastAsia="zh-CN"/>
        </w:rPr>
      </w:pPr>
      <w:r>
        <w:rPr>
          <w:rFonts w:hint="eastAsia"/>
        </w:rPr>
        <w:t>5.1.</w:t>
      </w:r>
      <w:r>
        <w:rPr>
          <w:rFonts w:hint="eastAsia"/>
          <w:lang w:val="en-US" w:eastAsia="zh-CN"/>
        </w:rPr>
        <w:t>6</w:t>
      </w:r>
      <w:r>
        <w:rPr>
          <w:rFonts w:hint="eastAsia"/>
        </w:rPr>
        <w:t xml:space="preserve"> </w:t>
      </w:r>
      <w:r>
        <w:rPr>
          <w:rFonts w:hint="eastAsia" w:cs="Times New Roman"/>
          <w:highlight w:val="none"/>
          <w:lang w:val="zh-CN" w:eastAsia="zh-CN"/>
        </w:rPr>
        <w:t>燃气机组年度优先发电电量</w:t>
      </w:r>
      <w:r>
        <w:rPr>
          <w:rFonts w:hint="eastAsia" w:cs="Times New Roman"/>
          <w:szCs w:val="22"/>
          <w:highlight w:val="none"/>
          <w:lang w:val="en-US" w:eastAsia="zh-CN"/>
        </w:rPr>
        <w:t>由</w:t>
      </w:r>
      <w:r>
        <w:rPr>
          <w:rFonts w:hint="eastAsia" w:hAnsi="仿宋_GB2312" w:cs="Times New Roman"/>
          <w:szCs w:val="22"/>
          <w:highlight w:val="none"/>
          <w:lang w:val="zh-CN" w:eastAsia="zh-CN"/>
        </w:rPr>
        <w:t>政府主管部门</w:t>
      </w:r>
      <w:r>
        <w:rPr>
          <w:rFonts w:hint="eastAsia" w:cs="Times New Roman"/>
          <w:szCs w:val="22"/>
          <w:highlight w:val="none"/>
          <w:lang w:val="en-US" w:eastAsia="zh-CN"/>
        </w:rPr>
        <w:t>根据实际情况</w:t>
      </w:r>
      <w:r>
        <w:rPr>
          <w:rFonts w:hint="eastAsia" w:hAnsi="仿宋_GB2312" w:cs="Times New Roman"/>
          <w:szCs w:val="22"/>
          <w:highlight w:val="none"/>
          <w:lang w:val="zh-CN" w:eastAsia="zh-CN"/>
        </w:rPr>
        <w:t>分解到</w:t>
      </w:r>
      <w:r>
        <w:rPr>
          <w:rFonts w:hint="eastAsia" w:cs="Times New Roman"/>
          <w:szCs w:val="22"/>
          <w:highlight w:val="none"/>
          <w:lang w:val="en-US" w:eastAsia="zh-CN"/>
        </w:rPr>
        <w:t>度夏（冬）重点保供期</w:t>
      </w:r>
      <w:r>
        <w:rPr>
          <w:rFonts w:hint="eastAsia" w:cs="Times New Roman"/>
          <w:szCs w:val="22"/>
          <w:highlight w:val="none"/>
          <w:lang w:val="zh-CN" w:eastAsia="zh-CN"/>
        </w:rPr>
        <w:t>，</w:t>
      </w:r>
      <w:r>
        <w:rPr>
          <w:rFonts w:hint="eastAsia" w:cs="Times New Roman"/>
          <w:szCs w:val="22"/>
          <w:highlight w:val="none"/>
          <w:lang w:val="en-US" w:eastAsia="zh-CN"/>
        </w:rPr>
        <w:t>在月度交易方案中明确优先电量规模；度夏（冬）重点保供期</w:t>
      </w:r>
      <w:r>
        <w:rPr>
          <w:rFonts w:hint="eastAsia" w:cs="Times New Roman"/>
          <w:szCs w:val="22"/>
          <w:highlight w:val="none"/>
          <w:lang w:val="zh-CN" w:eastAsia="zh-CN"/>
        </w:rPr>
        <w:t>，</w:t>
      </w:r>
      <w:r>
        <w:rPr>
          <w:rFonts w:hint="eastAsia" w:hAnsi="仿宋_GB2312" w:cs="Times New Roman"/>
          <w:szCs w:val="22"/>
          <w:highlight w:val="none"/>
          <w:lang w:val="zh-CN" w:eastAsia="zh-CN"/>
        </w:rPr>
        <w:t>燃气机组作为非市场化机组</w:t>
      </w:r>
      <w:r>
        <w:rPr>
          <w:rFonts w:hint="eastAsia" w:cs="Times New Roman"/>
          <w:szCs w:val="22"/>
          <w:highlight w:val="none"/>
          <w:lang w:val="zh-CN" w:eastAsia="zh-CN"/>
        </w:rPr>
        <w:t>，</w:t>
      </w:r>
      <w:r>
        <w:rPr>
          <w:rFonts w:hint="eastAsia" w:hAnsi="宋体" w:cs="仿宋_GB2312"/>
          <w:color w:val="000000"/>
          <w:szCs w:val="32"/>
          <w:highlight w:val="none"/>
          <w:lang w:val="en-US" w:eastAsia="zh-CN"/>
        </w:rPr>
        <w:t>其</w:t>
      </w:r>
      <w:r>
        <w:rPr>
          <w:rFonts w:hint="eastAsia"/>
          <w:highlight w:val="none"/>
        </w:rPr>
        <w:t>上网电量按照政府</w:t>
      </w:r>
      <w:r>
        <w:rPr>
          <w:rFonts w:hint="eastAsia"/>
          <w:highlight w:val="none"/>
          <w:lang w:val="en-US" w:eastAsia="zh-CN"/>
        </w:rPr>
        <w:t>定</w:t>
      </w:r>
      <w:r>
        <w:rPr>
          <w:rFonts w:hint="eastAsia"/>
          <w:highlight w:val="none"/>
        </w:rPr>
        <w:t>价进行结算</w:t>
      </w:r>
      <w:r>
        <w:rPr>
          <w:rFonts w:hint="eastAsia"/>
          <w:highlight w:val="none"/>
          <w:lang w:eastAsia="zh-CN"/>
        </w:rPr>
        <w:t>；</w:t>
      </w:r>
      <w:r>
        <w:rPr>
          <w:rFonts w:hint="eastAsia"/>
          <w:highlight w:val="none"/>
          <w:lang w:val="en-US" w:eastAsia="zh-CN"/>
        </w:rPr>
        <w:t>非</w:t>
      </w:r>
      <w:r>
        <w:rPr>
          <w:rFonts w:hint="eastAsia" w:cs="Times New Roman"/>
          <w:szCs w:val="22"/>
          <w:highlight w:val="none"/>
          <w:lang w:val="en-US" w:eastAsia="zh-CN"/>
        </w:rPr>
        <w:t>度夏（冬）重点保供期，</w:t>
      </w:r>
      <w:r>
        <w:rPr>
          <w:rFonts w:hint="eastAsia" w:hAnsi="宋体" w:cs="仿宋_GB2312"/>
          <w:color w:val="000000"/>
          <w:szCs w:val="32"/>
          <w:highlight w:val="none"/>
          <w:lang w:val="en-US" w:eastAsia="zh-CN"/>
        </w:rPr>
        <w:t>选择参与现货交易的燃气机组，按照5.1.1条款进行结算。</w:t>
      </w:r>
    </w:p>
    <w:p>
      <w:pPr>
        <w:rPr>
          <w:rFonts w:hint="eastAsia" w:eastAsia="仿宋_GB2312"/>
          <w:lang w:eastAsia="zh-CN"/>
        </w:rPr>
      </w:pPr>
      <w:r>
        <w:rPr>
          <w:rFonts w:hint="eastAsia"/>
        </w:rPr>
        <w:t>5.1.</w:t>
      </w:r>
      <w:r>
        <w:rPr>
          <w:rFonts w:hint="eastAsia"/>
          <w:lang w:val="en-US" w:eastAsia="zh-CN"/>
        </w:rPr>
        <w:t>7</w:t>
      </w:r>
      <w:r>
        <w:rPr>
          <w:rFonts w:hint="eastAsia"/>
        </w:rPr>
        <w:t xml:space="preserve"> 火电以机组为单位作为结算单元，新能源、抽蓄、独立储能</w:t>
      </w:r>
      <w:r>
        <w:rPr>
          <w:rFonts w:hint="eastAsia"/>
          <w:lang w:eastAsia="zh-CN"/>
        </w:rPr>
        <w:t>、</w:t>
      </w:r>
      <w:r>
        <w:rPr>
          <w:rFonts w:hint="eastAsia"/>
        </w:rPr>
        <w:t>水电等以</w:t>
      </w:r>
      <w:r>
        <w:rPr>
          <w:rFonts w:hint="eastAsia"/>
          <w:lang w:val="en-US" w:eastAsia="zh-CN"/>
        </w:rPr>
        <w:t>场</w:t>
      </w:r>
      <w:r>
        <w:rPr>
          <w:rFonts w:hint="eastAsia"/>
        </w:rPr>
        <w:t>站或同一并网点机组为单位作为结算单元</w:t>
      </w:r>
      <w:r>
        <w:rPr>
          <w:rFonts w:hint="eastAsia"/>
          <w:lang w:eastAsia="zh-CN"/>
        </w:rPr>
        <w:t>。</w:t>
      </w:r>
    </w:p>
    <w:p>
      <w:pPr>
        <w:pStyle w:val="106"/>
        <w:spacing w:before="156" w:after="156"/>
        <w:ind w:firstLine="643"/>
      </w:pPr>
      <w:bookmarkStart w:id="246" w:name="_Toc1526"/>
      <w:bookmarkStart w:id="247" w:name="_Toc22361"/>
      <w:bookmarkStart w:id="248" w:name="_Toc110914518"/>
      <w:bookmarkStart w:id="249" w:name="_Toc25696"/>
      <w:bookmarkStart w:id="250" w:name="_Toc1920"/>
      <w:bookmarkStart w:id="251" w:name="_Toc9079"/>
      <w:r>
        <w:rPr>
          <w:rFonts w:hint="eastAsia"/>
        </w:rPr>
        <w:t>用户侧结算模式</w:t>
      </w:r>
      <w:bookmarkEnd w:id="246"/>
      <w:bookmarkEnd w:id="247"/>
      <w:bookmarkEnd w:id="248"/>
      <w:bookmarkEnd w:id="249"/>
      <w:bookmarkEnd w:id="250"/>
      <w:bookmarkEnd w:id="251"/>
    </w:p>
    <w:p>
      <w:r>
        <w:rPr>
          <w:rFonts w:hint="eastAsia"/>
        </w:rPr>
        <w:t>5.2.1 对于批发用户和售电公司，中长期交易合约分解电量，按照合</w:t>
      </w:r>
      <w:r>
        <w:rPr>
          <w:rFonts w:hint="eastAsia"/>
          <w:lang w:val="en-US" w:eastAsia="zh-CN"/>
        </w:rPr>
        <w:t>同</w:t>
      </w:r>
      <w:r>
        <w:rPr>
          <w:rFonts w:hint="eastAsia"/>
        </w:rPr>
        <w:t>约定价格（即按规则分解后的净合约综合价）进行结算；</w:t>
      </w:r>
      <w:r>
        <w:rPr>
          <w:rFonts w:hint="eastAsia"/>
          <w:lang w:eastAsia="zh-CN"/>
        </w:rPr>
        <w:t>日前市场</w:t>
      </w:r>
      <w:r>
        <w:rPr>
          <w:rFonts w:hint="eastAsia"/>
        </w:rPr>
        <w:t>申报电量与中长期合约分解电量的偏差电量按照</w:t>
      </w:r>
      <w:r>
        <w:rPr>
          <w:rFonts w:hint="eastAsia"/>
          <w:lang w:eastAsia="zh-CN"/>
        </w:rPr>
        <w:t>日前市场</w:t>
      </w:r>
      <w:r>
        <w:rPr>
          <w:rFonts w:hint="eastAsia"/>
        </w:rPr>
        <w:t>统一结算点电价进行结算，</w:t>
      </w:r>
      <w:r>
        <w:rPr>
          <w:rFonts w:hint="eastAsia"/>
          <w:lang w:eastAsia="zh-CN"/>
        </w:rPr>
        <w:t>日前市场</w:t>
      </w:r>
      <w:r>
        <w:rPr>
          <w:rFonts w:hint="eastAsia"/>
        </w:rPr>
        <w:t>统一结算点电价按各现货市场化机组每小时日前出清上网电量进行所有节点加权平均；</w:t>
      </w:r>
      <w:r>
        <w:rPr>
          <w:rFonts w:hint="eastAsia"/>
          <w:lang w:eastAsia="zh-CN"/>
        </w:rPr>
        <w:t>实时市场</w:t>
      </w:r>
      <w:r>
        <w:rPr>
          <w:rFonts w:hint="eastAsia"/>
        </w:rPr>
        <w:t>根据实际用电量与</w:t>
      </w:r>
      <w:r>
        <w:rPr>
          <w:rFonts w:hint="eastAsia"/>
          <w:lang w:eastAsia="zh-CN"/>
        </w:rPr>
        <w:t>日前市场</w:t>
      </w:r>
      <w:r>
        <w:rPr>
          <w:rFonts w:hint="eastAsia"/>
        </w:rPr>
        <w:t>申报电量的偏差电量按照</w:t>
      </w:r>
      <w:r>
        <w:rPr>
          <w:rFonts w:hint="eastAsia"/>
          <w:lang w:eastAsia="zh-CN"/>
        </w:rPr>
        <w:t>实时市场</w:t>
      </w:r>
      <w:r>
        <w:rPr>
          <w:rFonts w:hint="eastAsia"/>
        </w:rPr>
        <w:t>统一结算点电价进行结算，</w:t>
      </w:r>
      <w:r>
        <w:rPr>
          <w:rFonts w:hint="eastAsia"/>
          <w:lang w:eastAsia="zh-CN"/>
        </w:rPr>
        <w:t>实时市场</w:t>
      </w:r>
      <w:r>
        <w:rPr>
          <w:rFonts w:hint="eastAsia"/>
        </w:rPr>
        <w:t>统一结算点电价按</w:t>
      </w:r>
      <w:r>
        <w:rPr>
          <w:rFonts w:hint="eastAsia"/>
          <w:lang w:val="en-US" w:eastAsia="zh-CN"/>
        </w:rPr>
        <w:t>各</w:t>
      </w:r>
      <w:r>
        <w:rPr>
          <w:rFonts w:hint="eastAsia"/>
        </w:rPr>
        <w:t>现货市场化机组每小时</w:t>
      </w:r>
      <w:r>
        <w:rPr>
          <w:rFonts w:hint="eastAsia"/>
          <w:lang w:val="en-US" w:eastAsia="zh-CN"/>
        </w:rPr>
        <w:t>上网</w:t>
      </w:r>
      <w:r>
        <w:rPr>
          <w:rFonts w:hint="eastAsia"/>
        </w:rPr>
        <w:t>电量进行所有节点加权平均。</w:t>
      </w:r>
    </w:p>
    <w:p>
      <w:r>
        <w:rPr>
          <w:rFonts w:hint="eastAsia"/>
        </w:rPr>
        <w:t>5.2.2 对于电网公司代理购电用户，中长期合约分解电量，按照合约约定价格进行结算，实际用电量与中长期合约分解电量的偏差按照当月现货市场</w:t>
      </w:r>
      <w:r>
        <w:rPr>
          <w:rFonts w:hint="eastAsia"/>
          <w:lang w:val="en-US" w:eastAsia="zh-CN"/>
        </w:rPr>
        <w:t>月度综合</w:t>
      </w:r>
      <w:r>
        <w:rPr>
          <w:rFonts w:hint="eastAsia"/>
        </w:rPr>
        <w:t>价格结算。</w:t>
      </w:r>
    </w:p>
    <w:p>
      <w:r>
        <w:rPr>
          <w:rFonts w:hint="eastAsia"/>
        </w:rPr>
        <w:t>5.2.3 对于零售市场用户，按照售电公司与其签订的零售合同约定的零售结算模式进行结算。</w:t>
      </w:r>
    </w:p>
    <w:p>
      <w:r>
        <w:rPr>
          <w:rFonts w:hint="eastAsia"/>
        </w:rPr>
        <w:t>5.2.4 对于非市场化用户，以目录电价作为结算价格。</w:t>
      </w:r>
    </w:p>
    <w:p>
      <w:pPr>
        <w:pStyle w:val="106"/>
        <w:spacing w:before="156" w:after="156"/>
        <w:ind w:firstLine="643"/>
      </w:pPr>
      <w:bookmarkStart w:id="252" w:name="_Toc15481"/>
      <w:bookmarkStart w:id="253" w:name="_Toc28457"/>
      <w:bookmarkStart w:id="254" w:name="_Toc23800"/>
      <w:bookmarkStart w:id="255" w:name="_Toc12330"/>
      <w:bookmarkStart w:id="256" w:name="_Toc14374"/>
      <w:r>
        <w:rPr>
          <w:rFonts w:hint="eastAsia"/>
        </w:rPr>
        <w:t>结算周期</w:t>
      </w:r>
      <w:bookmarkEnd w:id="252"/>
      <w:bookmarkEnd w:id="253"/>
      <w:bookmarkEnd w:id="254"/>
      <w:bookmarkEnd w:id="255"/>
      <w:bookmarkEnd w:id="256"/>
    </w:p>
    <w:p>
      <w:r>
        <w:rPr>
          <w:rFonts w:hint="eastAsia"/>
        </w:rPr>
        <w:t>5.3.1 批发市场结算周期采用“日清月结”的模式。即按日进行市场化交易结果清分，生成日清分账单；按月进行市场化交易电费结算，生成月结算账单，并向</w:t>
      </w:r>
      <w:r>
        <w:rPr>
          <w:rFonts w:hint="eastAsia"/>
          <w:lang w:eastAsia="zh-CN"/>
        </w:rPr>
        <w:t>经营主体</w:t>
      </w:r>
      <w:r>
        <w:rPr>
          <w:rFonts w:hint="eastAsia"/>
        </w:rPr>
        <w:t>发布。</w:t>
      </w:r>
    </w:p>
    <w:p>
      <w:r>
        <w:rPr>
          <w:rFonts w:hint="eastAsia"/>
        </w:rPr>
        <w:t>5.3.2 零售市场根据售电合同性质以月度为周期结算，即按月进行零售市场电费结算，生成月结算账单，并向</w:t>
      </w:r>
      <w:r>
        <w:rPr>
          <w:rFonts w:hint="eastAsia"/>
          <w:lang w:eastAsia="zh-CN"/>
        </w:rPr>
        <w:t>经营主体</w:t>
      </w:r>
      <w:r>
        <w:rPr>
          <w:rFonts w:hint="eastAsia"/>
        </w:rPr>
        <w:t>发布。</w:t>
      </w:r>
    </w:p>
    <w:p>
      <w:pPr>
        <w:pStyle w:val="106"/>
        <w:spacing w:before="156" w:after="156"/>
        <w:ind w:firstLine="643"/>
      </w:pPr>
      <w:bookmarkStart w:id="257" w:name="_Toc29099"/>
      <w:bookmarkStart w:id="258" w:name="_Toc30723"/>
      <w:bookmarkStart w:id="259" w:name="_Toc110914520"/>
      <w:bookmarkStart w:id="260" w:name="_Toc1038"/>
      <w:bookmarkStart w:id="261" w:name="_Toc9888"/>
      <w:bookmarkStart w:id="262" w:name="_Toc2764"/>
      <w:r>
        <w:rPr>
          <w:rFonts w:hint="eastAsia"/>
        </w:rPr>
        <w:t>结算单位时间</w:t>
      </w:r>
      <w:bookmarkEnd w:id="257"/>
      <w:bookmarkEnd w:id="258"/>
      <w:bookmarkEnd w:id="259"/>
      <w:bookmarkEnd w:id="260"/>
      <w:bookmarkEnd w:id="261"/>
      <w:bookmarkEnd w:id="262"/>
    </w:p>
    <w:p>
      <w:r>
        <w:rPr>
          <w:rFonts w:hint="eastAsia"/>
        </w:rPr>
        <w:t>5.4.1 中长期市场按</w:t>
      </w:r>
      <w:r>
        <w:rPr>
          <w:rFonts w:hint="eastAsia"/>
          <w:lang w:eastAsia="zh-CN"/>
        </w:rPr>
        <w:t>经营主体</w:t>
      </w:r>
      <w:r>
        <w:rPr>
          <w:rFonts w:hint="eastAsia"/>
        </w:rPr>
        <w:t>中长期净合约价格结算，原则上结算电价最小单位时间为1小时；</w:t>
      </w:r>
    </w:p>
    <w:p>
      <w:r>
        <w:rPr>
          <w:rFonts w:hint="eastAsia"/>
        </w:rPr>
        <w:t>5.4.2 现货市场以1小时为结算电价单位时间。每小时节点电价等于该小时内每15分钟节点电价的算术平均值。</w:t>
      </w:r>
    </w:p>
    <w:p>
      <w:pPr>
        <w:pStyle w:val="105"/>
        <w:spacing w:before="156" w:after="156"/>
        <w:ind w:firstLine="643"/>
      </w:pPr>
      <w:bookmarkStart w:id="263" w:name="_Toc80957461"/>
      <w:bookmarkEnd w:id="263"/>
      <w:bookmarkStart w:id="264" w:name="_Toc80991772"/>
      <w:bookmarkEnd w:id="264"/>
      <w:bookmarkStart w:id="265" w:name="_Toc80956997"/>
      <w:bookmarkEnd w:id="265"/>
      <w:bookmarkStart w:id="266" w:name="_Toc80957297"/>
      <w:bookmarkEnd w:id="266"/>
      <w:bookmarkStart w:id="267" w:name="_Toc80991773"/>
      <w:bookmarkEnd w:id="267"/>
      <w:bookmarkStart w:id="268" w:name="_Toc80991775"/>
      <w:bookmarkEnd w:id="268"/>
      <w:bookmarkStart w:id="269" w:name="_Toc19788"/>
      <w:bookmarkStart w:id="270" w:name="_Toc21440"/>
      <w:bookmarkStart w:id="271" w:name="_Toc27491"/>
      <w:bookmarkStart w:id="272" w:name="_Toc24261"/>
      <w:bookmarkStart w:id="273" w:name="_Toc13802"/>
      <w:bookmarkStart w:id="274" w:name="_Toc25322"/>
      <w:bookmarkStart w:id="275" w:name="_Toc31991"/>
      <w:bookmarkStart w:id="276" w:name="_Toc23452"/>
      <w:bookmarkStart w:id="277" w:name="_Toc19261"/>
      <w:bookmarkStart w:id="278" w:name="_Toc9842"/>
      <w:bookmarkStart w:id="279" w:name="_Toc9555"/>
      <w:bookmarkStart w:id="280" w:name="_Toc5471"/>
      <w:bookmarkStart w:id="281" w:name="_Toc30744"/>
      <w:bookmarkStart w:id="282" w:name="_Toc15885"/>
      <w:bookmarkStart w:id="283" w:name="_Toc91163991"/>
      <w:bookmarkStart w:id="284" w:name="_Toc3791"/>
      <w:bookmarkStart w:id="285" w:name="_Toc14956"/>
      <w:bookmarkStart w:id="286" w:name="_Toc19153"/>
      <w:bookmarkStart w:id="287" w:name="_Toc17569"/>
      <w:bookmarkStart w:id="288" w:name="_Toc1312"/>
      <w:r>
        <w:rPr>
          <w:rFonts w:hint="eastAsia"/>
        </w:rPr>
        <w:t>结算流程</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106"/>
        <w:spacing w:before="156" w:after="156"/>
        <w:ind w:firstLine="643"/>
      </w:pPr>
      <w:bookmarkStart w:id="289" w:name="_Toc26709"/>
      <w:bookmarkStart w:id="290" w:name="_Toc29951"/>
      <w:bookmarkStart w:id="291" w:name="_Toc213"/>
      <w:bookmarkStart w:id="292" w:name="_Toc12554"/>
      <w:bookmarkStart w:id="293" w:name="_Toc17583"/>
      <w:bookmarkStart w:id="294" w:name="_Toc17253"/>
      <w:bookmarkStart w:id="295" w:name="_Toc12157"/>
      <w:bookmarkStart w:id="296" w:name="_Toc10803"/>
      <w:bookmarkStart w:id="297" w:name="_Toc8752"/>
      <w:bookmarkStart w:id="298" w:name="_Toc110914522"/>
      <w:bookmarkStart w:id="299" w:name="_Toc1450"/>
      <w:bookmarkStart w:id="300" w:name="_Toc91163992"/>
      <w:bookmarkStart w:id="301" w:name="_Toc21672"/>
      <w:bookmarkStart w:id="302" w:name="_Toc24575"/>
      <w:bookmarkStart w:id="303" w:name="_Toc18731"/>
      <w:bookmarkStart w:id="304" w:name="_Toc32215"/>
      <w:bookmarkStart w:id="305" w:name="_Toc19044"/>
      <w:bookmarkStart w:id="306" w:name="_Toc21185"/>
      <w:r>
        <w:rPr>
          <w:rFonts w:hint="eastAsia"/>
        </w:rPr>
        <w:t>数据准备</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
        <w:rPr>
          <w:rFonts w:hint="eastAsia"/>
        </w:rPr>
        <w:t>6.1.1 电力交易机构在日前省内现货市场开市前将中长期交易电量分解数据传送到</w:t>
      </w:r>
      <w:r>
        <w:rPr>
          <w:rFonts w:hint="eastAsia"/>
          <w:lang w:val="zh-CN"/>
        </w:rPr>
        <w:t>电力现货市场技术支持系统</w:t>
      </w:r>
      <w:r>
        <w:rPr>
          <w:rFonts w:hint="eastAsia"/>
        </w:rPr>
        <w:t>，分时电量以每小时为时间间隔。</w:t>
      </w:r>
    </w:p>
    <w:p>
      <w:r>
        <w:rPr>
          <w:rFonts w:hint="eastAsia"/>
        </w:rPr>
        <w:t>6.1.2 调度机构于运行日提前1日（D-1）完成</w:t>
      </w:r>
      <w:r>
        <w:rPr>
          <w:rFonts w:hint="eastAsia"/>
          <w:lang w:eastAsia="zh-CN"/>
        </w:rPr>
        <w:t>日前市场</w:t>
      </w:r>
      <w:r>
        <w:rPr>
          <w:rFonts w:hint="eastAsia"/>
        </w:rPr>
        <w:t>出清，运行日（D）完成</w:t>
      </w:r>
      <w:r>
        <w:rPr>
          <w:rFonts w:hint="eastAsia"/>
          <w:lang w:eastAsia="zh-CN"/>
        </w:rPr>
        <w:t>实时市场</w:t>
      </w:r>
      <w:r>
        <w:rPr>
          <w:rFonts w:hint="eastAsia"/>
        </w:rPr>
        <w:t>出清。运行日后第1天（D+1）获取运行日的省间、省内</w:t>
      </w:r>
      <w:r>
        <w:rPr>
          <w:rFonts w:hint="eastAsia"/>
          <w:lang w:eastAsia="zh-CN"/>
        </w:rPr>
        <w:t>日前市场</w:t>
      </w:r>
      <w:r>
        <w:rPr>
          <w:rFonts w:hint="eastAsia"/>
        </w:rPr>
        <w:t>交易结果，以及运行日省间日内、省内</w:t>
      </w:r>
      <w:r>
        <w:rPr>
          <w:rFonts w:hint="eastAsia"/>
          <w:lang w:eastAsia="zh-CN"/>
        </w:rPr>
        <w:t>实时市场</w:t>
      </w:r>
      <w:r>
        <w:rPr>
          <w:rFonts w:hint="eastAsia"/>
        </w:rPr>
        <w:t>交易结果，具体包括：省间日前及日内市场每15分钟的出清电力和价格</w:t>
      </w:r>
      <w:r>
        <w:rPr>
          <w:rFonts w:hint="eastAsia"/>
          <w:lang w:eastAsia="zh-CN"/>
        </w:rPr>
        <w:t>，发电侧</w:t>
      </w:r>
      <w:r>
        <w:rPr>
          <w:rFonts w:hint="eastAsia"/>
        </w:rPr>
        <w:t>省内日前和</w:t>
      </w:r>
      <w:r>
        <w:rPr>
          <w:rFonts w:hint="eastAsia"/>
          <w:lang w:eastAsia="zh-CN"/>
        </w:rPr>
        <w:t>实时市场</w:t>
      </w:r>
      <w:r>
        <w:rPr>
          <w:rFonts w:hint="eastAsia"/>
          <w:lang w:val="en-US" w:eastAsia="zh-CN"/>
        </w:rPr>
        <w:t>每15分钟</w:t>
      </w:r>
      <w:r>
        <w:rPr>
          <w:rFonts w:hint="eastAsia"/>
        </w:rPr>
        <w:t>的出清电力和</w:t>
      </w:r>
      <w:r>
        <w:rPr>
          <w:rFonts w:hint="eastAsia"/>
          <w:lang w:val="en-US" w:eastAsia="zh-CN"/>
        </w:rPr>
        <w:t>每小时的出清</w:t>
      </w:r>
      <w:r>
        <w:rPr>
          <w:rFonts w:hint="eastAsia"/>
        </w:rPr>
        <w:t>价格；用户侧</w:t>
      </w:r>
      <w:r>
        <w:rPr>
          <w:rFonts w:hint="eastAsia"/>
          <w:lang w:eastAsia="zh-CN"/>
        </w:rPr>
        <w:t>日前市场出清</w:t>
      </w:r>
      <w:r>
        <w:rPr>
          <w:rFonts w:hint="eastAsia"/>
        </w:rPr>
        <w:t>电量；日前机组组合安排；必开、试验等特殊机组标签；启停及考核数据等。</w:t>
      </w:r>
    </w:p>
    <w:p>
      <w:r>
        <w:rPr>
          <w:rFonts w:hint="eastAsia"/>
        </w:rPr>
        <w:t>6.1.3 运行日后第4天（D+4），电网企业以机组和计量点为最小单位，采集运行日（D）</w:t>
      </w:r>
      <w:r>
        <w:rPr>
          <w:rFonts w:hint="eastAsia"/>
          <w:lang w:val="en-US" w:eastAsia="zh-CN"/>
        </w:rPr>
        <w:t>火电机组、新能源场站、独立储能电站的</w:t>
      </w:r>
      <w:r>
        <w:rPr>
          <w:rFonts w:hint="eastAsia"/>
        </w:rPr>
        <w:t>每15分钟电量数据和市场用户每小时分时电量数据。</w:t>
      </w:r>
    </w:p>
    <w:p>
      <w:pPr>
        <w:ind w:firstLine="640" w:firstLineChars="200"/>
        <w:rPr>
          <w:rFonts w:hint="eastAsia"/>
        </w:rPr>
      </w:pPr>
      <w:r>
        <w:rPr>
          <w:rFonts w:hint="eastAsia"/>
        </w:rPr>
        <w:t>6.1.4 运行日后第6天（D+6），交易机构计算运行日（D）的清算电费，具体包括：各</w:t>
      </w:r>
      <w:r>
        <w:rPr>
          <w:rFonts w:hint="eastAsia"/>
          <w:lang w:eastAsia="zh-CN"/>
        </w:rPr>
        <w:t>经营主体</w:t>
      </w:r>
      <w:r>
        <w:rPr>
          <w:rFonts w:hint="eastAsia"/>
        </w:rPr>
        <w:t>当日每小时不同交易类型的清算电量、电价、电费，当日累计电量电费情况。</w:t>
      </w:r>
    </w:p>
    <w:p>
      <w:pPr>
        <w:pStyle w:val="106"/>
        <w:spacing w:before="156" w:after="156"/>
        <w:ind w:firstLine="643"/>
      </w:pPr>
      <w:bookmarkStart w:id="307" w:name="_Toc3694"/>
      <w:bookmarkStart w:id="308" w:name="_Toc13993"/>
      <w:bookmarkStart w:id="309" w:name="_Toc2815"/>
      <w:bookmarkStart w:id="310" w:name="_Toc17123"/>
      <w:bookmarkStart w:id="311" w:name="_Toc5631"/>
      <w:bookmarkStart w:id="312" w:name="_Toc110914523"/>
      <w:r>
        <w:rPr>
          <w:rFonts w:hint="eastAsia"/>
        </w:rPr>
        <w:t>结算流程</w:t>
      </w:r>
      <w:bookmarkEnd w:id="307"/>
      <w:bookmarkEnd w:id="308"/>
      <w:bookmarkEnd w:id="309"/>
      <w:bookmarkEnd w:id="310"/>
      <w:bookmarkEnd w:id="311"/>
      <w:bookmarkEnd w:id="312"/>
    </w:p>
    <w:p>
      <w:r>
        <w:rPr>
          <w:rFonts w:hint="eastAsia"/>
        </w:rPr>
        <w:t>6.2.1 日清算结果发布。交易机构每周三前按周发布日清算结果。</w:t>
      </w:r>
    </w:p>
    <w:p>
      <w:r>
        <w:rPr>
          <w:rFonts w:hint="eastAsia"/>
        </w:rPr>
        <w:t>6.2.2 日清算结果确认。</w:t>
      </w:r>
      <w:r>
        <w:rPr>
          <w:rFonts w:hint="eastAsia"/>
          <w:lang w:eastAsia="zh-CN"/>
        </w:rPr>
        <w:t>经营主</w:t>
      </w:r>
      <w:bookmarkStart w:id="1058" w:name="_GoBack"/>
      <w:bookmarkEnd w:id="1058"/>
      <w:r>
        <w:rPr>
          <w:rFonts w:hint="eastAsia"/>
          <w:lang w:eastAsia="zh-CN"/>
        </w:rPr>
        <w:t>体</w:t>
      </w:r>
      <w:r>
        <w:rPr>
          <w:rFonts w:hint="eastAsia"/>
        </w:rPr>
        <w:t>在日清算结果发布后，对清算电量、电价、电费进行确认，在2日内反馈意见，在规定时间内无反馈的视同确认无异议。</w:t>
      </w:r>
    </w:p>
    <w:p>
      <w:r>
        <w:rPr>
          <w:rFonts w:hint="eastAsia"/>
        </w:rPr>
        <w:t>6.2.3 日清算结果重算。交易机构根据各方处理意见，对</w:t>
      </w:r>
      <w:r>
        <w:rPr>
          <w:rFonts w:hint="eastAsia"/>
          <w:lang w:eastAsia="zh-CN"/>
        </w:rPr>
        <w:t>运行月（</w:t>
      </w:r>
      <w:r>
        <w:rPr>
          <w:rFonts w:hint="eastAsia"/>
          <w:lang w:val="en-US" w:eastAsia="zh-CN"/>
        </w:rPr>
        <w:t>M</w:t>
      </w:r>
      <w:r>
        <w:rPr>
          <w:rFonts w:hint="eastAsia"/>
          <w:lang w:eastAsia="zh-CN"/>
        </w:rPr>
        <w:t>）</w:t>
      </w:r>
      <w:r>
        <w:rPr>
          <w:rFonts w:hint="eastAsia"/>
        </w:rPr>
        <w:t>需调整的日清算结果进行重新计算，并重新发布已重算的日清算结果。</w:t>
      </w:r>
    </w:p>
    <w:p>
      <w:r>
        <w:rPr>
          <w:rFonts w:hint="eastAsia"/>
        </w:rPr>
        <w:t>6.2.4 月度结算依据发布。交易机构</w:t>
      </w:r>
      <w:r>
        <w:rPr>
          <w:rFonts w:hint="eastAsia"/>
          <w:lang w:val="en-US" w:eastAsia="zh-CN"/>
        </w:rPr>
        <w:t>于运</w:t>
      </w:r>
      <w:r>
        <w:rPr>
          <w:rFonts w:hint="eastAsia"/>
        </w:rPr>
        <w:t>行月下一月（M+1）10个工作日</w:t>
      </w:r>
      <w:r>
        <w:rPr>
          <w:rFonts w:hint="eastAsia"/>
          <w:lang w:val="en-US" w:eastAsia="zh-CN"/>
        </w:rPr>
        <w:t>前，</w:t>
      </w:r>
      <w:r>
        <w:rPr>
          <w:rFonts w:hint="eastAsia"/>
        </w:rPr>
        <w:t>根据运行月（M）日清算结果，出具运行月（M）月度结算依据，并发布给</w:t>
      </w:r>
      <w:r>
        <w:rPr>
          <w:rFonts w:hint="eastAsia"/>
          <w:lang w:eastAsia="zh-CN"/>
        </w:rPr>
        <w:t>经营主体</w:t>
      </w:r>
      <w:r>
        <w:rPr>
          <w:rFonts w:hint="eastAsia"/>
        </w:rPr>
        <w:t>查询确认。具体包括：各</w:t>
      </w:r>
      <w:r>
        <w:rPr>
          <w:rFonts w:hint="eastAsia"/>
          <w:lang w:eastAsia="zh-CN"/>
        </w:rPr>
        <w:t>经营主体</w:t>
      </w:r>
      <w:r>
        <w:rPr>
          <w:rFonts w:hint="eastAsia"/>
        </w:rPr>
        <w:t>当月累计电量、电价、电费，考核费用，分摊、返还，以及历史月份的退补电量电费等费用明细。</w:t>
      </w:r>
    </w:p>
    <w:p>
      <w:r>
        <w:rPr>
          <w:rFonts w:hint="eastAsia"/>
        </w:rPr>
        <w:t>6.2.5 月度结算依据确认。</w:t>
      </w:r>
      <w:r>
        <w:rPr>
          <w:rFonts w:hint="eastAsia"/>
          <w:lang w:eastAsia="zh-CN"/>
        </w:rPr>
        <w:t>经营主体</w:t>
      </w:r>
      <w:r>
        <w:rPr>
          <w:rFonts w:hint="eastAsia"/>
        </w:rPr>
        <w:t>在月结算依据发布后3个工作日内，对结算数据进行确认。若有异议，</w:t>
      </w:r>
      <w:r>
        <w:rPr>
          <w:rFonts w:hint="eastAsia"/>
          <w:lang w:eastAsia="zh-CN"/>
        </w:rPr>
        <w:t>经营主体</w:t>
      </w:r>
      <w:r>
        <w:rPr>
          <w:rFonts w:hint="eastAsia"/>
        </w:rPr>
        <w:t>提出反馈意见经相关</w:t>
      </w:r>
      <w:r>
        <w:rPr>
          <w:rFonts w:hint="eastAsia"/>
          <w:lang w:eastAsia="zh-CN"/>
        </w:rPr>
        <w:t>经营主体</w:t>
      </w:r>
      <w:r>
        <w:rPr>
          <w:rFonts w:hint="eastAsia"/>
        </w:rPr>
        <w:t>确认一致后，交易机构形成最终月度结算依据并公布，同时提供给电网企业。在规定时间内无反馈的视同确认无异议。</w:t>
      </w:r>
    </w:p>
    <w:p>
      <w:r>
        <w:rPr>
          <w:rFonts w:hint="eastAsia"/>
        </w:rPr>
        <w:t>6.2.6 电费结算账单公布。电网企业根据交易机构提供的市场结算依据开展电费结算，形成电费结算账单并发布，相关</w:t>
      </w:r>
      <w:r>
        <w:rPr>
          <w:rFonts w:hint="eastAsia"/>
          <w:lang w:eastAsia="zh-CN"/>
        </w:rPr>
        <w:t>经营主体</w:t>
      </w:r>
      <w:r>
        <w:rPr>
          <w:rFonts w:hint="eastAsia"/>
        </w:rPr>
        <w:t>在2日内反馈意见，在规定时间内无反馈的视同确认无异议。电网企业和</w:t>
      </w:r>
      <w:r>
        <w:rPr>
          <w:rFonts w:hint="eastAsia"/>
          <w:lang w:eastAsia="zh-CN"/>
        </w:rPr>
        <w:t>经营主体</w:t>
      </w:r>
      <w:r>
        <w:rPr>
          <w:rFonts w:hint="eastAsia"/>
        </w:rPr>
        <w:t>按照合同或法律法规的规定完成电费收支。</w:t>
      </w:r>
    </w:p>
    <w:p>
      <w:pPr>
        <w:pStyle w:val="9"/>
      </w:pPr>
      <w:r>
        <w:rPr>
          <w:rFonts w:ascii="仿宋_GB2312" w:hAnsi="仿宋_GB2312" w:cstheme="minorBidi"/>
          <w:kern w:val="2"/>
          <w:szCs w:val="22"/>
        </w:rPr>
        <w:t>6.2.</w:t>
      </w:r>
      <w:r>
        <w:rPr>
          <w:rFonts w:hint="eastAsia" w:ascii="仿宋_GB2312" w:hAnsi="仿宋_GB2312" w:cstheme="minorBidi"/>
          <w:kern w:val="2"/>
          <w:szCs w:val="22"/>
          <w:lang w:val="en-US"/>
        </w:rPr>
        <w:t>7 遇</w:t>
      </w:r>
      <w:r>
        <w:rPr>
          <w:rFonts w:hint="eastAsia"/>
        </w:rPr>
        <w:t>特殊情况和节假日，结算相关工作顺延。其中，结算单发布遇到周六、周日和其他节假日时，相关结算单顺延至下一工作日发布。</w:t>
      </w:r>
    </w:p>
    <w:p>
      <w:pPr>
        <w:pStyle w:val="105"/>
        <w:spacing w:before="156" w:after="156"/>
        <w:ind w:firstLine="643"/>
      </w:pPr>
      <w:bookmarkStart w:id="313" w:name="_Toc18337"/>
      <w:bookmarkStart w:id="314" w:name="_Toc3967"/>
      <w:bookmarkStart w:id="315" w:name="_Toc25187"/>
      <w:bookmarkStart w:id="316" w:name="_Toc23182"/>
      <w:bookmarkStart w:id="317" w:name="_Toc14166"/>
      <w:bookmarkStart w:id="318" w:name="_Toc91163995"/>
      <w:bookmarkStart w:id="319" w:name="_Toc10376"/>
      <w:bookmarkStart w:id="320" w:name="_Toc29442"/>
      <w:bookmarkStart w:id="321" w:name="_Toc18515"/>
      <w:bookmarkStart w:id="322" w:name="_Toc4896"/>
      <w:bookmarkStart w:id="323" w:name="_Toc29654"/>
      <w:bookmarkStart w:id="324" w:name="_Toc15500"/>
      <w:bookmarkStart w:id="325" w:name="_Toc32193"/>
      <w:bookmarkStart w:id="326" w:name="_Toc17596"/>
      <w:bookmarkStart w:id="327" w:name="_Toc10935"/>
      <w:bookmarkStart w:id="328" w:name="_Toc17000"/>
      <w:bookmarkStart w:id="329" w:name="_Toc30285"/>
      <w:bookmarkStart w:id="330" w:name="_Toc4136"/>
      <w:bookmarkStart w:id="331" w:name="_Toc15373"/>
      <w:bookmarkStart w:id="332" w:name="_Toc5102"/>
      <w:r>
        <w:rPr>
          <w:rFonts w:hint="eastAsia"/>
        </w:rPr>
        <w:t>发电侧结算</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pStyle w:val="9"/>
        <w:spacing w:after="0"/>
        <w:jc w:val="left"/>
        <w:rPr>
          <w:rFonts w:hint="eastAsia" w:ascii="仿宋_GB2312" w:hAnsi="仿宋_GB2312" w:eastAsia="仿宋_GB2312" w:cs="仿宋_GB2312"/>
          <w:lang w:eastAsia="zh-CN"/>
        </w:rPr>
      </w:pPr>
      <w:r>
        <w:rPr>
          <w:rFonts w:hint="eastAsia" w:ascii="仿宋_GB2312" w:hAnsi="仿宋_GB2312" w:cs="仿宋_GB2312"/>
        </w:rPr>
        <w:t>市</w:t>
      </w:r>
      <w:r>
        <w:rPr>
          <w:rFonts w:hint="eastAsia" w:ascii="仿宋_GB2312" w:hAnsi="仿宋_GB2312" w:cs="仿宋_GB2312"/>
          <w:highlight w:val="none"/>
        </w:rPr>
        <w:t>场</w:t>
      </w:r>
      <w:r>
        <w:rPr>
          <w:rFonts w:hint="eastAsia" w:ascii="仿宋_GB2312" w:hAnsi="仿宋_GB2312" w:cs="仿宋_GB2312"/>
          <w:highlight w:val="none"/>
          <w:lang w:eastAsia="zh-CN"/>
        </w:rPr>
        <w:t>机组/场站</w:t>
      </w:r>
      <w:r>
        <w:rPr>
          <w:rFonts w:hint="eastAsia" w:ascii="仿宋_GB2312" w:hAnsi="仿宋_GB2312" w:cs="仿宋_GB2312"/>
          <w:highlight w:val="none"/>
        </w:rPr>
        <w:t>总电费包</w:t>
      </w:r>
      <w:r>
        <w:rPr>
          <w:rFonts w:hint="eastAsia" w:ascii="仿宋_GB2312" w:hAnsi="仿宋_GB2312" w:cs="仿宋_GB2312"/>
        </w:rPr>
        <w:t>含中长期合约电能量电费、</w:t>
      </w:r>
      <w:r>
        <w:rPr>
          <w:rFonts w:hint="eastAsia" w:ascii="仿宋_GB2312" w:hAnsi="仿宋_GB2312" w:cs="仿宋_GB2312"/>
          <w:lang w:eastAsia="zh-CN"/>
        </w:rPr>
        <w:t>日前市场</w:t>
      </w:r>
      <w:r>
        <w:rPr>
          <w:rFonts w:hint="eastAsia" w:ascii="仿宋_GB2312" w:hAnsi="仿宋_GB2312" w:cs="仿宋_GB2312"/>
        </w:rPr>
        <w:t>偏差电能量电费、</w:t>
      </w:r>
      <w:r>
        <w:rPr>
          <w:rFonts w:hint="eastAsia" w:ascii="仿宋_GB2312" w:hAnsi="仿宋_GB2312" w:cs="仿宋_GB2312"/>
          <w:lang w:eastAsia="zh-CN"/>
        </w:rPr>
        <w:t>实时市场</w:t>
      </w:r>
      <w:r>
        <w:rPr>
          <w:rFonts w:hint="eastAsia" w:ascii="仿宋_GB2312" w:hAnsi="仿宋_GB2312" w:cs="仿宋_GB2312"/>
        </w:rPr>
        <w:t>偏差电能量电费、</w:t>
      </w:r>
      <w:r>
        <w:rPr>
          <w:rFonts w:hint="eastAsia" w:ascii="仿宋_GB2312" w:hAnsi="仿宋_GB2312" w:cs="仿宋_GB2312"/>
          <w:lang w:val="en-US"/>
        </w:rPr>
        <w:t>补偿费用、分摊或返还及</w:t>
      </w:r>
      <w:r>
        <w:rPr>
          <w:rFonts w:hint="eastAsia" w:ascii="仿宋_GB2312" w:hAnsi="仿宋_GB2312" w:cs="仿宋_GB2312"/>
        </w:rPr>
        <w:t>考核费用。计算公式</w:t>
      </w:r>
      <w:r>
        <w:rPr>
          <w:rFonts w:hint="eastAsia" w:ascii="仿宋_GB2312" w:hAnsi="仿宋_GB2312" w:cs="仿宋_GB2312"/>
          <w:lang w:val="en-US" w:eastAsia="zh-CN"/>
        </w:rPr>
        <w:t>如下</w:t>
      </w:r>
      <w:r>
        <w:rPr>
          <w:rFonts w:hint="eastAsia" w:ascii="仿宋_GB2312" w:hAnsi="仿宋_GB2312" w:cs="仿宋_GB2312"/>
        </w:rPr>
        <w:t>：</w:t>
      </w:r>
      <w:bookmarkStart w:id="333" w:name="_Toc19479"/>
      <w:bookmarkStart w:id="334" w:name="_Toc6713"/>
      <w:bookmarkStart w:id="335" w:name="_Toc14773"/>
      <w:bookmarkStart w:id="336" w:name="_Toc4889"/>
    </w:p>
    <w:p>
      <w:pPr>
        <w:pStyle w:val="9"/>
        <w:spacing w:after="0"/>
        <w:jc w:val="center"/>
        <w:rPr>
          <w:rFonts w:ascii="仿宋_GB2312" w:hAnsi="仿宋_GB2312" w:cs="仿宋_GB2312"/>
        </w:rPr>
      </w:pPr>
      <w:r>
        <w:rPr>
          <w:rFonts w:hint="eastAsia" w:ascii="仿宋_GB2312" w:hAnsi="仿宋_GB2312" w:cs="仿宋_GB2312"/>
        </w:rPr>
        <w:t>R=R</w:t>
      </w:r>
      <w:r>
        <w:rPr>
          <w:rFonts w:hint="eastAsia" w:ascii="仿宋_GB2312" w:hAnsi="仿宋_GB2312" w:cs="仿宋_GB2312"/>
          <w:vertAlign w:val="subscript"/>
        </w:rPr>
        <w:t>中长期合约</w:t>
      </w:r>
      <w:r>
        <w:rPr>
          <w:rFonts w:hint="eastAsia" w:ascii="仿宋_GB2312" w:hAnsi="仿宋_GB2312" w:cs="仿宋_GB2312"/>
        </w:rPr>
        <w:t>+R</w:t>
      </w:r>
      <w:r>
        <w:rPr>
          <w:rFonts w:hint="eastAsia" w:ascii="仿宋_GB2312" w:hAnsi="仿宋_GB2312" w:cs="仿宋_GB2312"/>
          <w:vertAlign w:val="subscript"/>
        </w:rPr>
        <w:t>日前</w:t>
      </w:r>
      <w:r>
        <w:rPr>
          <w:rFonts w:hint="eastAsia" w:ascii="仿宋_GB2312" w:hAnsi="仿宋_GB2312" w:cs="仿宋_GB2312"/>
        </w:rPr>
        <w:t>+R</w:t>
      </w:r>
      <w:r>
        <w:rPr>
          <w:rFonts w:hint="eastAsia" w:ascii="仿宋_GB2312" w:hAnsi="仿宋_GB2312" w:cs="仿宋_GB2312"/>
          <w:vertAlign w:val="subscript"/>
        </w:rPr>
        <w:t>实时</w:t>
      </w:r>
      <w:r>
        <w:rPr>
          <w:rFonts w:hint="eastAsia" w:ascii="仿宋_GB2312" w:hAnsi="仿宋_GB2312" w:cs="仿宋_GB2312"/>
        </w:rPr>
        <w:t>+R</w:t>
      </w:r>
      <w:r>
        <w:rPr>
          <w:rFonts w:hint="eastAsia" w:ascii="仿宋_GB2312" w:hAnsi="仿宋_GB2312" w:cs="仿宋_GB2312"/>
          <w:vertAlign w:val="subscript"/>
        </w:rPr>
        <w:t>补偿</w:t>
      </w:r>
      <w:r>
        <w:rPr>
          <w:rFonts w:hint="eastAsia" w:ascii="仿宋_GB2312" w:hAnsi="仿宋_GB2312" w:cs="仿宋_GB2312"/>
        </w:rPr>
        <w:t>+R</w:t>
      </w:r>
      <w:r>
        <w:rPr>
          <w:rFonts w:hint="eastAsia" w:ascii="仿宋_GB2312" w:hAnsi="仿宋_GB2312" w:cs="仿宋_GB2312"/>
          <w:vertAlign w:val="subscript"/>
          <w:lang w:val="en-US"/>
        </w:rPr>
        <w:t>分摊或返还及考核</w:t>
      </w:r>
      <w:bookmarkEnd w:id="333"/>
      <w:bookmarkEnd w:id="334"/>
      <w:bookmarkEnd w:id="335"/>
      <w:bookmarkEnd w:id="336"/>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中长期合约</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中长期合约电能量电费收入；</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日前</w:t>
      </w:r>
      <w:r>
        <w:rPr>
          <w:rFonts w:hint="eastAsia" w:ascii="仿宋_GB2312" w:hAnsi="仿宋_GB2312" w:cs="仿宋_GB2312"/>
        </w:rPr>
        <w:t>为</w:t>
      </w:r>
      <w:r>
        <w:rPr>
          <w:rFonts w:hint="eastAsia" w:ascii="仿宋_GB2312" w:hAnsi="仿宋_GB2312" w:cs="仿宋_GB2312"/>
          <w:lang w:eastAsia="zh-CN"/>
        </w:rPr>
        <w:t>机组/场站日前市场</w:t>
      </w:r>
      <w:r>
        <w:rPr>
          <w:rFonts w:hint="eastAsia" w:ascii="仿宋_GB2312" w:hAnsi="仿宋_GB2312" w:cs="仿宋_GB2312"/>
        </w:rPr>
        <w:t>偏差电能量电费收入；</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实时</w:t>
      </w:r>
      <w:r>
        <w:rPr>
          <w:rFonts w:hint="eastAsia" w:ascii="仿宋_GB2312" w:hAnsi="仿宋_GB2312" w:cs="仿宋_GB2312"/>
        </w:rPr>
        <w:t>为</w:t>
      </w:r>
      <w:r>
        <w:rPr>
          <w:rFonts w:hint="eastAsia" w:ascii="仿宋_GB2312" w:hAnsi="仿宋_GB2312" w:cs="仿宋_GB2312"/>
          <w:lang w:eastAsia="zh-CN"/>
        </w:rPr>
        <w:t>机组/场站实时市场</w:t>
      </w:r>
      <w:r>
        <w:rPr>
          <w:rFonts w:hint="eastAsia" w:ascii="仿宋_GB2312" w:hAnsi="仿宋_GB2312" w:cs="仿宋_GB2312"/>
        </w:rPr>
        <w:t>偏差电能量电费收入；</w:t>
      </w:r>
    </w:p>
    <w:p>
      <w:pPr>
        <w:pStyle w:val="9"/>
        <w:spacing w:after="0"/>
        <w:rPr>
          <w:rFonts w:hint="eastAsia" w:ascii="仿宋_GB2312" w:hAnsi="仿宋_GB2312" w:eastAsia="仿宋_GB2312" w:cs="仿宋_GB2312"/>
          <w:lang w:eastAsia="zh-CN"/>
        </w:rPr>
      </w:pPr>
      <w:r>
        <w:rPr>
          <w:rFonts w:hint="eastAsia" w:ascii="仿宋_GB2312" w:hAnsi="仿宋_GB2312" w:cs="仿宋_GB2312"/>
        </w:rPr>
        <w:t>R</w:t>
      </w:r>
      <w:r>
        <w:rPr>
          <w:rFonts w:hint="eastAsia" w:ascii="仿宋_GB2312" w:hAnsi="仿宋_GB2312" w:cs="仿宋_GB2312"/>
          <w:vertAlign w:val="subscript"/>
        </w:rPr>
        <w:t>补偿</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lang w:val="en-US" w:eastAsia="zh-CN"/>
        </w:rPr>
        <w:t>补偿费用</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lang w:val="en-US"/>
        </w:rPr>
        <w:t>分摊或返还</w:t>
      </w:r>
      <w:r>
        <w:rPr>
          <w:rFonts w:hint="eastAsia" w:ascii="仿宋_GB2312" w:hAnsi="仿宋_GB2312" w:cs="仿宋_GB2312"/>
          <w:vertAlign w:val="subscript"/>
        </w:rPr>
        <w:t>及考核</w:t>
      </w:r>
      <w:r>
        <w:rPr>
          <w:rFonts w:hint="eastAsia" w:ascii="仿宋_GB2312" w:hAnsi="仿宋_GB2312" w:cs="仿宋_GB2312"/>
        </w:rPr>
        <w:t>为机组</w:t>
      </w:r>
      <w:r>
        <w:rPr>
          <w:rFonts w:hint="eastAsia" w:ascii="仿宋_GB2312" w:hAnsi="仿宋_GB2312" w:cs="仿宋_GB2312"/>
          <w:lang w:val="en-US"/>
        </w:rPr>
        <w:t>在市场运营中需承担的分摊或返还及考核费用</w:t>
      </w:r>
      <w:r>
        <w:rPr>
          <w:rFonts w:hint="eastAsia" w:ascii="仿宋_GB2312" w:hAnsi="仿宋_GB2312" w:cs="仿宋_GB2312"/>
        </w:rPr>
        <w:t>。</w:t>
      </w:r>
    </w:p>
    <w:p>
      <w:pPr>
        <w:pStyle w:val="106"/>
        <w:spacing w:before="156" w:after="156"/>
        <w:ind w:firstLine="643"/>
      </w:pPr>
      <w:bookmarkStart w:id="337" w:name="_Toc14340"/>
      <w:bookmarkStart w:id="338" w:name="_Toc5953"/>
      <w:bookmarkStart w:id="339" w:name="_Toc13983"/>
      <w:bookmarkStart w:id="340" w:name="_Toc31805"/>
      <w:bookmarkStart w:id="341" w:name="_Toc24062"/>
      <w:bookmarkStart w:id="342" w:name="_Toc14666"/>
      <w:bookmarkStart w:id="343" w:name="_Toc11449"/>
      <w:bookmarkStart w:id="344" w:name="_Toc6058"/>
      <w:bookmarkStart w:id="345" w:name="_Toc3236"/>
      <w:bookmarkStart w:id="346" w:name="_Toc4017"/>
      <w:bookmarkStart w:id="347" w:name="_Toc27154"/>
      <w:bookmarkStart w:id="348" w:name="_Toc28701"/>
      <w:bookmarkStart w:id="349" w:name="_Toc110914525"/>
      <w:r>
        <w:rPr>
          <w:rFonts w:hint="eastAsia"/>
        </w:rPr>
        <w:t>中长期合约电费</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9"/>
        <w:spacing w:after="0"/>
        <w:rPr>
          <w:rFonts w:ascii="仿宋_GB2312" w:hAnsi="仿宋_GB2312" w:cs="仿宋_GB2312"/>
        </w:rPr>
      </w:pPr>
      <w:r>
        <w:rPr>
          <w:rFonts w:hint="eastAsia" w:ascii="仿宋_GB2312" w:hAnsi="仿宋_GB2312" w:cs="仿宋_GB2312"/>
        </w:rPr>
        <w:t>发电侧按照</w:t>
      </w:r>
      <w:r>
        <w:rPr>
          <w:rFonts w:hint="eastAsia" w:ascii="仿宋_GB2312" w:hAnsi="仿宋_GB2312" w:cs="仿宋_GB2312"/>
          <w:lang w:eastAsia="zh-CN"/>
        </w:rPr>
        <w:t>机组/场站</w:t>
      </w:r>
      <w:r>
        <w:rPr>
          <w:rFonts w:hint="eastAsia" w:ascii="仿宋_GB2312" w:hAnsi="仿宋_GB2312" w:cs="仿宋_GB2312"/>
        </w:rPr>
        <w:t>中长期分时</w:t>
      </w:r>
      <w:r>
        <w:rPr>
          <w:rFonts w:hint="eastAsia" w:ascii="仿宋_GB2312" w:hAnsi="仿宋_GB2312" w:cs="仿宋_GB2312"/>
          <w:lang w:val="en-US" w:eastAsia="zh-CN"/>
        </w:rPr>
        <w:t>净</w:t>
      </w:r>
      <w:r>
        <w:rPr>
          <w:rFonts w:hint="eastAsia" w:ascii="仿宋_GB2312" w:hAnsi="仿宋_GB2312" w:cs="仿宋_GB2312"/>
        </w:rPr>
        <w:t>合约电量和净合约综合价格计算全电量电费。</w:t>
      </w:r>
      <w:r>
        <w:rPr>
          <w:rFonts w:hint="eastAsia" w:ascii="仿宋_GB2312" w:hAnsi="仿宋_GB2312" w:cs="仿宋_GB2312"/>
          <w:lang w:val="en-US"/>
        </w:rPr>
        <w:t>计算</w:t>
      </w:r>
      <w:r>
        <w:rPr>
          <w:rFonts w:hint="eastAsia" w:ascii="仿宋_GB2312" w:hAnsi="仿宋_GB2312" w:cs="仿宋_GB2312"/>
        </w:rPr>
        <w:t>公式为：</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rPr>
        <w:t>中长期合约</w:t>
      </w:r>
      <w:r>
        <w:rPr>
          <w:rFonts w:hint="eastAsia" w:ascii="仿宋_GB2312" w:hAnsi="仿宋_GB2312" w:cs="仿宋_GB2312"/>
        </w:rPr>
        <w:t>=Σ</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×P</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lang w:val="en-US" w:eastAsia="zh-CN"/>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中长期合约</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中长期合约电能量电费；</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t时段中长期分时净合约电量；</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lang w:val="en-US"/>
        </w:rPr>
        <w:t>为</w:t>
      </w:r>
      <w:r>
        <w:rPr>
          <w:rFonts w:hint="eastAsia" w:ascii="仿宋_GB2312" w:hAnsi="仿宋_GB2312" w:cs="仿宋_GB2312"/>
          <w:lang w:eastAsia="zh-CN"/>
        </w:rPr>
        <w:t>机组/场站</w:t>
      </w:r>
      <w:r>
        <w:rPr>
          <w:rFonts w:hint="eastAsia" w:ascii="仿宋_GB2312" w:hAnsi="仿宋_GB2312" w:cs="仿宋_GB2312"/>
        </w:rPr>
        <w:t>t时段</w:t>
      </w:r>
      <w:r>
        <w:rPr>
          <w:rFonts w:hint="eastAsia" w:ascii="仿宋_GB2312" w:hAnsi="仿宋_GB2312" w:cs="仿宋_GB2312"/>
          <w:lang w:val="en-US"/>
        </w:rPr>
        <w:t>中长期</w:t>
      </w:r>
      <w:r>
        <w:rPr>
          <w:rFonts w:hint="eastAsia" w:ascii="仿宋_GB2312" w:hAnsi="仿宋_GB2312" w:cs="仿宋_GB2312"/>
          <w:lang w:val="en-US" w:eastAsia="zh-CN"/>
        </w:rPr>
        <w:t>分时</w:t>
      </w:r>
      <w:r>
        <w:rPr>
          <w:rFonts w:hint="eastAsia" w:ascii="仿宋_GB2312" w:hAnsi="仿宋_GB2312" w:cs="仿宋_GB2312"/>
        </w:rPr>
        <w:t>净合约价格。</w:t>
      </w:r>
    </w:p>
    <w:p>
      <w:pPr>
        <w:pStyle w:val="106"/>
        <w:spacing w:before="156" w:after="156"/>
        <w:ind w:firstLine="643"/>
      </w:pPr>
      <w:bookmarkStart w:id="350" w:name="_Toc5200"/>
      <w:bookmarkStart w:id="351" w:name="_Toc14595"/>
      <w:bookmarkStart w:id="352" w:name="_Toc30208"/>
      <w:bookmarkStart w:id="353" w:name="_Toc20102"/>
      <w:bookmarkStart w:id="354" w:name="_Toc2280"/>
      <w:bookmarkStart w:id="355" w:name="_Toc25188"/>
      <w:bookmarkStart w:id="356" w:name="_Toc5419"/>
      <w:bookmarkStart w:id="357" w:name="_Toc19142"/>
      <w:bookmarkStart w:id="358" w:name="_Toc6512"/>
      <w:bookmarkStart w:id="359" w:name="_Toc21940"/>
      <w:bookmarkStart w:id="360" w:name="_Toc25562"/>
      <w:bookmarkStart w:id="361" w:name="_Toc110914526"/>
      <w:bookmarkStart w:id="362" w:name="_Toc26124"/>
      <w:r>
        <w:rPr>
          <w:rFonts w:hint="eastAsia"/>
          <w:lang w:eastAsia="zh-CN"/>
        </w:rPr>
        <w:t>日前市场</w:t>
      </w:r>
      <w:r>
        <w:rPr>
          <w:rFonts w:hint="eastAsia"/>
        </w:rPr>
        <w:t>偏差结算</w:t>
      </w:r>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9"/>
        <w:spacing w:after="0"/>
        <w:rPr>
          <w:rFonts w:ascii="仿宋_GB2312" w:hAnsi="仿宋_GB2312" w:cs="仿宋_GB2312"/>
        </w:rPr>
      </w:pPr>
      <w:r>
        <w:rPr>
          <w:rFonts w:hint="eastAsia" w:ascii="仿宋_GB2312" w:hAnsi="仿宋_GB2312" w:cs="仿宋_GB2312"/>
          <w:lang w:eastAsia="zh-CN"/>
        </w:rPr>
        <w:t>机组/场站</w:t>
      </w:r>
      <w:r>
        <w:rPr>
          <w:rFonts w:hint="eastAsia" w:ascii="仿宋_GB2312" w:hAnsi="仿宋_GB2312" w:cs="仿宋_GB2312"/>
        </w:rPr>
        <w:t>根据</w:t>
      </w:r>
      <w:r>
        <w:rPr>
          <w:rFonts w:hint="eastAsia" w:ascii="仿宋_GB2312" w:hAnsi="仿宋_GB2312" w:cs="仿宋_GB2312"/>
          <w:lang w:eastAsia="zh-CN"/>
        </w:rPr>
        <w:t>日前市场</w:t>
      </w:r>
      <w:r>
        <w:rPr>
          <w:rFonts w:hint="eastAsia" w:ascii="仿宋_GB2312" w:hAnsi="仿宋_GB2312" w:cs="仿宋_GB2312"/>
        </w:rPr>
        <w:t>出清电量与中长期合约电量之间的差额，以</w:t>
      </w:r>
      <w:r>
        <w:rPr>
          <w:rFonts w:hint="eastAsia" w:ascii="仿宋_GB2312" w:hAnsi="仿宋_GB2312" w:cs="仿宋_GB2312"/>
          <w:lang w:eastAsia="zh-CN"/>
        </w:rPr>
        <w:t>日前市场</w:t>
      </w:r>
      <w:r>
        <w:rPr>
          <w:rFonts w:hint="eastAsia" w:ascii="仿宋_GB2312" w:hAnsi="仿宋_GB2312" w:cs="仿宋_GB2312"/>
        </w:rPr>
        <w:t>节点电价计算偏差电费。</w:t>
      </w:r>
      <w:r>
        <w:rPr>
          <w:rFonts w:hint="eastAsia" w:ascii="仿宋_GB2312" w:hAnsi="仿宋_GB2312" w:cs="仿宋_GB2312"/>
          <w:lang w:val="en-US"/>
        </w:rPr>
        <w:t>计算</w:t>
      </w:r>
      <w:r>
        <w:rPr>
          <w:rFonts w:hint="eastAsia" w:ascii="仿宋_GB2312" w:hAnsi="仿宋_GB2312" w:cs="仿宋_GB2312"/>
        </w:rPr>
        <w:t>公式为：</w:t>
      </w:r>
    </w:p>
    <w:p>
      <w:pPr>
        <w:pStyle w:val="9"/>
        <w:spacing w:after="0"/>
        <w:jc w:val="center"/>
        <w:rPr>
          <w:rFonts w:hint="eastAsia" w:ascii="仿宋_GB2312" w:hAnsi="仿宋_GB2312" w:eastAsia="仿宋_GB2312" w:cs="仿宋_GB2312"/>
          <w:lang w:val="en-US" w:eastAsia="zh-CN"/>
        </w:rPr>
      </w:pPr>
      <w:r>
        <w:rPr>
          <w:rFonts w:hint="eastAsia" w:ascii="仿宋_GB2312" w:hAnsi="仿宋_GB2312" w:cs="仿宋_GB2312"/>
        </w:rPr>
        <w:t>R</w:t>
      </w:r>
      <w:r>
        <w:rPr>
          <w:rFonts w:hint="eastAsia" w:ascii="仿宋_GB2312" w:hAnsi="仿宋_GB2312" w:cs="仿宋_GB2312"/>
          <w:vertAlign w:val="subscript"/>
        </w:rPr>
        <w:t>日前</w:t>
      </w:r>
      <w:r>
        <w:rPr>
          <w:rFonts w:hint="eastAsia" w:ascii="仿宋_GB2312" w:hAnsi="仿宋_GB2312" w:cs="仿宋_GB2312"/>
        </w:rPr>
        <w:t>=Σ</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vertAlign w:val="baseline"/>
          <w:lang w:val="en-US" w:eastAsia="zh-CN"/>
        </w:rPr>
        <w:t>)</w:t>
      </w:r>
      <w:r>
        <w:rPr>
          <w:rFonts w:hint="eastAsia" w:ascii="仿宋_GB2312" w:hAnsi="仿宋_GB2312" w:cs="仿宋_GB2312"/>
        </w:rPr>
        <w:t>×P</w:t>
      </w:r>
      <w:r>
        <w:rPr>
          <w:rFonts w:hint="eastAsia" w:ascii="仿宋_GB2312" w:hAnsi="仿宋_GB2312" w:cs="仿宋_GB2312"/>
          <w:vertAlign w:val="subscript"/>
        </w:rPr>
        <w:t>日前,t</w:t>
      </w:r>
      <w:r>
        <w:rPr>
          <w:rFonts w:hint="eastAsia" w:ascii="仿宋_GB2312" w:hAnsi="仿宋_GB2312" w:cs="仿宋_GB2312"/>
          <w:vertAlign w:val="baseline"/>
          <w:lang w:val="en-US" w:eastAsia="zh-CN"/>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日前</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日前</w:t>
      </w:r>
      <w:r>
        <w:rPr>
          <w:rFonts w:hint="eastAsia" w:ascii="仿宋_GB2312" w:hAnsi="仿宋_GB2312" w:cs="仿宋_GB2312"/>
          <w:lang w:val="en-US"/>
        </w:rPr>
        <w:t>偏差</w:t>
      </w:r>
      <w:r>
        <w:rPr>
          <w:rFonts w:hint="eastAsia" w:ascii="仿宋_GB2312" w:hAnsi="仿宋_GB2312" w:cs="仿宋_GB2312"/>
        </w:rPr>
        <w:t>结算电费；</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rPr>
        <w:t>为</w:t>
      </w:r>
      <w:r>
        <w:rPr>
          <w:rFonts w:hint="eastAsia" w:ascii="仿宋_GB2312" w:hAnsi="仿宋_GB2312" w:cs="仿宋_GB2312"/>
          <w:lang w:eastAsia="zh-CN"/>
        </w:rPr>
        <w:t>机组/场站日前市场</w:t>
      </w:r>
      <w:r>
        <w:rPr>
          <w:rFonts w:hint="eastAsia" w:ascii="仿宋_GB2312" w:hAnsi="仿宋_GB2312" w:cs="仿宋_GB2312"/>
        </w:rPr>
        <w:t>t时段出清电量；</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t时段中长期分时净合约电量；</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rPr>
        <w:t>日前,t</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t时段的</w:t>
      </w:r>
      <w:r>
        <w:rPr>
          <w:rFonts w:hint="eastAsia" w:ascii="仿宋_GB2312" w:hAnsi="仿宋_GB2312" w:cs="仿宋_GB2312"/>
          <w:lang w:eastAsia="zh-CN"/>
        </w:rPr>
        <w:t>日前市场</w:t>
      </w:r>
      <w:r>
        <w:rPr>
          <w:rFonts w:hint="eastAsia" w:ascii="仿宋_GB2312" w:hAnsi="仿宋_GB2312" w:cs="仿宋_GB2312"/>
        </w:rPr>
        <w:t>节点电价。</w:t>
      </w:r>
    </w:p>
    <w:p>
      <w:pPr>
        <w:pStyle w:val="106"/>
        <w:spacing w:before="156" w:after="156"/>
        <w:ind w:firstLine="643"/>
      </w:pPr>
      <w:bookmarkStart w:id="363" w:name="_Toc5646"/>
      <w:bookmarkStart w:id="364" w:name="_Toc17785"/>
      <w:bookmarkStart w:id="365" w:name="_Toc3368"/>
      <w:bookmarkStart w:id="366" w:name="_Toc24869"/>
      <w:bookmarkStart w:id="367" w:name="_Toc12882"/>
      <w:bookmarkStart w:id="368" w:name="_Toc711"/>
      <w:bookmarkStart w:id="369" w:name="_Toc21356"/>
      <w:bookmarkStart w:id="370" w:name="_Toc7547"/>
      <w:bookmarkStart w:id="371" w:name="_Toc8878"/>
      <w:bookmarkStart w:id="372" w:name="_Toc28661"/>
      <w:bookmarkStart w:id="373" w:name="_Toc8232"/>
      <w:bookmarkStart w:id="374" w:name="_Toc110914527"/>
      <w:bookmarkStart w:id="375" w:name="_Toc17844"/>
      <w:r>
        <w:rPr>
          <w:rFonts w:hint="eastAsia"/>
          <w:lang w:eastAsia="zh-CN"/>
        </w:rPr>
        <w:t>实时市场</w:t>
      </w:r>
      <w:r>
        <w:rPr>
          <w:rFonts w:hint="eastAsia"/>
        </w:rPr>
        <w:t>偏差结算</w:t>
      </w:r>
      <w:bookmarkEnd w:id="363"/>
      <w:bookmarkEnd w:id="364"/>
      <w:bookmarkEnd w:id="365"/>
      <w:bookmarkEnd w:id="366"/>
      <w:bookmarkEnd w:id="367"/>
      <w:bookmarkEnd w:id="368"/>
      <w:bookmarkEnd w:id="369"/>
      <w:bookmarkEnd w:id="370"/>
      <w:bookmarkEnd w:id="371"/>
      <w:bookmarkEnd w:id="372"/>
      <w:bookmarkEnd w:id="373"/>
      <w:bookmarkEnd w:id="374"/>
      <w:bookmarkEnd w:id="375"/>
    </w:p>
    <w:p>
      <w:pPr>
        <w:pStyle w:val="9"/>
        <w:spacing w:after="0"/>
        <w:rPr>
          <w:rFonts w:ascii="仿宋_GB2312" w:hAnsi="仿宋_GB2312" w:cs="仿宋_GB2312"/>
        </w:rPr>
      </w:pPr>
      <w:r>
        <w:rPr>
          <w:rFonts w:hint="eastAsia" w:ascii="仿宋_GB2312" w:hAnsi="仿宋_GB2312" w:cs="仿宋_GB2312"/>
          <w:lang w:eastAsia="zh-CN"/>
        </w:rPr>
        <w:t>机组/场站</w:t>
      </w:r>
      <w:r>
        <w:rPr>
          <w:rFonts w:hint="eastAsia" w:ascii="仿宋_GB2312" w:hAnsi="仿宋_GB2312" w:cs="仿宋_GB2312"/>
          <w:lang w:val="en-US"/>
        </w:rPr>
        <w:t>根据</w:t>
      </w:r>
      <w:r>
        <w:rPr>
          <w:rFonts w:hint="eastAsia" w:ascii="仿宋_GB2312" w:hAnsi="仿宋_GB2312" w:cs="仿宋_GB2312"/>
        </w:rPr>
        <w:t>实际分时上网电量与</w:t>
      </w:r>
      <w:r>
        <w:rPr>
          <w:rFonts w:hint="eastAsia" w:ascii="仿宋_GB2312" w:hAnsi="仿宋_GB2312" w:cs="仿宋_GB2312"/>
          <w:lang w:eastAsia="zh-CN"/>
        </w:rPr>
        <w:t>日前市场</w:t>
      </w:r>
      <w:r>
        <w:rPr>
          <w:rFonts w:hint="eastAsia" w:ascii="仿宋_GB2312" w:hAnsi="仿宋_GB2312" w:cs="仿宋_GB2312"/>
        </w:rPr>
        <w:t>出清的分时电量之间的差额，以及</w:t>
      </w:r>
      <w:r>
        <w:rPr>
          <w:rFonts w:hint="eastAsia" w:ascii="仿宋_GB2312" w:hAnsi="仿宋_GB2312" w:cs="仿宋_GB2312"/>
          <w:lang w:eastAsia="zh-CN"/>
        </w:rPr>
        <w:t>实时市场</w:t>
      </w:r>
      <w:r>
        <w:rPr>
          <w:rFonts w:hint="eastAsia" w:ascii="仿宋_GB2312" w:hAnsi="仿宋_GB2312" w:cs="仿宋_GB2312"/>
        </w:rPr>
        <w:t>节点电价计算偏差电费。</w:t>
      </w:r>
      <w:r>
        <w:rPr>
          <w:rFonts w:hint="eastAsia" w:ascii="仿宋_GB2312" w:hAnsi="仿宋_GB2312" w:cs="仿宋_GB2312"/>
          <w:lang w:val="en-US"/>
        </w:rPr>
        <w:t>计算</w:t>
      </w:r>
      <w:r>
        <w:rPr>
          <w:rFonts w:hint="eastAsia" w:ascii="仿宋_GB2312" w:hAnsi="仿宋_GB2312" w:cs="仿宋_GB2312"/>
        </w:rPr>
        <w:t>公式为：</w:t>
      </w:r>
    </w:p>
    <w:p>
      <w:pPr>
        <w:pStyle w:val="9"/>
        <w:spacing w:after="0"/>
        <w:jc w:val="center"/>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实时</w:t>
      </w:r>
      <w:r>
        <w:rPr>
          <w:rFonts w:hint="eastAsia" w:ascii="仿宋_GB2312" w:hAnsi="仿宋_GB2312" w:cs="仿宋_GB2312"/>
        </w:rPr>
        <w:t>=Σ</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上网,t</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lang w:val="en-US" w:eastAsia="zh-CN"/>
        </w:rPr>
        <w:t>)</w:t>
      </w:r>
      <w:r>
        <w:rPr>
          <w:rFonts w:hint="eastAsia" w:ascii="仿宋_GB2312" w:hAnsi="仿宋_GB2312" w:cs="仿宋_GB2312"/>
        </w:rPr>
        <w:t>×P</w:t>
      </w:r>
      <w:r>
        <w:rPr>
          <w:rFonts w:hint="eastAsia" w:ascii="仿宋_GB2312" w:hAnsi="仿宋_GB2312" w:cs="仿宋_GB2312"/>
          <w:vertAlign w:val="subscript"/>
        </w:rPr>
        <w:t>实时,t</w:t>
      </w:r>
      <w:r>
        <w:rPr>
          <w:rFonts w:hint="eastAsia" w:ascii="仿宋_GB2312" w:hAnsi="仿宋_GB2312" w:cs="仿宋_GB2312"/>
          <w:lang w:val="en-US" w:eastAsia="zh-CN"/>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实时</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实时偏差结算电费；</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上网,t</w:t>
      </w:r>
      <w:r>
        <w:rPr>
          <w:rFonts w:hint="eastAsia" w:ascii="仿宋_GB2312" w:hAnsi="仿宋_GB2312" w:cs="仿宋_GB2312"/>
        </w:rPr>
        <w:t>为</w:t>
      </w:r>
      <w:r>
        <w:rPr>
          <w:rFonts w:hint="eastAsia" w:ascii="仿宋_GB2312" w:hAnsi="仿宋_GB2312" w:cs="仿宋_GB2312"/>
          <w:lang w:eastAsia="zh-CN"/>
        </w:rPr>
        <w:t>机组/场站</w:t>
      </w:r>
      <w:r>
        <w:rPr>
          <w:rFonts w:hint="eastAsia" w:ascii="仿宋_GB2312" w:hAnsi="仿宋_GB2312" w:cs="仿宋_GB2312"/>
        </w:rPr>
        <w:t>t时段上网电量；</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rPr>
        <w:t>为</w:t>
      </w:r>
      <w:r>
        <w:rPr>
          <w:rFonts w:hint="eastAsia" w:ascii="仿宋_GB2312" w:hAnsi="仿宋_GB2312" w:cs="仿宋_GB2312"/>
          <w:lang w:eastAsia="zh-CN"/>
        </w:rPr>
        <w:t>机组/场站日前市场</w:t>
      </w:r>
      <w:r>
        <w:rPr>
          <w:rFonts w:hint="eastAsia" w:ascii="仿宋_GB2312" w:hAnsi="仿宋_GB2312" w:cs="仿宋_GB2312"/>
        </w:rPr>
        <w:t>t时段出清电量；</w:t>
      </w:r>
    </w:p>
    <w:p>
      <w:pPr>
        <w:pStyle w:val="29"/>
        <w:rPr>
          <w:rFonts w:ascii="仿宋_GB2312" w:hAnsi="仿宋_GB2312" w:eastAsia="仿宋_GB2312" w:cs="仿宋_GB2312"/>
        </w:rPr>
      </w:pPr>
      <w:r>
        <w:rPr>
          <w:rFonts w:hint="eastAsia" w:ascii="仿宋_GB2312" w:hAnsi="仿宋_GB2312" w:eastAsia="仿宋_GB2312" w:cs="仿宋_GB2312"/>
        </w:rPr>
        <w:t>P</w:t>
      </w:r>
      <w:r>
        <w:rPr>
          <w:rFonts w:hint="eastAsia" w:ascii="仿宋_GB2312" w:hAnsi="仿宋_GB2312" w:eastAsia="仿宋_GB2312" w:cs="仿宋_GB2312"/>
          <w:vertAlign w:val="subscript"/>
        </w:rPr>
        <w:t>实时,t</w:t>
      </w:r>
      <w:r>
        <w:rPr>
          <w:rFonts w:hint="eastAsia" w:ascii="仿宋_GB2312" w:hAnsi="仿宋_GB2312" w:eastAsia="仿宋_GB2312" w:cs="仿宋_GB2312"/>
        </w:rPr>
        <w:t>为</w:t>
      </w:r>
      <w:r>
        <w:rPr>
          <w:rFonts w:hint="eastAsia" w:ascii="仿宋_GB2312" w:hAnsi="仿宋_GB2312" w:eastAsia="仿宋_GB2312" w:cs="仿宋_GB2312"/>
          <w:lang w:eastAsia="zh-CN"/>
        </w:rPr>
        <w:t>机组/场站</w:t>
      </w:r>
      <w:r>
        <w:rPr>
          <w:rFonts w:hint="eastAsia" w:ascii="仿宋_GB2312" w:hAnsi="仿宋_GB2312" w:eastAsia="仿宋_GB2312" w:cs="仿宋_GB2312"/>
        </w:rPr>
        <w:t>t时段的实时</w:t>
      </w:r>
      <w:r>
        <w:rPr>
          <w:rFonts w:hint="eastAsia" w:ascii="仿宋_GB2312" w:hAnsi="仿宋_GB2312" w:eastAsia="仿宋_GB2312" w:cs="仿宋_GB2312"/>
          <w:lang w:val="en-US" w:eastAsia="zh-CN"/>
        </w:rPr>
        <w:t>市场</w:t>
      </w:r>
      <w:r>
        <w:rPr>
          <w:rFonts w:hint="eastAsia" w:ascii="仿宋_GB2312" w:hAnsi="仿宋_GB2312" w:eastAsia="仿宋_GB2312" w:cs="仿宋_GB2312"/>
        </w:rPr>
        <w:t>节点电价。</w:t>
      </w:r>
    </w:p>
    <w:p>
      <w:pPr>
        <w:pStyle w:val="105"/>
        <w:spacing w:before="156" w:after="156"/>
        <w:ind w:firstLine="643"/>
      </w:pPr>
      <w:bookmarkStart w:id="376" w:name="_Toc80957043"/>
      <w:bookmarkEnd w:id="376"/>
      <w:bookmarkStart w:id="377" w:name="_Toc80957347"/>
      <w:bookmarkEnd w:id="377"/>
      <w:bookmarkStart w:id="378" w:name="_Toc80957522"/>
      <w:bookmarkEnd w:id="378"/>
      <w:bookmarkStart w:id="379" w:name="_Toc80957355"/>
      <w:bookmarkEnd w:id="379"/>
      <w:bookmarkStart w:id="380" w:name="_Toc80957351"/>
      <w:bookmarkEnd w:id="380"/>
      <w:bookmarkStart w:id="381" w:name="_Toc80957042"/>
      <w:bookmarkEnd w:id="381"/>
      <w:bookmarkStart w:id="382" w:name="_Toc80957046"/>
      <w:bookmarkEnd w:id="382"/>
      <w:bookmarkStart w:id="383" w:name="_Toc80957359"/>
      <w:bookmarkEnd w:id="383"/>
      <w:bookmarkStart w:id="384" w:name="_Toc80957517"/>
      <w:bookmarkEnd w:id="384"/>
      <w:bookmarkStart w:id="385" w:name="_Toc80991818"/>
      <w:bookmarkEnd w:id="385"/>
      <w:bookmarkStart w:id="386" w:name="_Toc80957342"/>
      <w:bookmarkEnd w:id="386"/>
      <w:bookmarkStart w:id="387" w:name="_Toc80957055"/>
      <w:bookmarkEnd w:id="387"/>
      <w:bookmarkStart w:id="388" w:name="_Toc80957045"/>
      <w:bookmarkEnd w:id="388"/>
      <w:bookmarkStart w:id="389" w:name="_Toc80957507"/>
      <w:bookmarkEnd w:id="389"/>
      <w:bookmarkStart w:id="390" w:name="_Toc80957514"/>
      <w:bookmarkEnd w:id="390"/>
      <w:bookmarkStart w:id="391" w:name="_Toc80957513"/>
      <w:bookmarkEnd w:id="391"/>
      <w:bookmarkStart w:id="392" w:name="_Toc80957053"/>
      <w:bookmarkEnd w:id="392"/>
      <w:bookmarkStart w:id="393" w:name="_Toc80991817"/>
      <w:bookmarkEnd w:id="393"/>
      <w:bookmarkStart w:id="394" w:name="_Toc80957338"/>
      <w:bookmarkEnd w:id="394"/>
      <w:bookmarkStart w:id="395" w:name="_Toc80957357"/>
      <w:bookmarkEnd w:id="395"/>
      <w:bookmarkStart w:id="396" w:name="_Toc80991824"/>
      <w:bookmarkEnd w:id="396"/>
      <w:bookmarkStart w:id="397" w:name="_Toc80957047"/>
      <w:bookmarkEnd w:id="397"/>
      <w:bookmarkStart w:id="398" w:name="_Toc80991826"/>
      <w:bookmarkEnd w:id="398"/>
      <w:bookmarkStart w:id="399" w:name="_Toc80991829"/>
      <w:bookmarkEnd w:id="399"/>
      <w:bookmarkStart w:id="400" w:name="_Toc80957502"/>
      <w:bookmarkEnd w:id="400"/>
      <w:bookmarkStart w:id="401" w:name="_Toc80957515"/>
      <w:bookmarkEnd w:id="401"/>
      <w:bookmarkStart w:id="402" w:name="_Toc80957503"/>
      <w:bookmarkEnd w:id="402"/>
      <w:bookmarkStart w:id="403" w:name="_Toc80957511"/>
      <w:bookmarkEnd w:id="403"/>
      <w:bookmarkStart w:id="404" w:name="_Toc80957048"/>
      <w:bookmarkEnd w:id="404"/>
      <w:bookmarkStart w:id="405" w:name="_Toc80991832"/>
      <w:bookmarkEnd w:id="405"/>
      <w:bookmarkStart w:id="406" w:name="_Toc80991828"/>
      <w:bookmarkEnd w:id="406"/>
      <w:bookmarkStart w:id="407" w:name="_Toc80991835"/>
      <w:bookmarkEnd w:id="407"/>
      <w:bookmarkStart w:id="408" w:name="_Toc80957521"/>
      <w:bookmarkEnd w:id="408"/>
      <w:bookmarkStart w:id="409" w:name="_Toc80991833"/>
      <w:bookmarkEnd w:id="409"/>
      <w:bookmarkStart w:id="410" w:name="_Toc80957510"/>
      <w:bookmarkEnd w:id="410"/>
      <w:bookmarkStart w:id="411" w:name="_Toc80957501"/>
      <w:bookmarkEnd w:id="411"/>
      <w:bookmarkStart w:id="412" w:name="_Toc80991836"/>
      <w:bookmarkEnd w:id="412"/>
      <w:bookmarkStart w:id="413" w:name="_Toc80991823"/>
      <w:bookmarkEnd w:id="413"/>
      <w:bookmarkStart w:id="414" w:name="_Toc80991839"/>
      <w:bookmarkEnd w:id="414"/>
      <w:bookmarkStart w:id="415" w:name="_Toc80957358"/>
      <w:bookmarkEnd w:id="415"/>
      <w:bookmarkStart w:id="416" w:name="_Toc80957341"/>
      <w:bookmarkEnd w:id="416"/>
      <w:bookmarkStart w:id="417" w:name="_Toc80957039"/>
      <w:bookmarkEnd w:id="417"/>
      <w:bookmarkStart w:id="418" w:name="_Toc80991825"/>
      <w:bookmarkEnd w:id="418"/>
      <w:bookmarkStart w:id="419" w:name="_Toc80957346"/>
      <w:bookmarkEnd w:id="419"/>
      <w:bookmarkStart w:id="420" w:name="_Toc80957052"/>
      <w:bookmarkEnd w:id="420"/>
      <w:bookmarkStart w:id="421" w:name="_Toc80957516"/>
      <w:bookmarkEnd w:id="421"/>
      <w:bookmarkStart w:id="422" w:name="_Toc80957050"/>
      <w:bookmarkEnd w:id="422"/>
      <w:bookmarkStart w:id="423" w:name="_Toc80991831"/>
      <w:bookmarkEnd w:id="423"/>
      <w:bookmarkStart w:id="424" w:name="_Toc80991837"/>
      <w:bookmarkEnd w:id="424"/>
      <w:bookmarkStart w:id="425" w:name="_Toc80991827"/>
      <w:bookmarkEnd w:id="425"/>
      <w:bookmarkStart w:id="426" w:name="_Toc80957340"/>
      <w:bookmarkEnd w:id="426"/>
      <w:bookmarkStart w:id="427" w:name="_Toc80957350"/>
      <w:bookmarkEnd w:id="427"/>
      <w:bookmarkStart w:id="428" w:name="_Toc80957041"/>
      <w:bookmarkEnd w:id="428"/>
      <w:bookmarkStart w:id="429" w:name="_Toc80957044"/>
      <w:bookmarkEnd w:id="429"/>
      <w:bookmarkStart w:id="430" w:name="_Toc80957348"/>
      <w:bookmarkEnd w:id="430"/>
      <w:bookmarkStart w:id="431" w:name="_Toc80991821"/>
      <w:bookmarkEnd w:id="431"/>
      <w:bookmarkStart w:id="432" w:name="_Toc80957038"/>
      <w:bookmarkEnd w:id="432"/>
      <w:bookmarkStart w:id="433" w:name="_Toc80957037"/>
      <w:bookmarkEnd w:id="433"/>
      <w:bookmarkStart w:id="434" w:name="_Toc80957054"/>
      <w:bookmarkEnd w:id="434"/>
      <w:bookmarkStart w:id="435" w:name="_Toc80957056"/>
      <w:bookmarkEnd w:id="435"/>
      <w:bookmarkStart w:id="436" w:name="_Toc80957345"/>
      <w:bookmarkEnd w:id="436"/>
      <w:bookmarkStart w:id="437" w:name="_Toc80957040"/>
      <w:bookmarkEnd w:id="437"/>
      <w:bookmarkStart w:id="438" w:name="_Toc80957051"/>
      <w:bookmarkEnd w:id="438"/>
      <w:bookmarkStart w:id="439" w:name="_Toc80957506"/>
      <w:bookmarkEnd w:id="439"/>
      <w:bookmarkStart w:id="440" w:name="_Toc80957518"/>
      <w:bookmarkEnd w:id="440"/>
      <w:bookmarkStart w:id="441" w:name="_Toc80957344"/>
      <w:bookmarkEnd w:id="441"/>
      <w:bookmarkStart w:id="442" w:name="_Toc80957057"/>
      <w:bookmarkEnd w:id="442"/>
      <w:bookmarkStart w:id="443" w:name="_Toc80957505"/>
      <w:bookmarkEnd w:id="443"/>
      <w:bookmarkStart w:id="444" w:name="_Toc80957049"/>
      <w:bookmarkEnd w:id="444"/>
      <w:bookmarkStart w:id="445" w:name="_Toc80957520"/>
      <w:bookmarkEnd w:id="445"/>
      <w:bookmarkStart w:id="446" w:name="_Toc80957343"/>
      <w:bookmarkEnd w:id="446"/>
      <w:bookmarkStart w:id="447" w:name="_Toc80991834"/>
      <w:bookmarkEnd w:id="447"/>
      <w:bookmarkStart w:id="448" w:name="_Toc80991822"/>
      <w:bookmarkEnd w:id="448"/>
      <w:bookmarkStart w:id="449" w:name="_Toc80957504"/>
      <w:bookmarkEnd w:id="449"/>
      <w:bookmarkStart w:id="450" w:name="_Toc80991838"/>
      <w:bookmarkEnd w:id="450"/>
      <w:bookmarkStart w:id="451" w:name="_Toc80957354"/>
      <w:bookmarkEnd w:id="451"/>
      <w:bookmarkStart w:id="452" w:name="_Toc80957339"/>
      <w:bookmarkEnd w:id="452"/>
      <w:bookmarkStart w:id="453" w:name="_Toc80957349"/>
      <w:bookmarkEnd w:id="453"/>
      <w:bookmarkStart w:id="454" w:name="_Toc80957058"/>
      <w:bookmarkEnd w:id="454"/>
      <w:bookmarkStart w:id="455" w:name="_Toc80957337"/>
      <w:bookmarkEnd w:id="455"/>
      <w:bookmarkStart w:id="456" w:name="_Toc80991820"/>
      <w:bookmarkEnd w:id="456"/>
      <w:bookmarkStart w:id="457" w:name="_Toc80957509"/>
      <w:bookmarkEnd w:id="457"/>
      <w:bookmarkStart w:id="458" w:name="_Toc80991819"/>
      <w:bookmarkEnd w:id="458"/>
      <w:bookmarkStart w:id="459" w:name="_Toc80957523"/>
      <w:bookmarkEnd w:id="459"/>
      <w:bookmarkStart w:id="460" w:name="_Toc80957356"/>
      <w:bookmarkEnd w:id="460"/>
      <w:bookmarkStart w:id="461" w:name="_Toc80957512"/>
      <w:bookmarkEnd w:id="461"/>
      <w:bookmarkStart w:id="462" w:name="_Toc80957508"/>
      <w:bookmarkEnd w:id="462"/>
      <w:bookmarkStart w:id="463" w:name="_Toc80957352"/>
      <w:bookmarkEnd w:id="463"/>
      <w:bookmarkStart w:id="464" w:name="_Toc80991830"/>
      <w:bookmarkEnd w:id="464"/>
      <w:bookmarkStart w:id="465" w:name="_Toc80957519"/>
      <w:bookmarkEnd w:id="465"/>
      <w:bookmarkStart w:id="466" w:name="_Toc80957353"/>
      <w:bookmarkEnd w:id="466"/>
      <w:bookmarkStart w:id="467" w:name="_Toc80957036"/>
      <w:bookmarkEnd w:id="467"/>
      <w:bookmarkStart w:id="468" w:name="_Toc3849"/>
      <w:bookmarkStart w:id="469" w:name="_Toc25157"/>
      <w:bookmarkStart w:id="470" w:name="_Toc21310"/>
      <w:bookmarkStart w:id="471" w:name="_Toc1990"/>
      <w:bookmarkStart w:id="472" w:name="_Toc4410"/>
      <w:bookmarkStart w:id="473" w:name="_Toc91163999"/>
      <w:bookmarkStart w:id="474" w:name="_Toc24671"/>
      <w:bookmarkStart w:id="475" w:name="_Toc1535"/>
      <w:bookmarkStart w:id="476" w:name="_Toc8813"/>
      <w:bookmarkStart w:id="477" w:name="_Toc16995"/>
      <w:bookmarkStart w:id="478" w:name="_Toc17911"/>
      <w:bookmarkStart w:id="479" w:name="_Toc27087"/>
      <w:bookmarkStart w:id="480" w:name="_Toc12196"/>
      <w:bookmarkStart w:id="481" w:name="_Toc26302"/>
      <w:bookmarkStart w:id="482" w:name="_Toc4901"/>
      <w:bookmarkStart w:id="483" w:name="_Toc21214"/>
      <w:bookmarkStart w:id="484" w:name="_Toc4619"/>
      <w:bookmarkStart w:id="485" w:name="_Toc10456"/>
      <w:bookmarkStart w:id="486" w:name="_Toc30859"/>
      <w:bookmarkStart w:id="487" w:name="_Toc16174"/>
      <w:r>
        <w:rPr>
          <w:rFonts w:hint="eastAsia"/>
        </w:rPr>
        <w:t>用户侧结算</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pStyle w:val="9"/>
        <w:spacing w:after="0"/>
        <w:rPr>
          <w:rFonts w:ascii="仿宋_GB2312" w:hAnsi="仿宋_GB2312" w:cs="仿宋_GB2312"/>
          <w:highlight w:val="none"/>
        </w:rPr>
      </w:pPr>
      <w:r>
        <w:rPr>
          <w:rFonts w:hint="eastAsia" w:ascii="仿宋_GB2312" w:hAnsi="仿宋_GB2312" w:cs="仿宋_GB2312"/>
          <w:highlight w:val="none"/>
          <w:lang w:val="en-US"/>
        </w:rPr>
        <w:t>批发市场用户</w:t>
      </w:r>
      <w:r>
        <w:rPr>
          <w:rFonts w:hint="eastAsia" w:ascii="仿宋_GB2312" w:hAnsi="仿宋_GB2312" w:cs="仿宋_GB2312"/>
          <w:highlight w:val="none"/>
          <w:lang w:val="en-US" w:eastAsia="zh-CN"/>
        </w:rPr>
        <w:t>、售电公司</w:t>
      </w:r>
      <w:r>
        <w:rPr>
          <w:rFonts w:hint="eastAsia" w:ascii="仿宋_GB2312" w:hAnsi="仿宋_GB2312" w:cs="仿宋_GB2312"/>
          <w:highlight w:val="none"/>
        </w:rPr>
        <w:t>电能量电费支出包含中长期合约电能量电费、</w:t>
      </w:r>
      <w:r>
        <w:rPr>
          <w:rFonts w:hint="eastAsia" w:ascii="仿宋_GB2312" w:hAnsi="仿宋_GB2312" w:cs="仿宋_GB2312"/>
          <w:highlight w:val="none"/>
          <w:lang w:eastAsia="zh-CN"/>
        </w:rPr>
        <w:t>日前市场</w:t>
      </w:r>
      <w:r>
        <w:rPr>
          <w:rFonts w:hint="eastAsia" w:ascii="仿宋_GB2312" w:hAnsi="仿宋_GB2312" w:cs="仿宋_GB2312"/>
          <w:highlight w:val="none"/>
        </w:rPr>
        <w:t>偏差电能量电费、</w:t>
      </w:r>
      <w:r>
        <w:rPr>
          <w:rFonts w:hint="eastAsia" w:ascii="仿宋_GB2312" w:hAnsi="仿宋_GB2312" w:cs="仿宋_GB2312"/>
          <w:highlight w:val="none"/>
          <w:lang w:eastAsia="zh-CN"/>
        </w:rPr>
        <w:t>实时市场</w:t>
      </w:r>
      <w:r>
        <w:rPr>
          <w:rFonts w:hint="eastAsia" w:ascii="仿宋_GB2312" w:hAnsi="仿宋_GB2312" w:cs="仿宋_GB2312"/>
          <w:highlight w:val="none"/>
        </w:rPr>
        <w:t>偏差电能量电费、</w:t>
      </w:r>
      <w:r>
        <w:rPr>
          <w:rFonts w:hint="eastAsia" w:ascii="仿宋_GB2312" w:hAnsi="仿宋_GB2312" w:cs="仿宋_GB2312"/>
          <w:highlight w:val="none"/>
          <w:lang w:val="en-US"/>
        </w:rPr>
        <w:t>分摊或</w:t>
      </w:r>
      <w:r>
        <w:rPr>
          <w:rFonts w:hint="eastAsia" w:ascii="仿宋_GB2312" w:hAnsi="仿宋_GB2312" w:cs="仿宋_GB2312"/>
          <w:highlight w:val="none"/>
        </w:rPr>
        <w:t>返还</w:t>
      </w:r>
      <w:r>
        <w:rPr>
          <w:rFonts w:hint="eastAsia" w:ascii="仿宋_GB2312" w:hAnsi="仿宋_GB2312" w:cs="仿宋_GB2312"/>
          <w:highlight w:val="none"/>
          <w:lang w:val="en-US"/>
        </w:rPr>
        <w:t>及考核</w:t>
      </w:r>
      <w:r>
        <w:rPr>
          <w:rFonts w:hint="eastAsia" w:ascii="仿宋_GB2312" w:hAnsi="仿宋_GB2312" w:cs="仿宋_GB2312"/>
          <w:highlight w:val="none"/>
        </w:rPr>
        <w:t>费用等。计算公式</w:t>
      </w:r>
      <w:r>
        <w:rPr>
          <w:rFonts w:hint="eastAsia" w:ascii="仿宋_GB2312" w:hAnsi="仿宋_GB2312" w:cs="仿宋_GB2312"/>
          <w:highlight w:val="none"/>
          <w:lang w:val="en-US" w:eastAsia="zh-CN"/>
        </w:rPr>
        <w:t>如下</w:t>
      </w:r>
      <w:r>
        <w:rPr>
          <w:rFonts w:hint="eastAsia" w:ascii="仿宋_GB2312" w:hAnsi="仿宋_GB2312" w:cs="仿宋_GB2312"/>
          <w:highlight w:val="none"/>
        </w:rPr>
        <w:t>：</w:t>
      </w:r>
    </w:p>
    <w:p>
      <w:pPr>
        <w:pStyle w:val="9"/>
        <w:spacing w:after="0"/>
        <w:jc w:val="center"/>
        <w:rPr>
          <w:rFonts w:ascii="仿宋_GB2312" w:hAnsi="仿宋_GB2312" w:cs="仿宋_GB2312"/>
          <w:lang w:val="en-US"/>
        </w:rPr>
      </w:pPr>
      <w:r>
        <w:rPr>
          <w:rFonts w:hint="eastAsia" w:ascii="仿宋_GB2312" w:hAnsi="仿宋_GB2312" w:cs="仿宋_GB2312"/>
        </w:rPr>
        <w:t>C=C</w:t>
      </w:r>
      <w:r>
        <w:rPr>
          <w:rFonts w:hint="eastAsia" w:ascii="仿宋_GB2312" w:hAnsi="仿宋_GB2312" w:cs="仿宋_GB2312"/>
          <w:vertAlign w:val="subscript"/>
        </w:rPr>
        <w:t>中长期合约</w:t>
      </w:r>
      <w:r>
        <w:rPr>
          <w:rFonts w:hint="eastAsia" w:ascii="仿宋_GB2312" w:hAnsi="仿宋_GB2312" w:cs="仿宋_GB2312"/>
        </w:rPr>
        <w:t>+C</w:t>
      </w:r>
      <w:r>
        <w:rPr>
          <w:rFonts w:hint="eastAsia" w:ascii="仿宋_GB2312" w:hAnsi="仿宋_GB2312" w:cs="仿宋_GB2312"/>
          <w:vertAlign w:val="subscript"/>
        </w:rPr>
        <w:t>日前</w:t>
      </w:r>
      <w:r>
        <w:rPr>
          <w:rFonts w:hint="eastAsia" w:ascii="仿宋_GB2312" w:hAnsi="仿宋_GB2312" w:cs="仿宋_GB2312"/>
        </w:rPr>
        <w:t>+C</w:t>
      </w:r>
      <w:r>
        <w:rPr>
          <w:rFonts w:hint="eastAsia" w:ascii="仿宋_GB2312" w:hAnsi="仿宋_GB2312" w:cs="仿宋_GB2312"/>
          <w:vertAlign w:val="subscript"/>
        </w:rPr>
        <w:t>实时</w:t>
      </w:r>
      <w:r>
        <w:rPr>
          <w:rFonts w:hint="eastAsia" w:ascii="仿宋_GB2312" w:hAnsi="仿宋_GB2312" w:cs="仿宋_GB2312"/>
        </w:rPr>
        <w:t>+C</w:t>
      </w:r>
      <w:r>
        <w:rPr>
          <w:rFonts w:hint="eastAsia" w:ascii="仿宋_GB2312" w:hAnsi="仿宋_GB2312" w:cs="仿宋_GB2312"/>
          <w:vertAlign w:val="subscript"/>
          <w:lang w:val="en-US"/>
        </w:rPr>
        <w:t>分摊或返还及考核</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中长期合约</w:t>
      </w:r>
      <w:r>
        <w:rPr>
          <w:rFonts w:hint="eastAsia" w:ascii="仿宋_GB2312" w:hAnsi="仿宋_GB2312" w:cs="仿宋_GB2312"/>
        </w:rPr>
        <w:t>为用户中长期合约电能量电费；</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日前</w:t>
      </w:r>
      <w:r>
        <w:rPr>
          <w:rFonts w:hint="eastAsia" w:ascii="仿宋_GB2312" w:hAnsi="仿宋_GB2312" w:cs="仿宋_GB2312"/>
        </w:rPr>
        <w:t>为用户</w:t>
      </w:r>
      <w:r>
        <w:rPr>
          <w:rFonts w:hint="eastAsia" w:ascii="仿宋_GB2312" w:hAnsi="仿宋_GB2312" w:cs="仿宋_GB2312"/>
          <w:lang w:eastAsia="zh-CN"/>
        </w:rPr>
        <w:t>日前市场</w:t>
      </w:r>
      <w:r>
        <w:rPr>
          <w:rFonts w:hint="eastAsia" w:ascii="仿宋_GB2312" w:hAnsi="仿宋_GB2312" w:cs="仿宋_GB2312"/>
        </w:rPr>
        <w:t>偏差电能量电费；</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实时</w:t>
      </w:r>
      <w:r>
        <w:rPr>
          <w:rFonts w:hint="eastAsia" w:ascii="仿宋_GB2312" w:hAnsi="仿宋_GB2312" w:cs="仿宋_GB2312"/>
        </w:rPr>
        <w:t>为用户</w:t>
      </w:r>
      <w:r>
        <w:rPr>
          <w:rFonts w:hint="eastAsia" w:ascii="仿宋_GB2312" w:hAnsi="仿宋_GB2312" w:cs="仿宋_GB2312"/>
          <w:lang w:eastAsia="zh-CN"/>
        </w:rPr>
        <w:t>实时市场</w:t>
      </w:r>
      <w:r>
        <w:rPr>
          <w:rFonts w:hint="eastAsia" w:ascii="仿宋_GB2312" w:hAnsi="仿宋_GB2312" w:cs="仿宋_GB2312"/>
        </w:rPr>
        <w:t>偏差电能量电费；</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lang w:val="en-US"/>
        </w:rPr>
        <w:t>分摊</w:t>
      </w:r>
      <w:r>
        <w:rPr>
          <w:rFonts w:hint="eastAsia" w:ascii="仿宋_GB2312" w:hAnsi="仿宋_GB2312" w:cs="仿宋_GB2312"/>
          <w:vertAlign w:val="subscript"/>
          <w:lang w:val="en-US" w:eastAsia="zh-CN"/>
        </w:rPr>
        <w:t>或返还</w:t>
      </w:r>
      <w:r>
        <w:rPr>
          <w:rFonts w:hint="eastAsia" w:ascii="仿宋_GB2312" w:hAnsi="仿宋_GB2312" w:cs="仿宋_GB2312"/>
          <w:vertAlign w:val="subscript"/>
          <w:lang w:val="en-US"/>
        </w:rPr>
        <w:t>及考核</w:t>
      </w:r>
      <w:r>
        <w:rPr>
          <w:rFonts w:hint="eastAsia" w:ascii="仿宋_GB2312" w:hAnsi="仿宋_GB2312" w:cs="仿宋_GB2312"/>
        </w:rPr>
        <w:t>为</w:t>
      </w:r>
      <w:r>
        <w:rPr>
          <w:rFonts w:hint="eastAsia" w:ascii="仿宋_GB2312" w:hAnsi="仿宋_GB2312" w:cs="仿宋_GB2312"/>
          <w:lang w:val="en-US"/>
        </w:rPr>
        <w:t>用户在市场运营中需承担的分摊或返还及考核费用</w:t>
      </w:r>
      <w:r>
        <w:rPr>
          <w:rFonts w:hint="eastAsia" w:ascii="仿宋_GB2312" w:hAnsi="仿宋_GB2312" w:cs="仿宋_GB2312"/>
        </w:rPr>
        <w:t>。</w:t>
      </w:r>
    </w:p>
    <w:p>
      <w:pPr>
        <w:pStyle w:val="106"/>
        <w:spacing w:before="156" w:after="156"/>
        <w:ind w:firstLine="643"/>
      </w:pPr>
      <w:bookmarkStart w:id="488" w:name="_Toc21617"/>
      <w:bookmarkStart w:id="489" w:name="_Toc110914529"/>
      <w:bookmarkStart w:id="490" w:name="_Toc4975"/>
      <w:bookmarkStart w:id="491" w:name="_Toc32666"/>
      <w:bookmarkStart w:id="492" w:name="_Toc23"/>
      <w:bookmarkStart w:id="493" w:name="_Toc996"/>
      <w:bookmarkStart w:id="494" w:name="_Toc26514"/>
      <w:bookmarkStart w:id="495" w:name="_Toc31042"/>
      <w:bookmarkStart w:id="496" w:name="_Toc17017"/>
      <w:bookmarkStart w:id="497" w:name="_Toc24507"/>
      <w:bookmarkStart w:id="498" w:name="_Toc17028"/>
      <w:bookmarkStart w:id="499" w:name="_Toc28345"/>
      <w:bookmarkStart w:id="500" w:name="_Toc31640"/>
      <w:bookmarkStart w:id="501" w:name="_Toc22774"/>
      <w:bookmarkStart w:id="502" w:name="_Toc4466"/>
      <w:bookmarkStart w:id="503" w:name="_Toc9493"/>
      <w:r>
        <w:rPr>
          <w:rFonts w:hint="eastAsia"/>
        </w:rPr>
        <w:t>中长期合约结算</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Style w:val="9"/>
        <w:spacing w:after="0"/>
        <w:rPr>
          <w:rFonts w:ascii="仿宋_GB2312" w:hAnsi="仿宋_GB2312" w:cs="仿宋_GB2312"/>
        </w:rPr>
      </w:pPr>
      <w:r>
        <w:rPr>
          <w:rFonts w:hint="eastAsia" w:ascii="仿宋_GB2312" w:hAnsi="仿宋_GB2312" w:cs="仿宋_GB2312"/>
        </w:rPr>
        <w:t>用户侧中长期合约以小时为周期开展全电量结算，按照净合约分时电量、净合约综合</w:t>
      </w:r>
      <w:r>
        <w:rPr>
          <w:rFonts w:hint="eastAsia" w:ascii="仿宋_GB2312" w:hAnsi="仿宋_GB2312" w:cs="仿宋_GB2312"/>
          <w:lang w:val="en-US" w:eastAsia="zh-CN"/>
        </w:rPr>
        <w:t>价格</w:t>
      </w:r>
      <w:r>
        <w:rPr>
          <w:rFonts w:hint="eastAsia" w:ascii="仿宋_GB2312" w:hAnsi="仿宋_GB2312" w:cs="仿宋_GB2312"/>
        </w:rPr>
        <w:t>计算中长期电能量电费。</w:t>
      </w:r>
      <w:r>
        <w:rPr>
          <w:rFonts w:hint="eastAsia" w:ascii="仿宋_GB2312" w:hAnsi="仿宋_GB2312" w:cs="仿宋_GB2312"/>
          <w:lang w:val="en-US" w:eastAsia="zh-CN"/>
        </w:rPr>
        <w:t>计算</w:t>
      </w:r>
      <w:r>
        <w:rPr>
          <w:rFonts w:hint="eastAsia" w:ascii="仿宋_GB2312" w:hAnsi="仿宋_GB2312" w:cs="仿宋_GB2312"/>
        </w:rPr>
        <w:t>公式为：</w:t>
      </w:r>
    </w:p>
    <w:p>
      <w:pPr>
        <w:pStyle w:val="9"/>
        <w:spacing w:after="0"/>
        <w:jc w:val="center"/>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中长期合约</w:t>
      </w:r>
      <w:r>
        <w:rPr>
          <w:rFonts w:hint="eastAsia" w:ascii="仿宋_GB2312" w:hAnsi="仿宋_GB2312" w:cs="仿宋_GB2312"/>
        </w:rPr>
        <w:t>=Σ</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×P</w:t>
      </w:r>
      <w:r>
        <w:rPr>
          <w:rFonts w:hint="eastAsia" w:ascii="仿宋_GB2312" w:hAnsi="仿宋_GB2312" w:cs="仿宋_GB2312"/>
          <w:vertAlign w:val="subscript"/>
        </w:rPr>
        <w:t>中长期净合约,t</w:t>
      </w:r>
      <w:r>
        <w:rPr>
          <w:rFonts w:hint="eastAsia" w:ascii="仿宋_GB2312" w:hAnsi="仿宋_GB2312" w:cs="仿宋_GB2312"/>
          <w:lang w:val="en-US" w:eastAsia="zh-CN"/>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中长期合约</w:t>
      </w:r>
      <w:r>
        <w:rPr>
          <w:rFonts w:hint="eastAsia" w:ascii="仿宋_GB2312" w:hAnsi="仿宋_GB2312" w:cs="仿宋_GB2312"/>
        </w:rPr>
        <w:t>为用户中长期电能量电费；</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为</w:t>
      </w:r>
      <w:r>
        <w:rPr>
          <w:rFonts w:hint="eastAsia" w:ascii="仿宋_GB2312" w:hAnsi="仿宋_GB2312" w:cs="仿宋_GB2312"/>
          <w:lang w:val="en-US"/>
        </w:rPr>
        <w:t>用户</w:t>
      </w:r>
      <w:r>
        <w:rPr>
          <w:rFonts w:hint="eastAsia" w:ascii="仿宋_GB2312" w:hAnsi="仿宋_GB2312" w:cs="仿宋_GB2312"/>
        </w:rPr>
        <w:t>t时段中长期</w:t>
      </w:r>
      <w:r>
        <w:rPr>
          <w:rFonts w:hint="eastAsia" w:ascii="仿宋_GB2312" w:hAnsi="仿宋_GB2312" w:cs="仿宋_GB2312"/>
          <w:lang w:val="en-US" w:eastAsia="zh-CN"/>
        </w:rPr>
        <w:t>分时</w:t>
      </w:r>
      <w:r>
        <w:rPr>
          <w:rFonts w:hint="eastAsia" w:ascii="仿宋_GB2312" w:hAnsi="仿宋_GB2312" w:cs="仿宋_GB2312"/>
        </w:rPr>
        <w:t>净合约电量；</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rPr>
        <w:t>中长期净合约,t</w:t>
      </w:r>
      <w:r>
        <w:rPr>
          <w:rFonts w:hint="eastAsia" w:ascii="仿宋_GB2312" w:hAnsi="仿宋_GB2312" w:cs="仿宋_GB2312"/>
        </w:rPr>
        <w:t>为</w:t>
      </w:r>
      <w:r>
        <w:rPr>
          <w:rFonts w:hint="eastAsia" w:ascii="仿宋_GB2312" w:hAnsi="仿宋_GB2312" w:cs="仿宋_GB2312"/>
          <w:lang w:val="en-US"/>
        </w:rPr>
        <w:t>用户</w:t>
      </w:r>
      <w:r>
        <w:rPr>
          <w:rFonts w:hint="eastAsia" w:ascii="仿宋_GB2312" w:hAnsi="仿宋_GB2312" w:cs="仿宋_GB2312"/>
        </w:rPr>
        <w:t>t时段中长期</w:t>
      </w:r>
      <w:r>
        <w:rPr>
          <w:rFonts w:hint="eastAsia" w:ascii="仿宋_GB2312" w:hAnsi="仿宋_GB2312" w:cs="仿宋_GB2312"/>
          <w:lang w:val="en-US" w:eastAsia="zh-CN"/>
        </w:rPr>
        <w:t>分时</w:t>
      </w:r>
      <w:r>
        <w:rPr>
          <w:rFonts w:hint="eastAsia" w:ascii="仿宋_GB2312" w:hAnsi="仿宋_GB2312" w:cs="仿宋_GB2312"/>
        </w:rPr>
        <w:t>净合约综合价格。</w:t>
      </w:r>
    </w:p>
    <w:p>
      <w:pPr>
        <w:pStyle w:val="106"/>
        <w:spacing w:before="156" w:after="156"/>
        <w:ind w:firstLine="643"/>
      </w:pPr>
      <w:bookmarkStart w:id="504" w:name="_Toc28322"/>
      <w:bookmarkStart w:id="505" w:name="_Toc11417"/>
      <w:bookmarkStart w:id="506" w:name="_Toc9876"/>
      <w:bookmarkStart w:id="507" w:name="_Toc18548"/>
      <w:bookmarkStart w:id="508" w:name="_Toc31859"/>
      <w:bookmarkStart w:id="509" w:name="_Toc13414"/>
      <w:bookmarkStart w:id="510" w:name="_Toc17790"/>
      <w:bookmarkStart w:id="511" w:name="_Toc25959"/>
      <w:bookmarkStart w:id="512" w:name="_Toc15352"/>
      <w:bookmarkStart w:id="513" w:name="_Toc18800"/>
      <w:bookmarkStart w:id="514" w:name="_Toc9189"/>
      <w:bookmarkStart w:id="515" w:name="_Toc110914530"/>
      <w:bookmarkStart w:id="516" w:name="_Toc17586"/>
      <w:bookmarkStart w:id="517" w:name="_Toc12092"/>
      <w:bookmarkStart w:id="518" w:name="_Toc28606"/>
      <w:bookmarkStart w:id="519" w:name="_Toc30594"/>
      <w:r>
        <w:rPr>
          <w:rFonts w:hint="eastAsia"/>
          <w:lang w:eastAsia="zh-CN"/>
        </w:rPr>
        <w:t>日前市场</w:t>
      </w:r>
      <w:r>
        <w:rPr>
          <w:rFonts w:hint="eastAsia"/>
        </w:rPr>
        <w:t>偏差结算</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9"/>
        <w:spacing w:after="0"/>
        <w:rPr>
          <w:rFonts w:ascii="仿宋_GB2312" w:hAnsi="仿宋_GB2312" w:cs="仿宋_GB2312"/>
        </w:rPr>
      </w:pPr>
      <w:r>
        <w:rPr>
          <w:rFonts w:hint="eastAsia" w:ascii="仿宋_GB2312" w:hAnsi="仿宋_GB2312" w:cs="仿宋_GB2312"/>
          <w:lang w:val="en-US"/>
        </w:rPr>
        <w:t>现货</w:t>
      </w:r>
      <w:r>
        <w:rPr>
          <w:rFonts w:hint="eastAsia" w:ascii="仿宋_GB2312" w:hAnsi="仿宋_GB2312" w:cs="仿宋_GB2312"/>
        </w:rPr>
        <w:t>市场</w:t>
      </w:r>
      <w:r>
        <w:rPr>
          <w:rFonts w:hint="eastAsia" w:ascii="仿宋_GB2312" w:hAnsi="仿宋_GB2312" w:cs="仿宋_GB2312"/>
          <w:lang w:val="en-US"/>
        </w:rPr>
        <w:t>运行</w:t>
      </w:r>
      <w:r>
        <w:rPr>
          <w:rFonts w:hint="eastAsia" w:ascii="仿宋_GB2312" w:hAnsi="仿宋_GB2312" w:cs="仿宋_GB2312"/>
        </w:rPr>
        <w:t>初期，</w:t>
      </w:r>
      <w:r>
        <w:rPr>
          <w:rFonts w:hint="eastAsia" w:ascii="仿宋_GB2312" w:hAnsi="仿宋_GB2312" w:cs="仿宋_GB2312"/>
          <w:lang w:eastAsia="zh-CN"/>
        </w:rPr>
        <w:t>日前市场</w:t>
      </w:r>
      <w:r>
        <w:rPr>
          <w:rFonts w:hint="eastAsia" w:ascii="仿宋_GB2312" w:hAnsi="仿宋_GB2312" w:cs="仿宋_GB2312"/>
        </w:rPr>
        <w:t>出清采用发电侧单边报价模式，批发市场用户根据</w:t>
      </w:r>
      <w:r>
        <w:rPr>
          <w:rFonts w:hint="eastAsia" w:ascii="仿宋_GB2312" w:hAnsi="仿宋_GB2312" w:cs="仿宋_GB2312"/>
          <w:lang w:eastAsia="zh-CN"/>
        </w:rPr>
        <w:t>日前市场</w:t>
      </w:r>
      <w:r>
        <w:rPr>
          <w:rFonts w:hint="eastAsia" w:ascii="仿宋_GB2312" w:hAnsi="仿宋_GB2312" w:cs="仿宋_GB2312"/>
        </w:rPr>
        <w:t>申报的分时电量与中长期合约电量之间的差额，以</w:t>
      </w:r>
      <w:r>
        <w:rPr>
          <w:rFonts w:hint="eastAsia" w:ascii="仿宋_GB2312" w:hAnsi="仿宋_GB2312" w:cs="仿宋_GB2312"/>
          <w:lang w:eastAsia="zh-CN"/>
        </w:rPr>
        <w:t>日前市场</w:t>
      </w:r>
      <w:r>
        <w:rPr>
          <w:rFonts w:hint="eastAsia" w:ascii="仿宋_GB2312" w:hAnsi="仿宋_GB2312" w:cs="仿宋_GB2312"/>
        </w:rPr>
        <w:t>统一结算点电价计算偏差电费。</w:t>
      </w:r>
      <w:r>
        <w:rPr>
          <w:rFonts w:hint="eastAsia" w:ascii="仿宋_GB2312" w:hAnsi="仿宋_GB2312" w:cs="仿宋_GB2312"/>
          <w:lang w:val="en-US" w:eastAsia="zh-CN"/>
        </w:rPr>
        <w:t>计算</w:t>
      </w:r>
      <w:r>
        <w:rPr>
          <w:rFonts w:hint="eastAsia" w:ascii="仿宋_GB2312" w:hAnsi="仿宋_GB2312" w:cs="仿宋_GB2312"/>
        </w:rPr>
        <w:t>公式为：</w:t>
      </w:r>
    </w:p>
    <w:p>
      <w:pPr>
        <w:pStyle w:val="9"/>
        <w:spacing w:after="0"/>
        <w:jc w:val="center"/>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日前</w:t>
      </w:r>
      <w:r>
        <w:rPr>
          <w:rFonts w:hint="eastAsia" w:ascii="仿宋_GB2312" w:hAnsi="仿宋_GB2312" w:cs="仿宋_GB2312"/>
        </w:rPr>
        <w:t>=Σ[(Q</w:t>
      </w:r>
      <w:r>
        <w:rPr>
          <w:rFonts w:hint="eastAsia" w:ascii="仿宋_GB2312" w:hAnsi="仿宋_GB2312" w:cs="仿宋_GB2312"/>
          <w:vertAlign w:val="subscript"/>
        </w:rPr>
        <w:t>日前,t</w:t>
      </w: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)×P</w:t>
      </w:r>
      <w:r>
        <w:rPr>
          <w:rFonts w:hint="eastAsia" w:ascii="仿宋_GB2312" w:hAnsi="仿宋_GB2312" w:cs="仿宋_GB2312"/>
          <w:vertAlign w:val="subscript"/>
        </w:rPr>
        <w:t>日前统一,t</w:t>
      </w:r>
      <w:r>
        <w:rPr>
          <w:rFonts w:hint="eastAsia" w:ascii="仿宋_GB2312" w:hAnsi="仿宋_GB2312" w:cs="仿宋_GB2312"/>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日前</w:t>
      </w:r>
      <w:r>
        <w:rPr>
          <w:rFonts w:hint="eastAsia" w:ascii="仿宋_GB2312" w:hAnsi="仿宋_GB2312" w:cs="仿宋_GB2312"/>
        </w:rPr>
        <w:t>为用户</w:t>
      </w:r>
      <w:r>
        <w:rPr>
          <w:rFonts w:hint="eastAsia" w:ascii="仿宋_GB2312" w:hAnsi="仿宋_GB2312" w:cs="仿宋_GB2312"/>
          <w:lang w:eastAsia="zh-CN"/>
        </w:rPr>
        <w:t>日前市场</w:t>
      </w:r>
      <w:r>
        <w:rPr>
          <w:rFonts w:hint="eastAsia" w:ascii="仿宋_GB2312" w:hAnsi="仿宋_GB2312" w:cs="仿宋_GB2312"/>
          <w:lang w:val="en-US"/>
        </w:rPr>
        <w:t>偏差</w:t>
      </w:r>
      <w:r>
        <w:rPr>
          <w:rFonts w:hint="eastAsia" w:ascii="仿宋_GB2312" w:hAnsi="仿宋_GB2312" w:cs="仿宋_GB2312"/>
        </w:rPr>
        <w:t>电费支出；</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rPr>
        <w:t>为用户</w:t>
      </w:r>
      <w:r>
        <w:rPr>
          <w:rFonts w:hint="eastAsia" w:ascii="仿宋_GB2312" w:hAnsi="仿宋_GB2312" w:cs="仿宋_GB2312"/>
          <w:lang w:eastAsia="zh-CN"/>
        </w:rPr>
        <w:t>日前市场</w:t>
      </w:r>
      <w:r>
        <w:rPr>
          <w:rFonts w:hint="eastAsia" w:ascii="仿宋_GB2312" w:hAnsi="仿宋_GB2312" w:cs="仿宋_GB2312"/>
        </w:rPr>
        <w:t>所申报的t时段需求电量；</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中长期净合约,t</w:t>
      </w:r>
      <w:r>
        <w:rPr>
          <w:rFonts w:hint="eastAsia" w:ascii="仿宋_GB2312" w:hAnsi="仿宋_GB2312" w:cs="仿宋_GB2312"/>
        </w:rPr>
        <w:t>为用户t时段中长期</w:t>
      </w:r>
      <w:r>
        <w:rPr>
          <w:rFonts w:hint="eastAsia" w:ascii="仿宋_GB2312" w:hAnsi="仿宋_GB2312" w:cs="仿宋_GB2312"/>
          <w:lang w:val="en-US" w:eastAsia="zh-CN"/>
        </w:rPr>
        <w:t>分时</w:t>
      </w:r>
      <w:r>
        <w:rPr>
          <w:rFonts w:hint="eastAsia" w:ascii="仿宋_GB2312" w:hAnsi="仿宋_GB2312" w:cs="仿宋_GB2312"/>
        </w:rPr>
        <w:t>净合约电量；</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rPr>
        <w:t xml:space="preserve">日前统一,t </w:t>
      </w:r>
      <w:r>
        <w:rPr>
          <w:rFonts w:hint="eastAsia" w:ascii="仿宋_GB2312" w:hAnsi="仿宋_GB2312" w:cs="仿宋_GB2312"/>
        </w:rPr>
        <w:t>为</w:t>
      </w:r>
      <w:r>
        <w:rPr>
          <w:rFonts w:hint="eastAsia" w:ascii="仿宋_GB2312" w:hAnsi="仿宋_GB2312" w:cs="仿宋_GB2312"/>
          <w:lang w:val="en-US"/>
        </w:rPr>
        <w:t>用户</w:t>
      </w:r>
      <w:r>
        <w:rPr>
          <w:rFonts w:hint="eastAsia" w:ascii="仿宋_GB2312" w:hAnsi="仿宋_GB2312" w:cs="仿宋_GB2312"/>
          <w:lang w:eastAsia="zh-CN"/>
        </w:rPr>
        <w:t>日前市场</w:t>
      </w:r>
      <w:r>
        <w:rPr>
          <w:rFonts w:hint="eastAsia" w:ascii="仿宋_GB2312" w:hAnsi="仿宋_GB2312" w:cs="仿宋_GB2312"/>
        </w:rPr>
        <w:t>t时段</w:t>
      </w:r>
      <w:r>
        <w:rPr>
          <w:rFonts w:hint="eastAsia" w:ascii="仿宋_GB2312" w:hAnsi="仿宋_GB2312" w:cs="仿宋_GB2312"/>
          <w:lang w:val="en-US"/>
        </w:rPr>
        <w:t>的</w:t>
      </w:r>
      <w:r>
        <w:rPr>
          <w:rFonts w:hint="eastAsia" w:ascii="仿宋_GB2312" w:hAnsi="仿宋_GB2312" w:cs="仿宋_GB2312"/>
        </w:rPr>
        <w:t>统一结算点电价。</w:t>
      </w:r>
    </w:p>
    <w:p>
      <w:pPr>
        <w:pStyle w:val="106"/>
        <w:spacing w:before="156" w:after="156"/>
        <w:ind w:firstLine="643"/>
      </w:pPr>
      <w:bookmarkStart w:id="520" w:name="_Toc7992"/>
      <w:bookmarkStart w:id="521" w:name="_Toc1639"/>
      <w:bookmarkStart w:id="522" w:name="_Toc10117"/>
      <w:bookmarkStart w:id="523" w:name="_Toc29937"/>
      <w:bookmarkStart w:id="524" w:name="_Toc17231"/>
      <w:bookmarkStart w:id="525" w:name="_Toc9623"/>
      <w:bookmarkStart w:id="526" w:name="_Toc20214"/>
      <w:bookmarkStart w:id="527" w:name="_Toc20512"/>
      <w:bookmarkStart w:id="528" w:name="_Toc110914531"/>
      <w:bookmarkStart w:id="529" w:name="_Toc13893"/>
      <w:bookmarkStart w:id="530" w:name="_Toc22673"/>
      <w:bookmarkStart w:id="531" w:name="_Toc9954"/>
      <w:bookmarkStart w:id="532" w:name="_Toc25144"/>
      <w:bookmarkStart w:id="533" w:name="_Toc3771"/>
      <w:bookmarkStart w:id="534" w:name="_Toc17213"/>
      <w:bookmarkStart w:id="535" w:name="_Toc14984"/>
      <w:r>
        <w:rPr>
          <w:rFonts w:hint="eastAsia"/>
          <w:lang w:eastAsia="zh-CN"/>
        </w:rPr>
        <w:t>实时市场</w:t>
      </w:r>
      <w:r>
        <w:rPr>
          <w:rFonts w:hint="eastAsia"/>
        </w:rPr>
        <w:t>偏差结算</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9"/>
        <w:spacing w:after="0"/>
        <w:ind w:firstLine="640" w:firstLineChars="200"/>
        <w:rPr>
          <w:rFonts w:hint="eastAsia" w:ascii="仿宋_GB2312" w:hAnsi="仿宋_GB2312" w:eastAsia="仿宋_GB2312" w:cs="仿宋_GB2312"/>
          <w:lang w:eastAsia="zh-CN"/>
        </w:rPr>
      </w:pPr>
      <w:r>
        <w:rPr>
          <w:rFonts w:hint="eastAsia" w:ascii="仿宋_GB2312" w:hAnsi="仿宋_GB2312" w:cs="仿宋_GB2312"/>
        </w:rPr>
        <w:t>用户侧根据用户实际分时用电量与</w:t>
      </w:r>
      <w:r>
        <w:rPr>
          <w:rFonts w:hint="eastAsia" w:ascii="仿宋_GB2312" w:hAnsi="仿宋_GB2312" w:cs="仿宋_GB2312"/>
          <w:lang w:eastAsia="zh-CN"/>
        </w:rPr>
        <w:t>日前市场</w:t>
      </w:r>
      <w:r>
        <w:rPr>
          <w:rFonts w:hint="eastAsia" w:ascii="仿宋_GB2312" w:hAnsi="仿宋_GB2312" w:cs="仿宋_GB2312"/>
        </w:rPr>
        <w:t>申报的分时电量之间的差额，以及</w:t>
      </w:r>
      <w:r>
        <w:rPr>
          <w:rFonts w:hint="eastAsia" w:ascii="仿宋_GB2312" w:hAnsi="仿宋_GB2312" w:cs="仿宋_GB2312"/>
          <w:lang w:eastAsia="zh-CN"/>
        </w:rPr>
        <w:t>实时市场</w:t>
      </w:r>
      <w:r>
        <w:rPr>
          <w:rFonts w:hint="eastAsia" w:ascii="仿宋_GB2312" w:hAnsi="仿宋_GB2312" w:cs="仿宋_GB2312"/>
        </w:rPr>
        <w:t>统一结算点电价计算偏差电费。</w:t>
      </w:r>
      <w:r>
        <w:rPr>
          <w:rFonts w:hint="eastAsia" w:ascii="仿宋_GB2312" w:hAnsi="仿宋_GB2312" w:cs="仿宋_GB2312"/>
          <w:lang w:val="en-US" w:eastAsia="zh-CN"/>
        </w:rPr>
        <w:t>计算</w:t>
      </w:r>
      <w:r>
        <w:rPr>
          <w:rFonts w:hint="eastAsia" w:ascii="仿宋_GB2312" w:hAnsi="仿宋_GB2312" w:cs="仿宋_GB2312"/>
        </w:rPr>
        <w:t>公式为：</w:t>
      </w:r>
    </w:p>
    <w:p>
      <w:pPr>
        <w:pStyle w:val="9"/>
        <w:spacing w:after="0"/>
        <w:jc w:val="center"/>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实时</w:t>
      </w:r>
      <w:r>
        <w:rPr>
          <w:rFonts w:hint="eastAsia" w:ascii="仿宋_GB2312" w:hAnsi="仿宋_GB2312" w:cs="仿宋_GB2312"/>
        </w:rPr>
        <w:t>=Σ[(Q</w:t>
      </w:r>
      <w:r>
        <w:rPr>
          <w:rFonts w:hint="eastAsia" w:ascii="仿宋_GB2312" w:hAnsi="仿宋_GB2312" w:cs="仿宋_GB2312"/>
          <w:vertAlign w:val="subscript"/>
        </w:rPr>
        <w:t>实时,t</w:t>
      </w: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rPr>
        <w:t>)×P</w:t>
      </w:r>
      <w:r>
        <w:rPr>
          <w:rFonts w:hint="eastAsia" w:ascii="仿宋_GB2312" w:hAnsi="仿宋_GB2312" w:cs="仿宋_GB2312"/>
          <w:vertAlign w:val="subscript"/>
        </w:rPr>
        <w:t>实时统一,t</w:t>
      </w:r>
      <w:r>
        <w:rPr>
          <w:rFonts w:hint="eastAsia" w:ascii="仿宋_GB2312" w:hAnsi="仿宋_GB2312" w:cs="仿宋_GB2312"/>
        </w:rPr>
        <w:t>]</w:t>
      </w:r>
    </w:p>
    <w:p>
      <w:pPr>
        <w:pStyle w:val="9"/>
        <w:spacing w:after="0"/>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C</w:t>
      </w:r>
      <w:r>
        <w:rPr>
          <w:rFonts w:hint="eastAsia" w:ascii="仿宋_GB2312" w:hAnsi="仿宋_GB2312" w:cs="仿宋_GB2312"/>
          <w:vertAlign w:val="subscript"/>
        </w:rPr>
        <w:t>实时</w:t>
      </w:r>
      <w:r>
        <w:rPr>
          <w:rFonts w:hint="eastAsia" w:ascii="仿宋_GB2312" w:hAnsi="仿宋_GB2312" w:cs="仿宋_GB2312"/>
        </w:rPr>
        <w:t>为用户</w:t>
      </w:r>
      <w:r>
        <w:rPr>
          <w:rFonts w:hint="eastAsia" w:ascii="仿宋_GB2312" w:hAnsi="仿宋_GB2312" w:cs="仿宋_GB2312"/>
          <w:lang w:eastAsia="zh-CN"/>
        </w:rPr>
        <w:t>实时市场</w:t>
      </w:r>
      <w:r>
        <w:rPr>
          <w:rFonts w:hint="eastAsia" w:ascii="仿宋_GB2312" w:hAnsi="仿宋_GB2312" w:cs="仿宋_GB2312"/>
        </w:rPr>
        <w:t>偏差电费支出；</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 xml:space="preserve">实时,t </w:t>
      </w:r>
      <w:r>
        <w:rPr>
          <w:rFonts w:hint="eastAsia" w:ascii="仿宋_GB2312" w:hAnsi="仿宋_GB2312" w:cs="仿宋_GB2312"/>
        </w:rPr>
        <w:t>为用户t时段实际用电量；</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rPr>
        <w:t>日前,t</w:t>
      </w:r>
      <w:r>
        <w:rPr>
          <w:rFonts w:hint="eastAsia" w:ascii="仿宋_GB2312" w:hAnsi="仿宋_GB2312" w:cs="仿宋_GB2312"/>
        </w:rPr>
        <w:t>为用户</w:t>
      </w:r>
      <w:r>
        <w:rPr>
          <w:rFonts w:hint="eastAsia" w:ascii="仿宋_GB2312" w:hAnsi="仿宋_GB2312" w:cs="仿宋_GB2312"/>
          <w:lang w:eastAsia="zh-CN"/>
        </w:rPr>
        <w:t>日前市场</w:t>
      </w:r>
      <w:r>
        <w:rPr>
          <w:rFonts w:hint="eastAsia" w:ascii="仿宋_GB2312" w:hAnsi="仿宋_GB2312" w:cs="仿宋_GB2312"/>
        </w:rPr>
        <w:t>申报的t时段需求电量；</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rPr>
        <w:t>实时统一,t</w:t>
      </w:r>
      <w:r>
        <w:rPr>
          <w:rFonts w:hint="eastAsia" w:ascii="仿宋_GB2312" w:hAnsi="仿宋_GB2312" w:cs="仿宋_GB2312"/>
        </w:rPr>
        <w:t>为</w:t>
      </w:r>
      <w:r>
        <w:rPr>
          <w:rFonts w:hint="eastAsia" w:ascii="仿宋_GB2312" w:hAnsi="仿宋_GB2312" w:cs="仿宋_GB2312"/>
          <w:lang w:val="en-US"/>
        </w:rPr>
        <w:t>用户侧</w:t>
      </w:r>
      <w:r>
        <w:rPr>
          <w:rFonts w:hint="eastAsia" w:ascii="仿宋_GB2312" w:hAnsi="仿宋_GB2312" w:cs="仿宋_GB2312"/>
          <w:lang w:val="en-US" w:eastAsia="zh-CN"/>
        </w:rPr>
        <w:t>实时市场</w:t>
      </w:r>
      <w:r>
        <w:rPr>
          <w:rFonts w:hint="eastAsia" w:ascii="仿宋_GB2312" w:hAnsi="仿宋_GB2312" w:cs="仿宋_GB2312"/>
        </w:rPr>
        <w:t>t时段</w:t>
      </w:r>
      <w:r>
        <w:rPr>
          <w:rFonts w:hint="eastAsia" w:ascii="仿宋_GB2312" w:hAnsi="仿宋_GB2312" w:cs="仿宋_GB2312"/>
          <w:lang w:val="en-US"/>
        </w:rPr>
        <w:t>的</w:t>
      </w:r>
      <w:r>
        <w:rPr>
          <w:rFonts w:hint="eastAsia" w:ascii="仿宋_GB2312" w:hAnsi="仿宋_GB2312" w:cs="仿宋_GB2312"/>
        </w:rPr>
        <w:t>统一结算点电价。</w:t>
      </w:r>
    </w:p>
    <w:p>
      <w:pPr>
        <w:pStyle w:val="105"/>
        <w:spacing w:before="156" w:after="156"/>
        <w:ind w:firstLine="643"/>
        <w:rPr>
          <w:rFonts w:ascii="仿宋_GB2312" w:hAnsi="仿宋_GB2312" w:cs="仿宋_GB2312"/>
          <w:highlight w:val="none"/>
        </w:rPr>
      </w:pPr>
      <w:bookmarkStart w:id="536" w:name="_Toc7269"/>
      <w:bookmarkStart w:id="537" w:name="_Toc12014"/>
      <w:bookmarkStart w:id="538" w:name="_Toc19366"/>
      <w:bookmarkStart w:id="539" w:name="_Toc15827"/>
      <w:bookmarkStart w:id="540" w:name="_Toc3460"/>
      <w:bookmarkStart w:id="541" w:name="_Toc7382"/>
      <w:r>
        <w:rPr>
          <w:rFonts w:hint="eastAsia" w:ascii="仿宋_GB2312" w:hAnsi="仿宋_GB2312" w:cs="仿宋_GB2312"/>
          <w:highlight w:val="none"/>
        </w:rPr>
        <w:t>储能电站结算</w:t>
      </w:r>
      <w:bookmarkEnd w:id="536"/>
      <w:bookmarkEnd w:id="537"/>
      <w:bookmarkEnd w:id="538"/>
      <w:bookmarkEnd w:id="539"/>
      <w:bookmarkEnd w:id="540"/>
      <w:bookmarkEnd w:id="541"/>
    </w:p>
    <w:p>
      <w:pPr>
        <w:pStyle w:val="9"/>
        <w:spacing w:after="0"/>
        <w:rPr>
          <w:rFonts w:ascii="仿宋_GB2312" w:hAnsi="仿宋_GB2312" w:cs="仿宋_GB2312"/>
          <w:highlight w:val="none"/>
        </w:rPr>
      </w:pPr>
      <w:r>
        <w:rPr>
          <w:rFonts w:hint="eastAsia" w:ascii="仿宋_GB2312" w:hAnsi="仿宋_GB2312" w:cs="仿宋_GB2312"/>
          <w:highlight w:val="none"/>
          <w:lang w:val="en-US"/>
        </w:rPr>
        <w:t>独立储能电站</w:t>
      </w:r>
      <w:r>
        <w:rPr>
          <w:rFonts w:hint="eastAsia" w:ascii="仿宋_GB2312" w:hAnsi="仿宋_GB2312" w:cs="仿宋_GB2312"/>
          <w:highlight w:val="none"/>
        </w:rPr>
        <w:t>电能量</w:t>
      </w:r>
      <w:r>
        <w:rPr>
          <w:rFonts w:hint="eastAsia" w:ascii="仿宋_GB2312" w:hAnsi="仿宋_GB2312" w:cs="仿宋_GB2312"/>
          <w:highlight w:val="none"/>
          <w:lang w:val="en-US"/>
        </w:rPr>
        <w:t>费用</w:t>
      </w:r>
      <w:r>
        <w:rPr>
          <w:rFonts w:hint="eastAsia" w:ascii="仿宋_GB2312" w:hAnsi="仿宋_GB2312" w:cs="仿宋_GB2312"/>
          <w:highlight w:val="none"/>
        </w:rPr>
        <w:t>包含</w:t>
      </w:r>
      <w:r>
        <w:rPr>
          <w:rFonts w:hint="eastAsia" w:ascii="仿宋_GB2312" w:hAnsi="仿宋_GB2312" w:cs="仿宋_GB2312"/>
          <w:highlight w:val="none"/>
          <w:lang w:eastAsia="zh-CN"/>
        </w:rPr>
        <w:t>日前市场</w:t>
      </w:r>
      <w:r>
        <w:rPr>
          <w:rFonts w:hint="eastAsia" w:ascii="仿宋_GB2312" w:hAnsi="仿宋_GB2312" w:cs="仿宋_GB2312"/>
          <w:highlight w:val="none"/>
        </w:rPr>
        <w:t>电能量电费</w:t>
      </w:r>
      <w:r>
        <w:rPr>
          <w:rFonts w:hint="eastAsia" w:ascii="仿宋_GB2312" w:hAnsi="仿宋_GB2312" w:cs="仿宋_GB2312"/>
          <w:highlight w:val="none"/>
          <w:lang w:val="en-US"/>
        </w:rPr>
        <w:t>和</w:t>
      </w:r>
      <w:r>
        <w:rPr>
          <w:rFonts w:hint="eastAsia" w:ascii="仿宋_GB2312" w:hAnsi="仿宋_GB2312" w:cs="仿宋_GB2312"/>
          <w:highlight w:val="none"/>
          <w:lang w:eastAsia="zh-CN"/>
        </w:rPr>
        <w:t>实时市场</w:t>
      </w:r>
      <w:r>
        <w:rPr>
          <w:rFonts w:hint="eastAsia" w:ascii="仿宋_GB2312" w:hAnsi="仿宋_GB2312" w:cs="仿宋_GB2312"/>
          <w:highlight w:val="none"/>
        </w:rPr>
        <w:t>偏差电能量电费。计算公式</w:t>
      </w:r>
      <w:r>
        <w:rPr>
          <w:rFonts w:hint="eastAsia" w:ascii="仿宋_GB2312" w:hAnsi="仿宋_GB2312" w:cs="仿宋_GB2312"/>
          <w:highlight w:val="none"/>
          <w:lang w:val="en-US" w:eastAsia="zh-CN"/>
        </w:rPr>
        <w:t>如下</w:t>
      </w:r>
      <w:r>
        <w:rPr>
          <w:rFonts w:hint="eastAsia" w:ascii="仿宋_GB2312" w:hAnsi="仿宋_GB2312" w:cs="仿宋_GB2312"/>
          <w:highlight w:val="none"/>
        </w:rPr>
        <w:t>：</w:t>
      </w:r>
    </w:p>
    <w:p>
      <w:pPr>
        <w:pStyle w:val="9"/>
        <w:spacing w:after="0"/>
        <w:jc w:val="center"/>
        <w:rPr>
          <w:rFonts w:ascii="仿宋_GB2312" w:hAnsi="仿宋_GB2312" w:cs="仿宋_GB2312"/>
          <w:highlight w:val="none"/>
          <w:lang w:val="en-US"/>
        </w:rPr>
      </w:pPr>
      <w:r>
        <w:rPr>
          <w:rFonts w:hint="eastAsia" w:ascii="仿宋_GB2312" w:hAnsi="仿宋_GB2312" w:cs="仿宋_GB2312"/>
          <w:highlight w:val="none"/>
          <w:lang w:val="en-US"/>
        </w:rPr>
        <w:t>R</w:t>
      </w:r>
      <w:r>
        <w:rPr>
          <w:rFonts w:hint="eastAsia" w:ascii="仿宋_GB2312" w:hAnsi="仿宋_GB2312" w:cs="仿宋_GB2312"/>
          <w:highlight w:val="none"/>
        </w:rPr>
        <w:t>=</w:t>
      </w:r>
      <w:r>
        <w:rPr>
          <w:rFonts w:hint="eastAsia" w:ascii="仿宋_GB2312" w:hAnsi="仿宋_GB2312" w:cs="仿宋_GB2312"/>
          <w:highlight w:val="none"/>
          <w:lang w:val="en-US"/>
        </w:rPr>
        <w:t>R</w:t>
      </w:r>
      <w:r>
        <w:rPr>
          <w:rFonts w:hint="eastAsia" w:ascii="仿宋_GB2312" w:hAnsi="仿宋_GB2312" w:cs="仿宋_GB2312"/>
          <w:highlight w:val="none"/>
          <w:vertAlign w:val="subscript"/>
        </w:rPr>
        <w:t>日前</w:t>
      </w:r>
      <w:r>
        <w:rPr>
          <w:rFonts w:hint="eastAsia" w:ascii="仿宋_GB2312" w:hAnsi="仿宋_GB2312" w:cs="仿宋_GB2312"/>
          <w:highlight w:val="none"/>
        </w:rPr>
        <w:t>+</w:t>
      </w:r>
      <w:r>
        <w:rPr>
          <w:rFonts w:hint="eastAsia" w:ascii="仿宋_GB2312" w:hAnsi="仿宋_GB2312" w:cs="仿宋_GB2312"/>
          <w:highlight w:val="none"/>
          <w:lang w:val="en-US"/>
        </w:rPr>
        <w:t>R</w:t>
      </w:r>
      <w:r>
        <w:rPr>
          <w:rFonts w:hint="eastAsia" w:ascii="仿宋_GB2312" w:hAnsi="仿宋_GB2312" w:cs="仿宋_GB2312"/>
          <w:highlight w:val="none"/>
          <w:vertAlign w:val="subscript"/>
        </w:rPr>
        <w:t>实时</w:t>
      </w:r>
    </w:p>
    <w:p>
      <w:pPr>
        <w:pStyle w:val="9"/>
        <w:spacing w:after="0"/>
        <w:rPr>
          <w:rFonts w:hint="eastAsia" w:ascii="仿宋_GB2312" w:hAnsi="仿宋_GB2312" w:eastAsia="仿宋_GB2312" w:cs="仿宋_GB2312"/>
          <w:highlight w:val="none"/>
          <w:lang w:eastAsia="zh-CN"/>
        </w:rPr>
      </w:pPr>
      <w:r>
        <w:rPr>
          <w:rFonts w:hint="eastAsia" w:ascii="仿宋_GB2312" w:hAnsi="仿宋_GB2312" w:cs="仿宋_GB2312"/>
          <w:highlight w:val="none"/>
        </w:rPr>
        <w:t>其中</w:t>
      </w:r>
      <w:r>
        <w:rPr>
          <w:rFonts w:hint="eastAsia" w:ascii="仿宋_GB2312" w:hAnsi="仿宋_GB2312" w:cs="仿宋_GB2312"/>
          <w:highlight w:val="none"/>
          <w:lang w:eastAsia="zh-CN"/>
        </w:rPr>
        <w:t>，</w:t>
      </w:r>
    </w:p>
    <w:p>
      <w:pPr>
        <w:pStyle w:val="9"/>
        <w:spacing w:after="0"/>
        <w:rPr>
          <w:rFonts w:ascii="仿宋_GB2312" w:hAnsi="仿宋_GB2312" w:cs="仿宋_GB2312"/>
          <w:highlight w:val="none"/>
        </w:rPr>
      </w:pPr>
      <w:r>
        <w:rPr>
          <w:rFonts w:hint="eastAsia" w:ascii="仿宋_GB2312" w:hAnsi="仿宋_GB2312" w:cs="仿宋_GB2312"/>
          <w:highlight w:val="none"/>
          <w:lang w:val="en-US"/>
        </w:rPr>
        <w:t>R</w:t>
      </w:r>
      <w:r>
        <w:rPr>
          <w:rFonts w:hint="eastAsia" w:ascii="仿宋_GB2312" w:hAnsi="仿宋_GB2312" w:cs="仿宋_GB2312"/>
          <w:highlight w:val="none"/>
          <w:vertAlign w:val="subscript"/>
        </w:rPr>
        <w:t>日前</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rPr>
        <w:t>电能量电费；</w:t>
      </w:r>
    </w:p>
    <w:p>
      <w:pPr>
        <w:pStyle w:val="9"/>
        <w:spacing w:after="0"/>
        <w:rPr>
          <w:rFonts w:ascii="仿宋_GB2312" w:hAnsi="仿宋_GB2312" w:cs="仿宋_GB2312"/>
          <w:highlight w:val="none"/>
        </w:rPr>
      </w:pPr>
      <w:r>
        <w:rPr>
          <w:rFonts w:hint="eastAsia" w:ascii="仿宋_GB2312" w:hAnsi="仿宋_GB2312" w:cs="仿宋_GB2312"/>
          <w:highlight w:val="none"/>
          <w:lang w:val="en-US"/>
        </w:rPr>
        <w:t>R</w:t>
      </w:r>
      <w:r>
        <w:rPr>
          <w:rFonts w:hint="eastAsia" w:ascii="仿宋_GB2312" w:hAnsi="仿宋_GB2312" w:cs="仿宋_GB2312"/>
          <w:highlight w:val="none"/>
          <w:vertAlign w:val="subscript"/>
        </w:rPr>
        <w:t>实时</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实时市场</w:t>
      </w:r>
      <w:r>
        <w:rPr>
          <w:rFonts w:hint="eastAsia" w:ascii="仿宋_GB2312" w:hAnsi="仿宋_GB2312" w:cs="仿宋_GB2312"/>
          <w:highlight w:val="none"/>
        </w:rPr>
        <w:t>偏差电能量电费。</w:t>
      </w:r>
    </w:p>
    <w:p>
      <w:pPr>
        <w:pStyle w:val="106"/>
        <w:spacing w:before="156" w:after="156"/>
        <w:ind w:firstLine="643"/>
        <w:rPr>
          <w:highlight w:val="none"/>
        </w:rPr>
      </w:pPr>
      <w:bookmarkStart w:id="542" w:name="_Toc22148"/>
      <w:bookmarkStart w:id="543" w:name="_Toc2273"/>
      <w:bookmarkStart w:id="544" w:name="_Toc14619"/>
      <w:bookmarkStart w:id="545" w:name="_Toc6587"/>
      <w:bookmarkStart w:id="546" w:name="_Toc12115"/>
      <w:r>
        <w:rPr>
          <w:rFonts w:hint="eastAsia"/>
          <w:highlight w:val="none"/>
          <w:lang w:eastAsia="zh-CN"/>
        </w:rPr>
        <w:t>日前市场</w:t>
      </w:r>
      <w:r>
        <w:rPr>
          <w:rFonts w:hint="eastAsia"/>
          <w:highlight w:val="none"/>
        </w:rPr>
        <w:t>结算</w:t>
      </w:r>
      <w:bookmarkEnd w:id="542"/>
      <w:bookmarkEnd w:id="543"/>
      <w:bookmarkEnd w:id="544"/>
      <w:bookmarkEnd w:id="545"/>
      <w:bookmarkEnd w:id="546"/>
    </w:p>
    <w:p>
      <w:pPr>
        <w:pStyle w:val="9"/>
        <w:spacing w:after="0"/>
        <w:rPr>
          <w:rFonts w:ascii="仿宋_GB2312" w:hAnsi="仿宋_GB2312" w:cs="仿宋_GB2312"/>
          <w:highlight w:val="none"/>
        </w:rPr>
      </w:pPr>
      <w:r>
        <w:rPr>
          <w:rFonts w:hint="eastAsia" w:ascii="仿宋_GB2312" w:hAnsi="仿宋_GB2312" w:cs="仿宋_GB2312"/>
          <w:highlight w:val="none"/>
          <w:lang w:val="en-US"/>
        </w:rPr>
        <w:t>现货</w:t>
      </w:r>
      <w:r>
        <w:rPr>
          <w:rFonts w:hint="eastAsia" w:ascii="仿宋_GB2312" w:hAnsi="仿宋_GB2312" w:cs="仿宋_GB2312"/>
          <w:highlight w:val="none"/>
        </w:rPr>
        <w:t>市场</w:t>
      </w:r>
      <w:r>
        <w:rPr>
          <w:rFonts w:hint="eastAsia" w:ascii="仿宋_GB2312" w:hAnsi="仿宋_GB2312" w:cs="仿宋_GB2312"/>
          <w:highlight w:val="none"/>
          <w:lang w:val="en-US"/>
        </w:rPr>
        <w:t>运行</w:t>
      </w:r>
      <w:r>
        <w:rPr>
          <w:rFonts w:hint="eastAsia" w:ascii="仿宋_GB2312" w:hAnsi="仿宋_GB2312" w:cs="仿宋_GB2312"/>
          <w:highlight w:val="none"/>
        </w:rPr>
        <w:t>初期，</w:t>
      </w:r>
      <w:r>
        <w:rPr>
          <w:rFonts w:hint="eastAsia" w:ascii="仿宋_GB2312" w:hAnsi="仿宋_GB2312" w:cs="仿宋_GB2312"/>
          <w:highlight w:val="none"/>
          <w:lang w:val="en-US"/>
        </w:rPr>
        <w:t>独立储能电站以报量不报价形式参与现货市场，其</w:t>
      </w:r>
      <w:r>
        <w:rPr>
          <w:rFonts w:hint="eastAsia" w:ascii="仿宋_GB2312" w:hAnsi="仿宋_GB2312" w:cs="仿宋_GB2312"/>
          <w:kern w:val="2"/>
          <w:szCs w:val="22"/>
          <w:highlight w:val="none"/>
          <w:lang w:val="en-US" w:eastAsia="zh-CN"/>
        </w:rPr>
        <w:t>日前市场</w:t>
      </w:r>
      <w:r>
        <w:rPr>
          <w:rFonts w:hint="eastAsia" w:ascii="仿宋_GB2312" w:hAnsi="仿宋_GB2312" w:cs="仿宋_GB2312"/>
          <w:kern w:val="2"/>
          <w:szCs w:val="22"/>
          <w:highlight w:val="none"/>
          <w:lang w:val="en-US"/>
        </w:rPr>
        <w:t>申报的充放电电量按照</w:t>
      </w:r>
      <w:r>
        <w:rPr>
          <w:rFonts w:hint="eastAsia" w:ascii="仿宋_GB2312" w:hAnsi="仿宋_GB2312" w:cs="仿宋_GB2312"/>
          <w:kern w:val="2"/>
          <w:szCs w:val="22"/>
          <w:highlight w:val="none"/>
          <w:lang w:val="en-US" w:eastAsia="zh-CN"/>
        </w:rPr>
        <w:t>日前市场</w:t>
      </w:r>
      <w:r>
        <w:rPr>
          <w:rFonts w:hint="eastAsia" w:ascii="仿宋_GB2312" w:hAnsi="仿宋_GB2312" w:cs="仿宋_GB2312"/>
          <w:kern w:val="2"/>
          <w:highlight w:val="none"/>
          <w:lang w:val="en-US" w:bidi="ar"/>
        </w:rPr>
        <w:t>节点价格结算。</w:t>
      </w:r>
      <w:r>
        <w:rPr>
          <w:rFonts w:hint="eastAsia" w:ascii="仿宋_GB2312" w:hAnsi="仿宋_GB2312" w:cs="仿宋_GB2312"/>
          <w:kern w:val="2"/>
          <w:highlight w:val="none"/>
          <w:lang w:val="en-US" w:eastAsia="zh-CN" w:bidi="ar"/>
        </w:rPr>
        <w:t>计算</w:t>
      </w:r>
      <w:r>
        <w:rPr>
          <w:rFonts w:hint="eastAsia" w:ascii="仿宋_GB2312" w:hAnsi="仿宋_GB2312" w:cs="仿宋_GB2312"/>
          <w:highlight w:val="none"/>
        </w:rPr>
        <w:t>公式为：</w:t>
      </w:r>
    </w:p>
    <w:p>
      <w:pPr>
        <w:pStyle w:val="9"/>
        <w:spacing w:after="0"/>
        <w:ind w:firstLine="0" w:firstLineChars="0"/>
        <w:jc w:val="center"/>
        <w:rPr>
          <w:rFonts w:ascii="仿宋_GB2312" w:hAnsi="仿宋_GB2312" w:cs="仿宋_GB2312"/>
          <w:highlight w:val="none"/>
        </w:rPr>
      </w:pPr>
      <w:r>
        <w:rPr>
          <w:rFonts w:hint="eastAsia" w:ascii="仿宋_GB2312" w:hAnsi="仿宋_GB2312" w:cs="仿宋_GB2312"/>
          <w:highlight w:val="none"/>
        </w:rPr>
        <w:t>R</w:t>
      </w:r>
      <w:r>
        <w:rPr>
          <w:rFonts w:hint="eastAsia" w:ascii="仿宋_GB2312" w:hAnsi="仿宋_GB2312" w:cs="仿宋_GB2312"/>
          <w:highlight w:val="none"/>
          <w:vertAlign w:val="subscript"/>
          <w:lang w:val="en-US"/>
        </w:rPr>
        <w:t>日前</w:t>
      </w:r>
      <w:r>
        <w:rPr>
          <w:rFonts w:hint="eastAsia" w:ascii="仿宋_GB2312" w:hAnsi="仿宋_GB2312" w:cs="仿宋_GB2312"/>
          <w:highlight w:val="none"/>
        </w:rPr>
        <w:t>=Σ</w:t>
      </w:r>
      <w:r>
        <w:rPr>
          <w:rFonts w:hint="eastAsia" w:ascii="仿宋_GB2312" w:hAnsi="仿宋_GB2312" w:cs="仿宋_GB2312"/>
          <w:highlight w:val="none"/>
          <w:lang w:val="en-US" w:eastAsia="zh-CN"/>
        </w:rPr>
        <w:t>(</w:t>
      </w:r>
      <w:r>
        <w:rPr>
          <w:rFonts w:hint="eastAsia" w:ascii="仿宋_GB2312" w:hAnsi="仿宋_GB2312" w:cs="仿宋_GB2312"/>
          <w:highlight w:val="none"/>
        </w:rPr>
        <w:t>Q</w:t>
      </w:r>
      <w:r>
        <w:rPr>
          <w:rFonts w:hint="eastAsia" w:ascii="仿宋_GB2312" w:hAnsi="仿宋_GB2312" w:cs="仿宋_GB2312"/>
          <w:highlight w:val="none"/>
          <w:vertAlign w:val="subscript"/>
          <w:lang w:val="en-US"/>
        </w:rPr>
        <w:t>日前放电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r>
        <w:rPr>
          <w:rFonts w:hint="eastAsia" w:ascii="仿宋_GB2312" w:hAnsi="仿宋_GB2312" w:cs="仿宋_GB2312"/>
          <w:highlight w:val="none"/>
        </w:rPr>
        <w:t>×P</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eastAsia="zh-CN"/>
        </w:rPr>
        <w:t>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r>
        <w:rPr>
          <w:rFonts w:hint="eastAsia" w:ascii="仿宋_GB2312" w:hAnsi="仿宋_GB2312" w:cs="仿宋_GB2312"/>
          <w:highlight w:val="none"/>
          <w:lang w:val="en-US" w:eastAsia="zh-CN"/>
        </w:rPr>
        <w:t>-</w:t>
      </w:r>
      <w:r>
        <w:rPr>
          <w:rFonts w:hint="eastAsia" w:ascii="仿宋_GB2312" w:hAnsi="仿宋_GB2312" w:cs="仿宋_GB2312"/>
          <w:highlight w:val="none"/>
        </w:rPr>
        <w:t>Q</w:t>
      </w:r>
      <w:r>
        <w:rPr>
          <w:rFonts w:hint="eastAsia" w:ascii="仿宋_GB2312" w:hAnsi="仿宋_GB2312" w:cs="仿宋_GB2312"/>
          <w:highlight w:val="none"/>
          <w:vertAlign w:val="subscript"/>
          <w:lang w:val="en-US"/>
        </w:rPr>
        <w:t>日前充电</w:t>
      </w:r>
      <w:r>
        <w:rPr>
          <w:rFonts w:hint="eastAsia" w:ascii="仿宋_GB2312" w:hAnsi="仿宋_GB2312" w:cs="仿宋_GB2312"/>
          <w:highlight w:val="none"/>
          <w:vertAlign w:val="subscript"/>
        </w:rPr>
        <w:t>,t</w:t>
      </w:r>
      <w:r>
        <w:rPr>
          <w:rFonts w:hint="eastAsia" w:ascii="仿宋_GB2312" w:hAnsi="仿宋_GB2312" w:cs="仿宋_GB2312"/>
          <w:highlight w:val="none"/>
        </w:rPr>
        <w:t>×P</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eastAsia="zh-CN"/>
        </w:rPr>
        <w:t>充电</w:t>
      </w:r>
      <w:r>
        <w:rPr>
          <w:rFonts w:hint="eastAsia" w:ascii="仿宋_GB2312" w:hAnsi="仿宋_GB2312" w:cs="仿宋_GB2312"/>
          <w:highlight w:val="none"/>
          <w:vertAlign w:val="subscript"/>
        </w:rPr>
        <w:t>,t</w:t>
      </w:r>
      <w:r>
        <w:rPr>
          <w:rFonts w:hint="eastAsia" w:ascii="仿宋_GB2312" w:hAnsi="仿宋_GB2312" w:cs="仿宋_GB2312"/>
          <w:highlight w:val="none"/>
          <w:lang w:val="en-US" w:eastAsia="zh-CN"/>
        </w:rPr>
        <w:t>)</w:t>
      </w:r>
    </w:p>
    <w:p>
      <w:pPr>
        <w:pStyle w:val="9"/>
        <w:spacing w:after="0"/>
        <w:rPr>
          <w:rFonts w:hint="eastAsia" w:ascii="仿宋_GB2312" w:hAnsi="仿宋_GB2312" w:eastAsia="仿宋_GB2312" w:cs="仿宋_GB2312"/>
          <w:highlight w:val="none"/>
          <w:lang w:eastAsia="zh-CN"/>
        </w:rPr>
      </w:pPr>
      <w:r>
        <w:rPr>
          <w:rFonts w:hint="eastAsia" w:ascii="仿宋_GB2312" w:hAnsi="仿宋_GB2312" w:cs="仿宋_GB2312"/>
          <w:highlight w:val="none"/>
        </w:rPr>
        <w:t>其中</w:t>
      </w:r>
      <w:r>
        <w:rPr>
          <w:rFonts w:hint="eastAsia" w:ascii="仿宋_GB2312" w:hAnsi="仿宋_GB2312" w:cs="仿宋_GB2312"/>
          <w:highlight w:val="none"/>
          <w:lang w:eastAsia="zh-CN"/>
        </w:rPr>
        <w:t>，</w:t>
      </w:r>
    </w:p>
    <w:p>
      <w:pPr>
        <w:pStyle w:val="9"/>
        <w:spacing w:after="0"/>
        <w:rPr>
          <w:rFonts w:ascii="仿宋_GB2312" w:hAnsi="仿宋_GB2312" w:cs="仿宋_GB2312"/>
          <w:highlight w:val="none"/>
        </w:rPr>
      </w:pPr>
      <w:r>
        <w:rPr>
          <w:rFonts w:hint="eastAsia" w:ascii="仿宋_GB2312" w:hAnsi="仿宋_GB2312" w:cs="仿宋_GB2312"/>
          <w:highlight w:val="none"/>
          <w:lang w:val="en-US"/>
        </w:rPr>
        <w:t>R</w:t>
      </w:r>
      <w:r>
        <w:rPr>
          <w:rFonts w:hint="eastAsia" w:ascii="仿宋_GB2312" w:hAnsi="仿宋_GB2312" w:cs="仿宋_GB2312"/>
          <w:highlight w:val="none"/>
          <w:vertAlign w:val="subscript"/>
        </w:rPr>
        <w:t>日前</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lang w:val="en-US"/>
        </w:rPr>
        <w:t>电能量</w:t>
      </w:r>
      <w:r>
        <w:rPr>
          <w:rFonts w:hint="eastAsia" w:ascii="仿宋_GB2312" w:hAnsi="仿宋_GB2312" w:cs="仿宋_GB2312"/>
          <w:highlight w:val="none"/>
        </w:rPr>
        <w:t>电费；</w:t>
      </w:r>
    </w:p>
    <w:p>
      <w:pPr>
        <w:pStyle w:val="9"/>
        <w:spacing w:after="0"/>
        <w:rPr>
          <w:rFonts w:hint="eastAsia"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放电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rPr>
        <w:t>所申报的T时段</w:t>
      </w:r>
      <w:r>
        <w:rPr>
          <w:rFonts w:hint="eastAsia" w:ascii="仿宋_GB2312" w:hAnsi="仿宋_GB2312" w:cs="仿宋_GB2312"/>
          <w:highlight w:val="none"/>
          <w:lang w:val="en-US"/>
        </w:rPr>
        <w:t>放电</w:t>
      </w:r>
      <w:r>
        <w:rPr>
          <w:rFonts w:hint="eastAsia" w:ascii="仿宋_GB2312" w:hAnsi="仿宋_GB2312" w:cs="仿宋_GB2312"/>
          <w:highlight w:val="none"/>
        </w:rPr>
        <w:t>电量；</w:t>
      </w:r>
    </w:p>
    <w:p>
      <w:pPr>
        <w:pStyle w:val="9"/>
        <w:spacing w:after="0"/>
        <w:rPr>
          <w:rFonts w:hint="eastAsia" w:ascii="仿宋_GB2312" w:hAnsi="仿宋_GB2312" w:eastAsia="仿宋_GB2312" w:cs="仿宋_GB2312"/>
          <w:highlight w:val="none"/>
          <w:lang w:eastAsia="zh-CN"/>
        </w:rPr>
      </w:pPr>
      <w:r>
        <w:rPr>
          <w:rFonts w:hint="eastAsia" w:ascii="仿宋_GB2312" w:hAnsi="仿宋_GB2312" w:cs="仿宋_GB2312"/>
          <w:highlight w:val="none"/>
        </w:rPr>
        <w:t>P</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eastAsia="zh-CN"/>
        </w:rPr>
        <w:t>放电</w:t>
      </w:r>
      <w:r>
        <w:rPr>
          <w:rFonts w:hint="eastAsia" w:ascii="仿宋_GB2312" w:hAnsi="仿宋_GB2312" w:cs="仿宋_GB2312"/>
          <w:highlight w:val="none"/>
          <w:vertAlign w:val="subscript"/>
        </w:rPr>
        <w:t>,T</w:t>
      </w:r>
      <w:r>
        <w:rPr>
          <w:rFonts w:hint="eastAsia" w:ascii="仿宋_GB2312" w:hAnsi="仿宋_GB2312" w:cs="仿宋_GB2312"/>
          <w:highlight w:val="none"/>
          <w:vertAlign w:val="baseline"/>
          <w:lang w:val="en-US" w:eastAsia="zh-CN"/>
        </w:rPr>
        <w:t>为</w:t>
      </w:r>
      <w:r>
        <w:rPr>
          <w:rFonts w:hint="eastAsia" w:ascii="仿宋_GB2312" w:hAnsi="仿宋_GB2312" w:cs="仿宋_GB2312"/>
          <w:highlight w:val="none"/>
        </w:rPr>
        <w:t>储能</w:t>
      </w:r>
      <w:r>
        <w:rPr>
          <w:rFonts w:hint="eastAsia" w:ascii="仿宋_GB2312" w:hAnsi="仿宋_GB2312" w:cs="仿宋_GB2312"/>
          <w:highlight w:val="none"/>
          <w:lang w:val="en-US" w:eastAsia="zh-CN"/>
        </w:rPr>
        <w:t>T</w:t>
      </w:r>
      <w:r>
        <w:rPr>
          <w:rFonts w:hint="eastAsia" w:ascii="仿宋_GB2312" w:hAnsi="仿宋_GB2312" w:cs="仿宋_GB2312"/>
          <w:highlight w:val="none"/>
        </w:rPr>
        <w:t>时段的日前市场节点电价</w:t>
      </w:r>
      <w:r>
        <w:rPr>
          <w:rFonts w:hint="eastAsia" w:ascii="仿宋_GB2312" w:hAnsi="仿宋_GB2312" w:cs="仿宋_GB2312"/>
          <w:highlight w:val="none"/>
          <w:lang w:eastAsia="zh-CN"/>
        </w:rPr>
        <w:t>；</w:t>
      </w:r>
    </w:p>
    <w:p>
      <w:pPr>
        <w:pStyle w:val="9"/>
        <w:spacing w:after="0"/>
        <w:rPr>
          <w:rFonts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充电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rPr>
        <w:t>所申报的t时段</w:t>
      </w:r>
      <w:r>
        <w:rPr>
          <w:rFonts w:hint="eastAsia" w:ascii="仿宋_GB2312" w:hAnsi="仿宋_GB2312" w:cs="仿宋_GB2312"/>
          <w:highlight w:val="none"/>
          <w:lang w:val="en-US"/>
        </w:rPr>
        <w:t>充电</w:t>
      </w:r>
      <w:r>
        <w:rPr>
          <w:rFonts w:hint="eastAsia" w:ascii="仿宋_GB2312" w:hAnsi="仿宋_GB2312" w:cs="仿宋_GB2312"/>
          <w:highlight w:val="none"/>
        </w:rPr>
        <w:t>电量；</w:t>
      </w:r>
    </w:p>
    <w:p>
      <w:pPr>
        <w:pStyle w:val="9"/>
        <w:spacing w:after="0"/>
        <w:rPr>
          <w:rFonts w:ascii="仿宋_GB2312" w:hAnsi="仿宋_GB2312" w:cs="仿宋_GB2312"/>
          <w:highlight w:val="none"/>
        </w:rPr>
      </w:pPr>
      <w:r>
        <w:rPr>
          <w:rFonts w:hint="eastAsia" w:ascii="仿宋_GB2312" w:hAnsi="仿宋_GB2312" w:cs="仿宋_GB2312"/>
          <w:highlight w:val="none"/>
        </w:rPr>
        <w:t>P</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eastAsia="zh-CN"/>
        </w:rPr>
        <w:t>充电</w:t>
      </w:r>
      <w:r>
        <w:rPr>
          <w:rFonts w:hint="eastAsia" w:ascii="仿宋_GB2312" w:hAnsi="仿宋_GB2312" w:cs="仿宋_GB2312"/>
          <w:highlight w:val="none"/>
          <w:vertAlign w:val="subscript"/>
        </w:rPr>
        <w:t xml:space="preserve">,t </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rPr>
        <w:t>t时段的</w:t>
      </w:r>
      <w:r>
        <w:rPr>
          <w:rFonts w:hint="eastAsia" w:ascii="仿宋_GB2312" w:hAnsi="仿宋_GB2312" w:cs="仿宋_GB2312"/>
          <w:highlight w:val="none"/>
          <w:lang w:eastAsia="zh-CN"/>
        </w:rPr>
        <w:t>日前市场</w:t>
      </w:r>
      <w:r>
        <w:rPr>
          <w:rFonts w:hint="eastAsia" w:ascii="仿宋_GB2312" w:hAnsi="仿宋_GB2312" w:cs="仿宋_GB2312"/>
          <w:highlight w:val="none"/>
        </w:rPr>
        <w:t>节点电价。</w:t>
      </w:r>
    </w:p>
    <w:p>
      <w:pPr>
        <w:pStyle w:val="106"/>
        <w:spacing w:before="156" w:after="156"/>
        <w:ind w:firstLine="643"/>
        <w:rPr>
          <w:highlight w:val="none"/>
        </w:rPr>
      </w:pPr>
      <w:bookmarkStart w:id="547" w:name="_Toc8215"/>
      <w:bookmarkStart w:id="548" w:name="_Toc26237"/>
      <w:bookmarkStart w:id="549" w:name="_Toc17497"/>
      <w:bookmarkStart w:id="550" w:name="_Toc16909"/>
      <w:bookmarkStart w:id="551" w:name="_Toc17341"/>
      <w:r>
        <w:rPr>
          <w:rFonts w:hint="eastAsia"/>
          <w:highlight w:val="none"/>
          <w:lang w:eastAsia="zh-CN"/>
        </w:rPr>
        <w:t>实时市场</w:t>
      </w:r>
      <w:r>
        <w:rPr>
          <w:rFonts w:hint="eastAsia"/>
          <w:highlight w:val="none"/>
        </w:rPr>
        <w:t>偏差结算</w:t>
      </w:r>
      <w:bookmarkEnd w:id="547"/>
      <w:bookmarkEnd w:id="548"/>
      <w:bookmarkEnd w:id="549"/>
      <w:bookmarkEnd w:id="550"/>
      <w:bookmarkEnd w:id="551"/>
    </w:p>
    <w:p>
      <w:pPr>
        <w:pStyle w:val="9"/>
        <w:spacing w:after="0"/>
        <w:rPr>
          <w:rFonts w:ascii="仿宋_GB2312" w:hAnsi="仿宋_GB2312" w:cs="仿宋_GB2312"/>
          <w:highlight w:val="none"/>
        </w:rPr>
      </w:pPr>
      <w:r>
        <w:rPr>
          <w:rFonts w:hint="eastAsia" w:ascii="仿宋_GB2312" w:hAnsi="仿宋_GB2312" w:cs="仿宋_GB2312"/>
          <w:highlight w:val="none"/>
          <w:lang w:val="en-US"/>
        </w:rPr>
        <w:t>独立储能电站</w:t>
      </w:r>
      <w:r>
        <w:rPr>
          <w:rFonts w:hint="eastAsia" w:ascii="仿宋_GB2312" w:hAnsi="仿宋_GB2312" w:cs="仿宋_GB2312"/>
          <w:highlight w:val="none"/>
        </w:rPr>
        <w:t>根据实际</w:t>
      </w:r>
      <w:r>
        <w:rPr>
          <w:rFonts w:hint="eastAsia" w:ascii="仿宋_GB2312" w:hAnsi="仿宋_GB2312" w:cs="仿宋_GB2312"/>
          <w:highlight w:val="none"/>
          <w:lang w:val="en-US"/>
        </w:rPr>
        <w:t>充放电电量</w:t>
      </w:r>
      <w:r>
        <w:rPr>
          <w:rFonts w:hint="eastAsia" w:ascii="仿宋_GB2312" w:hAnsi="仿宋_GB2312" w:cs="仿宋_GB2312"/>
          <w:highlight w:val="none"/>
        </w:rPr>
        <w:t>与</w:t>
      </w:r>
      <w:r>
        <w:rPr>
          <w:rFonts w:hint="eastAsia" w:ascii="仿宋_GB2312" w:hAnsi="仿宋_GB2312" w:cs="仿宋_GB2312"/>
          <w:highlight w:val="none"/>
          <w:lang w:eastAsia="zh-CN"/>
        </w:rPr>
        <w:t>日前市场</w:t>
      </w:r>
      <w:r>
        <w:rPr>
          <w:rFonts w:hint="eastAsia" w:ascii="仿宋_GB2312" w:hAnsi="仿宋_GB2312" w:cs="仿宋_GB2312"/>
          <w:highlight w:val="none"/>
        </w:rPr>
        <w:t>申报的</w:t>
      </w:r>
      <w:r>
        <w:rPr>
          <w:rFonts w:hint="eastAsia" w:ascii="仿宋_GB2312" w:hAnsi="仿宋_GB2312" w:cs="仿宋_GB2312"/>
          <w:highlight w:val="none"/>
          <w:lang w:val="en-US"/>
        </w:rPr>
        <w:t>充放电电量</w:t>
      </w:r>
      <w:r>
        <w:rPr>
          <w:rFonts w:hint="eastAsia" w:ascii="仿宋_GB2312" w:hAnsi="仿宋_GB2312" w:cs="仿宋_GB2312"/>
          <w:highlight w:val="none"/>
        </w:rPr>
        <w:t>之间的差额，以及</w:t>
      </w:r>
      <w:r>
        <w:rPr>
          <w:rFonts w:hint="eastAsia" w:ascii="仿宋_GB2312" w:hAnsi="仿宋_GB2312" w:cs="仿宋_GB2312"/>
          <w:highlight w:val="none"/>
          <w:lang w:eastAsia="zh-CN"/>
        </w:rPr>
        <w:t>实时市场</w:t>
      </w:r>
      <w:r>
        <w:rPr>
          <w:rFonts w:hint="eastAsia" w:ascii="仿宋_GB2312" w:hAnsi="仿宋_GB2312" w:cs="仿宋_GB2312"/>
          <w:highlight w:val="none"/>
          <w:lang w:val="en-US"/>
        </w:rPr>
        <w:t>节点</w:t>
      </w:r>
      <w:r>
        <w:rPr>
          <w:rFonts w:hint="eastAsia" w:ascii="仿宋_GB2312" w:hAnsi="仿宋_GB2312" w:cs="仿宋_GB2312"/>
          <w:highlight w:val="none"/>
        </w:rPr>
        <w:t>电价计算偏差电费。</w:t>
      </w:r>
      <w:r>
        <w:rPr>
          <w:rFonts w:hint="eastAsia" w:ascii="仿宋_GB2312" w:hAnsi="仿宋_GB2312" w:cs="仿宋_GB2312"/>
          <w:highlight w:val="none"/>
          <w:lang w:val="en-US" w:eastAsia="zh-CN"/>
        </w:rPr>
        <w:t>计算</w:t>
      </w:r>
      <w:r>
        <w:rPr>
          <w:rFonts w:hint="eastAsia" w:ascii="仿宋_GB2312" w:hAnsi="仿宋_GB2312" w:cs="仿宋_GB2312"/>
          <w:highlight w:val="none"/>
        </w:rPr>
        <w:t>公式为：</w:t>
      </w:r>
    </w:p>
    <w:p>
      <w:pPr>
        <w:pStyle w:val="9"/>
        <w:spacing w:after="0"/>
        <w:jc w:val="center"/>
        <w:rPr>
          <w:rFonts w:hint="eastAsia" w:ascii="仿宋_GB2312" w:hAnsi="仿宋_GB2312" w:cs="仿宋_GB2312"/>
          <w:highlight w:val="none"/>
          <w:vertAlign w:val="subscript"/>
        </w:rPr>
      </w:pPr>
      <w:r>
        <w:rPr>
          <w:rFonts w:hint="eastAsia" w:ascii="仿宋_GB2312" w:hAnsi="仿宋_GB2312" w:cs="仿宋_GB2312"/>
          <w:highlight w:val="none"/>
        </w:rPr>
        <w:t>R</w:t>
      </w:r>
      <w:r>
        <w:rPr>
          <w:rFonts w:hint="eastAsia" w:ascii="仿宋_GB2312" w:hAnsi="仿宋_GB2312" w:cs="仿宋_GB2312"/>
          <w:highlight w:val="none"/>
          <w:vertAlign w:val="subscript"/>
          <w:lang w:val="en-US"/>
        </w:rPr>
        <w:t>实时</w:t>
      </w:r>
      <w:r>
        <w:rPr>
          <w:rFonts w:hint="eastAsia" w:ascii="仿宋_GB2312" w:hAnsi="仿宋_GB2312" w:cs="仿宋_GB2312"/>
          <w:highlight w:val="none"/>
        </w:rPr>
        <w:t>=Σ</w:t>
      </w:r>
      <w:r>
        <w:rPr>
          <w:rFonts w:hint="eastAsia" w:ascii="仿宋_GB2312" w:hAnsi="仿宋_GB2312" w:cs="仿宋_GB2312"/>
          <w:highlight w:val="none"/>
          <w:lang w:val="en-US"/>
        </w:rPr>
        <w:t>[</w:t>
      </w:r>
      <w:r>
        <w:rPr>
          <w:rFonts w:hint="eastAsia" w:ascii="仿宋_GB2312" w:hAnsi="仿宋_GB2312" w:cs="仿宋_GB2312"/>
          <w:highlight w:val="none"/>
        </w:rPr>
        <w:t>(Q</w:t>
      </w:r>
      <w:r>
        <w:rPr>
          <w:rFonts w:hint="eastAsia" w:ascii="仿宋_GB2312" w:hAnsi="仿宋_GB2312" w:cs="仿宋_GB2312"/>
          <w:highlight w:val="none"/>
          <w:vertAlign w:val="subscript"/>
        </w:rPr>
        <w:t>实时</w:t>
      </w:r>
      <w:r>
        <w:rPr>
          <w:rFonts w:hint="eastAsia" w:ascii="仿宋_GB2312" w:hAnsi="仿宋_GB2312" w:cs="仿宋_GB2312"/>
          <w:highlight w:val="none"/>
          <w:vertAlign w:val="subscript"/>
          <w:lang w:val="en-US"/>
        </w:rPr>
        <w:t>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r>
        <w:rPr>
          <w:rFonts w:hint="eastAsia" w:ascii="仿宋_GB2312" w:hAnsi="仿宋_GB2312" w:cs="仿宋_GB2312"/>
          <w:highlight w:val="none"/>
        </w:rPr>
        <w:t>)×P</w:t>
      </w:r>
      <w:r>
        <w:rPr>
          <w:rFonts w:hint="eastAsia" w:ascii="仿宋_GB2312" w:hAnsi="仿宋_GB2312" w:cs="仿宋_GB2312"/>
          <w:highlight w:val="none"/>
          <w:vertAlign w:val="subscript"/>
        </w:rPr>
        <w:t>实时</w:t>
      </w:r>
      <w:r>
        <w:rPr>
          <w:rFonts w:hint="eastAsia" w:ascii="仿宋_GB2312" w:hAnsi="仿宋_GB2312" w:cs="仿宋_GB2312"/>
          <w:highlight w:val="none"/>
          <w:vertAlign w:val="subscript"/>
          <w:lang w:eastAsia="zh-CN"/>
        </w:rPr>
        <w:t>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p>
    <w:p>
      <w:pPr>
        <w:pStyle w:val="9"/>
        <w:spacing w:after="0"/>
        <w:jc w:val="center"/>
        <w:rPr>
          <w:rFonts w:ascii="仿宋_GB2312" w:hAnsi="仿宋_GB2312" w:cs="仿宋_GB2312"/>
          <w:highlight w:val="none"/>
          <w:vertAlign w:val="subscript"/>
          <w:lang w:val="en-US"/>
        </w:rPr>
      </w:pPr>
      <w:r>
        <w:rPr>
          <w:rFonts w:hint="eastAsia" w:ascii="仿宋_GB2312" w:hAnsi="仿宋_GB2312" w:cs="仿宋_GB2312"/>
          <w:highlight w:val="none"/>
          <w:lang w:val="en-US"/>
        </w:rPr>
        <w:t>-</w:t>
      </w:r>
      <w:r>
        <w:rPr>
          <w:rFonts w:hint="eastAsia" w:ascii="仿宋_GB2312" w:hAnsi="仿宋_GB2312" w:cs="仿宋_GB2312"/>
          <w:highlight w:val="none"/>
        </w:rPr>
        <w:t>(Q</w:t>
      </w:r>
      <w:r>
        <w:rPr>
          <w:rFonts w:hint="eastAsia" w:ascii="仿宋_GB2312" w:hAnsi="仿宋_GB2312" w:cs="仿宋_GB2312"/>
          <w:highlight w:val="none"/>
          <w:vertAlign w:val="subscript"/>
        </w:rPr>
        <w:t>实时</w:t>
      </w:r>
      <w:r>
        <w:rPr>
          <w:rFonts w:hint="eastAsia" w:ascii="仿宋_GB2312" w:hAnsi="仿宋_GB2312" w:cs="仿宋_GB2312"/>
          <w:highlight w:val="none"/>
          <w:vertAlign w:val="subscript"/>
          <w:lang w:val="en-US"/>
        </w:rPr>
        <w:t>充电</w:t>
      </w:r>
      <w:r>
        <w:rPr>
          <w:rFonts w:hint="eastAsia" w:ascii="仿宋_GB2312" w:hAnsi="仿宋_GB2312" w:cs="仿宋_GB2312"/>
          <w:highlight w:val="none"/>
          <w:vertAlign w:val="subscript"/>
        </w:rPr>
        <w:t>,t</w:t>
      </w: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充电</w:t>
      </w:r>
      <w:r>
        <w:rPr>
          <w:rFonts w:hint="eastAsia" w:ascii="仿宋_GB2312" w:hAnsi="仿宋_GB2312" w:cs="仿宋_GB2312"/>
          <w:highlight w:val="none"/>
          <w:vertAlign w:val="subscript"/>
        </w:rPr>
        <w:t>,t</w:t>
      </w:r>
      <w:r>
        <w:rPr>
          <w:rFonts w:hint="eastAsia" w:ascii="仿宋_GB2312" w:hAnsi="仿宋_GB2312" w:cs="仿宋_GB2312"/>
          <w:highlight w:val="none"/>
        </w:rPr>
        <w:t>)×P</w:t>
      </w:r>
      <w:r>
        <w:rPr>
          <w:rFonts w:hint="eastAsia" w:ascii="仿宋_GB2312" w:hAnsi="仿宋_GB2312" w:cs="仿宋_GB2312"/>
          <w:highlight w:val="none"/>
          <w:vertAlign w:val="subscript"/>
        </w:rPr>
        <w:t>实时</w:t>
      </w:r>
      <w:r>
        <w:rPr>
          <w:rFonts w:hint="eastAsia" w:ascii="仿宋_GB2312" w:hAnsi="仿宋_GB2312" w:cs="仿宋_GB2312"/>
          <w:highlight w:val="none"/>
          <w:vertAlign w:val="subscript"/>
          <w:lang w:val="en-US" w:eastAsia="zh-CN"/>
        </w:rPr>
        <w:t>充电</w:t>
      </w:r>
      <w:r>
        <w:rPr>
          <w:rFonts w:hint="eastAsia" w:ascii="仿宋_GB2312" w:hAnsi="仿宋_GB2312" w:cs="仿宋_GB2312"/>
          <w:highlight w:val="none"/>
          <w:vertAlign w:val="subscript"/>
        </w:rPr>
        <w:t>,t</w:t>
      </w:r>
      <w:r>
        <w:rPr>
          <w:rFonts w:hint="eastAsia" w:ascii="仿宋_GB2312" w:hAnsi="仿宋_GB2312" w:cs="仿宋_GB2312"/>
          <w:highlight w:val="none"/>
          <w:lang w:val="en-US"/>
        </w:rPr>
        <w:t>]</w:t>
      </w:r>
    </w:p>
    <w:p>
      <w:pPr>
        <w:pStyle w:val="9"/>
        <w:spacing w:after="0"/>
        <w:rPr>
          <w:rFonts w:hint="eastAsia" w:ascii="仿宋_GB2312" w:hAnsi="仿宋_GB2312" w:eastAsia="仿宋_GB2312" w:cs="仿宋_GB2312"/>
          <w:highlight w:val="none"/>
          <w:lang w:eastAsia="zh-CN"/>
        </w:rPr>
      </w:pPr>
      <w:r>
        <w:rPr>
          <w:rFonts w:hint="eastAsia" w:ascii="仿宋_GB2312" w:hAnsi="仿宋_GB2312" w:cs="仿宋_GB2312"/>
          <w:highlight w:val="none"/>
        </w:rPr>
        <w:t>其中</w:t>
      </w:r>
      <w:r>
        <w:rPr>
          <w:rFonts w:hint="eastAsia" w:ascii="仿宋_GB2312" w:hAnsi="仿宋_GB2312" w:cs="仿宋_GB2312"/>
          <w:highlight w:val="none"/>
          <w:lang w:eastAsia="zh-CN"/>
        </w:rPr>
        <w:t>，</w:t>
      </w:r>
    </w:p>
    <w:p>
      <w:pPr>
        <w:pStyle w:val="9"/>
        <w:spacing w:after="0"/>
        <w:rPr>
          <w:rFonts w:ascii="仿宋_GB2312" w:hAnsi="仿宋_GB2312" w:cs="仿宋_GB2312"/>
          <w:highlight w:val="none"/>
        </w:rPr>
      </w:pPr>
      <w:r>
        <w:rPr>
          <w:rFonts w:hint="eastAsia" w:ascii="仿宋_GB2312" w:hAnsi="仿宋_GB2312" w:cs="仿宋_GB2312"/>
          <w:highlight w:val="none"/>
          <w:lang w:val="en-US"/>
        </w:rPr>
        <w:t>R</w:t>
      </w:r>
      <w:r>
        <w:rPr>
          <w:rFonts w:hint="eastAsia" w:ascii="仿宋_GB2312" w:hAnsi="仿宋_GB2312" w:cs="仿宋_GB2312"/>
          <w:highlight w:val="none"/>
          <w:vertAlign w:val="subscript"/>
          <w:lang w:val="en-US"/>
        </w:rPr>
        <w:t>实时</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val="en-US" w:eastAsia="zh-CN"/>
        </w:rPr>
        <w:t>实时市场</w:t>
      </w:r>
      <w:r>
        <w:rPr>
          <w:rFonts w:hint="eastAsia" w:ascii="仿宋_GB2312" w:hAnsi="仿宋_GB2312" w:cs="仿宋_GB2312"/>
          <w:highlight w:val="none"/>
          <w:lang w:val="en-US"/>
        </w:rPr>
        <w:t>电能量</w:t>
      </w:r>
      <w:r>
        <w:rPr>
          <w:rFonts w:hint="eastAsia" w:ascii="仿宋_GB2312" w:hAnsi="仿宋_GB2312" w:cs="仿宋_GB2312"/>
          <w:highlight w:val="none"/>
        </w:rPr>
        <w:t>电费；</w:t>
      </w:r>
    </w:p>
    <w:p>
      <w:pPr>
        <w:pStyle w:val="9"/>
        <w:spacing w:after="0"/>
        <w:rPr>
          <w:rFonts w:hint="eastAsia"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lang w:val="en-US"/>
        </w:rPr>
        <w:t>实时放电</w:t>
      </w:r>
      <w:r>
        <w:rPr>
          <w:rFonts w:hint="eastAsia" w:ascii="仿宋_GB2312" w:hAnsi="仿宋_GB2312" w:cs="仿宋_GB2312"/>
          <w:highlight w:val="none"/>
          <w:vertAlign w:val="subscript"/>
        </w:rPr>
        <w:t>,</w:t>
      </w:r>
      <w:r>
        <w:rPr>
          <w:rFonts w:hint="eastAsia" w:ascii="仿宋_GB2312" w:hAnsi="仿宋_GB2312" w:cs="仿宋_GB2312"/>
          <w:highlight w:val="none"/>
          <w:vertAlign w:val="subscript"/>
          <w:lang w:val="en-US" w:eastAsia="zh-CN"/>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val="en-US" w:eastAsia="zh-CN"/>
        </w:rPr>
        <w:t>T</w:t>
      </w:r>
      <w:r>
        <w:rPr>
          <w:rFonts w:hint="eastAsia" w:ascii="仿宋_GB2312" w:hAnsi="仿宋_GB2312" w:cs="仿宋_GB2312"/>
          <w:highlight w:val="none"/>
        </w:rPr>
        <w:t>时段</w:t>
      </w:r>
      <w:r>
        <w:rPr>
          <w:rFonts w:hint="eastAsia" w:ascii="仿宋_GB2312" w:hAnsi="仿宋_GB2312" w:cs="仿宋_GB2312"/>
          <w:highlight w:val="none"/>
          <w:lang w:val="en-US"/>
        </w:rPr>
        <w:t>实际放电</w:t>
      </w:r>
      <w:r>
        <w:rPr>
          <w:rFonts w:hint="eastAsia" w:ascii="仿宋_GB2312" w:hAnsi="仿宋_GB2312" w:cs="仿宋_GB2312"/>
          <w:highlight w:val="none"/>
        </w:rPr>
        <w:t>电量；</w:t>
      </w:r>
    </w:p>
    <w:p>
      <w:pPr>
        <w:pStyle w:val="9"/>
        <w:spacing w:after="0"/>
        <w:rPr>
          <w:rFonts w:hint="eastAsia"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放电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rPr>
        <w:t>所申报的T时段</w:t>
      </w:r>
      <w:r>
        <w:rPr>
          <w:rFonts w:hint="eastAsia" w:ascii="仿宋_GB2312" w:hAnsi="仿宋_GB2312" w:cs="仿宋_GB2312"/>
          <w:highlight w:val="none"/>
          <w:lang w:val="en-US"/>
        </w:rPr>
        <w:t>放电</w:t>
      </w:r>
      <w:r>
        <w:rPr>
          <w:rFonts w:hint="eastAsia" w:ascii="仿宋_GB2312" w:hAnsi="仿宋_GB2312" w:cs="仿宋_GB2312"/>
          <w:highlight w:val="none"/>
        </w:rPr>
        <w:t>电量；</w:t>
      </w:r>
    </w:p>
    <w:p>
      <w:pPr>
        <w:pStyle w:val="9"/>
        <w:spacing w:after="0"/>
        <w:ind w:firstLine="640" w:firstLineChars="200"/>
        <w:rPr>
          <w:rFonts w:hint="eastAsia" w:ascii="仿宋_GB2312" w:hAnsi="仿宋_GB2312" w:cs="仿宋_GB2312"/>
          <w:highlight w:val="none"/>
        </w:rPr>
      </w:pPr>
      <w:r>
        <w:rPr>
          <w:rFonts w:hint="eastAsia" w:ascii="仿宋_GB2312" w:hAnsi="仿宋_GB2312" w:cs="仿宋_GB2312"/>
          <w:highlight w:val="none"/>
        </w:rPr>
        <w:t>P</w:t>
      </w:r>
      <w:r>
        <w:rPr>
          <w:rFonts w:hint="eastAsia" w:ascii="仿宋_GB2312" w:hAnsi="仿宋_GB2312" w:cs="仿宋_GB2312"/>
          <w:highlight w:val="none"/>
          <w:vertAlign w:val="subscript"/>
          <w:lang w:val="en-US"/>
        </w:rPr>
        <w:t>实时</w:t>
      </w:r>
      <w:r>
        <w:rPr>
          <w:rFonts w:hint="eastAsia" w:ascii="仿宋_GB2312" w:hAnsi="仿宋_GB2312" w:cs="仿宋_GB2312"/>
          <w:highlight w:val="none"/>
          <w:vertAlign w:val="subscript"/>
          <w:lang w:val="en-US" w:eastAsia="zh-CN"/>
        </w:rPr>
        <w:t>放电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rPr>
        <w:t>T时段的</w:t>
      </w:r>
      <w:r>
        <w:rPr>
          <w:rFonts w:hint="eastAsia" w:ascii="仿宋_GB2312" w:hAnsi="仿宋_GB2312" w:cs="仿宋_GB2312"/>
          <w:highlight w:val="none"/>
          <w:lang w:val="en-US" w:eastAsia="zh-CN"/>
        </w:rPr>
        <w:t>实时市场</w:t>
      </w:r>
      <w:r>
        <w:rPr>
          <w:rFonts w:hint="eastAsia" w:ascii="仿宋_GB2312" w:hAnsi="仿宋_GB2312" w:cs="仿宋_GB2312"/>
          <w:highlight w:val="none"/>
        </w:rPr>
        <w:t>节点电价</w:t>
      </w:r>
      <w:r>
        <w:rPr>
          <w:rFonts w:hint="eastAsia" w:ascii="仿宋_GB2312" w:hAnsi="仿宋_GB2312" w:cs="仿宋_GB2312"/>
          <w:highlight w:val="none"/>
          <w:lang w:val="en-US" w:eastAsia="zh-CN"/>
        </w:rPr>
        <w:t>;</w:t>
      </w:r>
    </w:p>
    <w:p>
      <w:pPr>
        <w:pStyle w:val="9"/>
        <w:spacing w:after="0"/>
        <w:rPr>
          <w:rFonts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lang w:val="en-US"/>
        </w:rPr>
        <w:t>实时充电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rPr>
        <w:t>t时段</w:t>
      </w:r>
      <w:r>
        <w:rPr>
          <w:rFonts w:hint="eastAsia" w:ascii="仿宋_GB2312" w:hAnsi="仿宋_GB2312" w:cs="仿宋_GB2312"/>
          <w:highlight w:val="none"/>
          <w:lang w:val="en-US"/>
        </w:rPr>
        <w:t>实际充电</w:t>
      </w:r>
      <w:r>
        <w:rPr>
          <w:rFonts w:hint="eastAsia" w:ascii="仿宋_GB2312" w:hAnsi="仿宋_GB2312" w:cs="仿宋_GB2312"/>
          <w:highlight w:val="none"/>
        </w:rPr>
        <w:t>电量；</w:t>
      </w:r>
    </w:p>
    <w:p>
      <w:pPr>
        <w:pStyle w:val="9"/>
        <w:spacing w:after="0"/>
        <w:rPr>
          <w:rFonts w:ascii="仿宋_GB2312" w:hAnsi="仿宋_GB2312" w:cs="仿宋_GB2312"/>
          <w:highlight w:val="none"/>
        </w:rPr>
      </w:pPr>
      <w:r>
        <w:rPr>
          <w:rFonts w:hint="eastAsia" w:ascii="仿宋_GB2312" w:hAnsi="仿宋_GB2312" w:cs="仿宋_GB2312"/>
          <w:highlight w:val="none"/>
        </w:rPr>
        <w:t>Q</w:t>
      </w:r>
      <w:r>
        <w:rPr>
          <w:rFonts w:hint="eastAsia" w:ascii="仿宋_GB2312" w:hAnsi="仿宋_GB2312" w:cs="仿宋_GB2312"/>
          <w:highlight w:val="none"/>
          <w:vertAlign w:val="subscript"/>
        </w:rPr>
        <w:t>日前</w:t>
      </w:r>
      <w:r>
        <w:rPr>
          <w:rFonts w:hint="eastAsia" w:ascii="仿宋_GB2312" w:hAnsi="仿宋_GB2312" w:cs="仿宋_GB2312"/>
          <w:highlight w:val="none"/>
          <w:vertAlign w:val="subscript"/>
          <w:lang w:val="en-US"/>
        </w:rPr>
        <w:t>充电</w:t>
      </w:r>
      <w:r>
        <w:rPr>
          <w:rFonts w:hint="eastAsia" w:ascii="仿宋_GB2312" w:hAnsi="仿宋_GB2312" w:cs="仿宋_GB2312"/>
          <w:highlight w:val="none"/>
          <w:vertAlign w:val="subscript"/>
        </w:rPr>
        <w:t>,t</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lang w:eastAsia="zh-CN"/>
        </w:rPr>
        <w:t>日前市场</w:t>
      </w:r>
      <w:r>
        <w:rPr>
          <w:rFonts w:hint="eastAsia" w:ascii="仿宋_GB2312" w:hAnsi="仿宋_GB2312" w:cs="仿宋_GB2312"/>
          <w:highlight w:val="none"/>
        </w:rPr>
        <w:t>所申报的t时段</w:t>
      </w:r>
      <w:r>
        <w:rPr>
          <w:rFonts w:hint="eastAsia" w:ascii="仿宋_GB2312" w:hAnsi="仿宋_GB2312" w:cs="仿宋_GB2312"/>
          <w:highlight w:val="none"/>
          <w:lang w:val="en-US"/>
        </w:rPr>
        <w:t>充电</w:t>
      </w:r>
      <w:r>
        <w:rPr>
          <w:rFonts w:hint="eastAsia" w:ascii="仿宋_GB2312" w:hAnsi="仿宋_GB2312" w:cs="仿宋_GB2312"/>
          <w:highlight w:val="none"/>
        </w:rPr>
        <w:t>电量；</w:t>
      </w:r>
    </w:p>
    <w:p>
      <w:pPr>
        <w:pStyle w:val="9"/>
        <w:spacing w:after="0"/>
        <w:rPr>
          <w:rFonts w:ascii="仿宋_GB2312" w:hAnsi="仿宋_GB2312" w:cs="仿宋_GB2312"/>
          <w:highlight w:val="none"/>
        </w:rPr>
      </w:pPr>
      <w:r>
        <w:rPr>
          <w:rFonts w:hint="eastAsia" w:ascii="仿宋_GB2312" w:hAnsi="仿宋_GB2312" w:cs="仿宋_GB2312"/>
          <w:highlight w:val="none"/>
        </w:rPr>
        <w:t>P</w:t>
      </w:r>
      <w:r>
        <w:rPr>
          <w:rFonts w:hint="eastAsia" w:ascii="仿宋_GB2312" w:hAnsi="仿宋_GB2312" w:cs="仿宋_GB2312"/>
          <w:highlight w:val="none"/>
          <w:vertAlign w:val="subscript"/>
          <w:lang w:val="en-US"/>
        </w:rPr>
        <w:t>实时</w:t>
      </w:r>
      <w:r>
        <w:rPr>
          <w:rFonts w:hint="eastAsia" w:ascii="仿宋_GB2312" w:hAnsi="仿宋_GB2312" w:cs="仿宋_GB2312"/>
          <w:highlight w:val="none"/>
          <w:vertAlign w:val="subscript"/>
          <w:lang w:val="en-US" w:eastAsia="zh-CN"/>
        </w:rPr>
        <w:t>充电</w:t>
      </w:r>
      <w:r>
        <w:rPr>
          <w:rFonts w:hint="eastAsia" w:ascii="仿宋_GB2312" w:hAnsi="仿宋_GB2312" w:cs="仿宋_GB2312"/>
          <w:highlight w:val="none"/>
          <w:vertAlign w:val="subscript"/>
        </w:rPr>
        <w:t xml:space="preserve">,t </w:t>
      </w:r>
      <w:r>
        <w:rPr>
          <w:rFonts w:hint="eastAsia" w:ascii="仿宋_GB2312" w:hAnsi="仿宋_GB2312" w:cs="仿宋_GB2312"/>
          <w:highlight w:val="none"/>
        </w:rPr>
        <w:t>为</w:t>
      </w:r>
      <w:r>
        <w:rPr>
          <w:rFonts w:hint="eastAsia" w:ascii="仿宋_GB2312" w:hAnsi="仿宋_GB2312" w:cs="仿宋_GB2312"/>
          <w:highlight w:val="none"/>
          <w:lang w:val="en-US"/>
        </w:rPr>
        <w:t>储能</w:t>
      </w:r>
      <w:r>
        <w:rPr>
          <w:rFonts w:hint="eastAsia" w:ascii="仿宋_GB2312" w:hAnsi="仿宋_GB2312" w:cs="仿宋_GB2312"/>
          <w:highlight w:val="none"/>
        </w:rPr>
        <w:t>t时段的</w:t>
      </w:r>
      <w:r>
        <w:rPr>
          <w:rFonts w:hint="eastAsia" w:ascii="仿宋_GB2312" w:hAnsi="仿宋_GB2312" w:cs="仿宋_GB2312"/>
          <w:highlight w:val="none"/>
          <w:lang w:val="en-US" w:eastAsia="zh-CN"/>
        </w:rPr>
        <w:t>实时市场</w:t>
      </w:r>
      <w:r>
        <w:rPr>
          <w:rFonts w:hint="eastAsia" w:ascii="仿宋_GB2312" w:hAnsi="仿宋_GB2312" w:cs="仿宋_GB2312"/>
          <w:highlight w:val="none"/>
        </w:rPr>
        <w:t>节点电价。</w:t>
      </w:r>
    </w:p>
    <w:p>
      <w:pPr>
        <w:pStyle w:val="105"/>
        <w:spacing w:before="156" w:after="156"/>
        <w:ind w:firstLine="643"/>
      </w:pPr>
      <w:bookmarkStart w:id="552" w:name="_Toc10170"/>
      <w:bookmarkStart w:id="553" w:name="_Toc28328"/>
      <w:bookmarkStart w:id="554" w:name="_Toc18530"/>
      <w:bookmarkStart w:id="555" w:name="_Toc16777"/>
      <w:bookmarkStart w:id="556" w:name="_Toc10657"/>
      <w:bookmarkStart w:id="557" w:name="_Toc32080"/>
      <w:bookmarkStart w:id="558" w:name="_Toc8649"/>
      <w:bookmarkStart w:id="559" w:name="_Toc3985"/>
      <w:bookmarkStart w:id="560" w:name="_Toc91164000"/>
      <w:bookmarkStart w:id="561" w:name="_Toc25229"/>
      <w:bookmarkStart w:id="562" w:name="_Toc2427"/>
      <w:bookmarkStart w:id="563" w:name="_Toc17113"/>
      <w:bookmarkStart w:id="564" w:name="_Toc29831"/>
      <w:bookmarkStart w:id="565" w:name="_Toc27627"/>
      <w:bookmarkStart w:id="566" w:name="_Toc28006"/>
      <w:bookmarkStart w:id="567" w:name="_Toc14293"/>
      <w:bookmarkStart w:id="568" w:name="_Toc26827"/>
      <w:bookmarkStart w:id="569" w:name="_Toc25446"/>
      <w:bookmarkStart w:id="570" w:name="_Toc29131"/>
      <w:bookmarkStart w:id="571" w:name="_Toc7"/>
      <w:r>
        <w:rPr>
          <w:rFonts w:hint="eastAsia"/>
        </w:rPr>
        <w:t>零售市场结算</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
        <w:rPr>
          <w:rFonts w:hint="eastAsia"/>
        </w:rPr>
        <w:t>零售交易双方应根据签订的零售合同约定零售结算模式进行结算。</w:t>
      </w:r>
    </w:p>
    <w:p>
      <w:r>
        <w:rPr>
          <w:rFonts w:hint="eastAsia"/>
        </w:rPr>
        <w:t>电网企业以月度为周期开展电能量零售结算，根据实际用电量、合同约定的零售结算模式以</w:t>
      </w:r>
      <w:r>
        <w:rPr>
          <w:rFonts w:hint="eastAsia"/>
          <w:lang w:val="en-US" w:eastAsia="zh-CN"/>
        </w:rPr>
        <w:t>及</w:t>
      </w:r>
      <w:r>
        <w:rPr>
          <w:rFonts w:hint="eastAsia"/>
        </w:rPr>
        <w:t>交易机构提供的结算依据计算零售用户电能量电费。</w:t>
      </w:r>
    </w:p>
    <w:p>
      <w:pPr>
        <w:rPr>
          <w:color w:val="auto"/>
          <w:highlight w:val="none"/>
        </w:rPr>
      </w:pPr>
      <w:r>
        <w:rPr>
          <w:rFonts w:hint="eastAsia"/>
          <w:color w:val="auto"/>
          <w:highlight w:val="none"/>
        </w:rPr>
        <w:t>电网企业根据零售用户在零售市场的结算数据，以及上网环节线损费用、输配电价、系统运行费用、政府性基金及附加，</w:t>
      </w:r>
      <w:r>
        <w:rPr>
          <w:rFonts w:hint="eastAsia" w:ascii="仿宋_GB2312" w:hAnsi="仿宋_GB2312" w:eastAsia="仿宋_GB2312" w:cs="仿宋_GB2312"/>
          <w:color w:val="auto"/>
          <w:szCs w:val="32"/>
          <w:highlight w:val="none"/>
        </w:rPr>
        <w:t>分时电价、力调电价按照政府有关规定执行</w:t>
      </w:r>
      <w:r>
        <w:rPr>
          <w:rFonts w:hint="eastAsia" w:cs="仿宋_GB2312"/>
          <w:color w:val="auto"/>
          <w:szCs w:val="32"/>
          <w:highlight w:val="none"/>
        </w:rPr>
        <w:t>，最终</w:t>
      </w:r>
      <w:r>
        <w:rPr>
          <w:rFonts w:hint="eastAsia"/>
          <w:color w:val="auto"/>
          <w:highlight w:val="none"/>
        </w:rPr>
        <w:t>形成零售用户总结算费用。</w:t>
      </w:r>
    </w:p>
    <w:p>
      <w:r>
        <w:rPr>
          <w:rFonts w:hint="eastAsia"/>
        </w:rPr>
        <w:t>电网企业根据交易机构提供的结算依据对售电公司进行批零收支差额电费结算，即售电公司在零售市场中应收取的零售用户电能量电费总额，减去售电公司在批发市场应支付的电能量电费（含各类分摊返还、补偿）。</w:t>
      </w:r>
    </w:p>
    <w:p>
      <w:pPr>
        <w:pStyle w:val="105"/>
        <w:spacing w:before="156" w:after="156"/>
        <w:ind w:firstLine="643"/>
      </w:pPr>
      <w:bookmarkStart w:id="572" w:name="_Toc7667"/>
      <w:bookmarkStart w:id="573" w:name="_Toc11002"/>
      <w:bookmarkStart w:id="574" w:name="_Toc10827"/>
      <w:bookmarkStart w:id="575" w:name="_Toc12477"/>
      <w:bookmarkStart w:id="576" w:name="_Toc24045"/>
      <w:bookmarkStart w:id="577" w:name="_Toc16754"/>
      <w:bookmarkStart w:id="578" w:name="_Toc18575"/>
      <w:bookmarkStart w:id="579" w:name="_Toc14298"/>
      <w:bookmarkStart w:id="580" w:name="_Toc20464"/>
      <w:bookmarkStart w:id="581" w:name="_Toc31886"/>
      <w:bookmarkStart w:id="582" w:name="_Toc1812"/>
      <w:bookmarkStart w:id="583" w:name="_Toc20851"/>
      <w:bookmarkStart w:id="584" w:name="_Toc18646"/>
      <w:bookmarkStart w:id="585" w:name="_Toc3408"/>
      <w:bookmarkStart w:id="586" w:name="_Toc28988"/>
      <w:bookmarkStart w:id="587" w:name="_Toc32114"/>
      <w:r>
        <w:rPr>
          <w:rFonts w:hint="eastAsia"/>
        </w:rPr>
        <w:t>辅助服务市场结算</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
        <w:rPr>
          <w:rFonts w:hint="eastAsia"/>
        </w:rPr>
        <w:t>辅助服务市场相关费用按照《湖南省电力辅助服务市场交易规则》、《华中省间电力调峰及备用辅助服务市场运营规则》、</w:t>
      </w:r>
      <w:r>
        <w:rPr>
          <w:rFonts w:hint="eastAsia"/>
          <w:highlight w:val="none"/>
        </w:rPr>
        <w:t>《华中区域并网发电厂辅助服务管理实施细则》、《华中区域发电厂并网运行管理实施细则》</w:t>
      </w:r>
      <w:r>
        <w:rPr>
          <w:rFonts w:hint="eastAsia"/>
        </w:rPr>
        <w:t>等规则执行。</w:t>
      </w:r>
    </w:p>
    <w:p>
      <w:pPr>
        <w:pStyle w:val="105"/>
        <w:spacing w:before="156" w:after="156"/>
        <w:ind w:firstLine="643"/>
      </w:pPr>
      <w:bookmarkStart w:id="588" w:name="_Toc3405"/>
      <w:bookmarkStart w:id="589" w:name="_Toc15119"/>
      <w:bookmarkStart w:id="590" w:name="_Toc20978"/>
      <w:bookmarkStart w:id="591" w:name="_Toc30458"/>
      <w:bookmarkStart w:id="592" w:name="_Toc20203"/>
      <w:bookmarkStart w:id="593" w:name="_Toc17786"/>
      <w:bookmarkStart w:id="594" w:name="_Toc7486"/>
      <w:bookmarkStart w:id="595" w:name="_Toc18918"/>
      <w:bookmarkStart w:id="596" w:name="_Toc5348"/>
      <w:bookmarkStart w:id="597" w:name="_Toc25645"/>
      <w:bookmarkStart w:id="598" w:name="_Toc19199"/>
      <w:bookmarkStart w:id="599" w:name="_Toc6311"/>
      <w:bookmarkStart w:id="600" w:name="_Toc19790"/>
      <w:bookmarkStart w:id="601" w:name="_Toc5173"/>
      <w:bookmarkStart w:id="602" w:name="_Toc6963"/>
      <w:bookmarkStart w:id="603" w:name="_Toc18275"/>
      <w:bookmarkStart w:id="604" w:name="_Toc32245"/>
      <w:bookmarkStart w:id="605" w:name="_Toc28622"/>
      <w:r>
        <w:rPr>
          <w:rFonts w:hint="eastAsia"/>
        </w:rPr>
        <w:t>市场运营费用</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
        <w:rPr>
          <w:rFonts w:hint="eastAsia"/>
        </w:rPr>
        <w:t>市场运营费用指在现货市场中发用两侧电能量费用之外的费用（不含辅助服务市场费用），包括成本补偿类费用、市场调节类费用、市场不平衡类费用三类。</w:t>
      </w:r>
    </w:p>
    <w:p>
      <w:pPr>
        <w:pStyle w:val="106"/>
        <w:spacing w:before="156" w:after="156"/>
        <w:ind w:firstLine="643"/>
      </w:pPr>
      <w:bookmarkStart w:id="606" w:name="_Toc11686"/>
      <w:bookmarkStart w:id="607" w:name="_Toc3448"/>
      <w:bookmarkStart w:id="608" w:name="_Toc16490"/>
      <w:bookmarkStart w:id="609" w:name="_Toc28600"/>
      <w:bookmarkStart w:id="610" w:name="_Toc18187"/>
      <w:bookmarkStart w:id="611" w:name="_Toc1469"/>
      <w:bookmarkStart w:id="612" w:name="_Toc5915"/>
      <w:bookmarkStart w:id="613" w:name="_Toc19004"/>
      <w:bookmarkStart w:id="614" w:name="_Toc30155"/>
      <w:bookmarkStart w:id="615" w:name="_Toc27943"/>
      <w:bookmarkStart w:id="616" w:name="_Toc19120"/>
      <w:bookmarkStart w:id="617" w:name="_Toc110914535"/>
      <w:r>
        <w:rPr>
          <w:rFonts w:hint="eastAsia"/>
        </w:rPr>
        <w:t>成本补偿类费用</w:t>
      </w:r>
      <w:bookmarkEnd w:id="606"/>
      <w:bookmarkEnd w:id="607"/>
      <w:bookmarkEnd w:id="608"/>
      <w:bookmarkEnd w:id="609"/>
      <w:bookmarkEnd w:id="610"/>
      <w:bookmarkEnd w:id="611"/>
      <w:bookmarkEnd w:id="612"/>
      <w:bookmarkEnd w:id="613"/>
      <w:bookmarkEnd w:id="614"/>
      <w:bookmarkEnd w:id="615"/>
      <w:bookmarkEnd w:id="616"/>
      <w:bookmarkEnd w:id="617"/>
    </w:p>
    <w:p>
      <w:bookmarkStart w:id="618" w:name="_Toc25333"/>
      <w:bookmarkStart w:id="619" w:name="_Toc9999"/>
      <w:r>
        <w:rPr>
          <w:rFonts w:hint="eastAsia"/>
        </w:rPr>
        <w:t>现货市场运行初期，成本补偿类费用包括机组启动补偿费用、必开机组运行补偿费用</w:t>
      </w:r>
      <w:r>
        <w:rPr>
          <w:rFonts w:hint="eastAsia"/>
          <w:lang w:val="en-US" w:eastAsia="zh-CN"/>
        </w:rPr>
        <w:t>以及独立储能补偿费用</w:t>
      </w:r>
      <w:r>
        <w:rPr>
          <w:rFonts w:hint="eastAsia"/>
        </w:rPr>
        <w:t>。</w:t>
      </w:r>
      <w:bookmarkEnd w:id="618"/>
      <w:bookmarkEnd w:id="619"/>
    </w:p>
    <w:p>
      <w:pPr>
        <w:pStyle w:val="107"/>
        <w:spacing w:before="156" w:after="156"/>
        <w:ind w:left="0" w:firstLine="643"/>
      </w:pPr>
      <w:bookmarkStart w:id="620" w:name="_Toc31742"/>
      <w:bookmarkStart w:id="621" w:name="_Toc23556"/>
      <w:bookmarkStart w:id="622" w:name="_Toc19957"/>
      <w:bookmarkStart w:id="623" w:name="_Toc9805"/>
      <w:bookmarkStart w:id="624" w:name="_Toc110914536"/>
      <w:bookmarkStart w:id="625" w:name="_Toc11779"/>
      <w:bookmarkStart w:id="626" w:name="_Toc10784"/>
      <w:r>
        <w:rPr>
          <w:rFonts w:hint="eastAsia"/>
        </w:rPr>
        <w:t>启动补偿费用</w:t>
      </w:r>
      <w:bookmarkEnd w:id="620"/>
      <w:bookmarkEnd w:id="621"/>
      <w:bookmarkEnd w:id="622"/>
      <w:bookmarkEnd w:id="623"/>
      <w:bookmarkEnd w:id="624"/>
      <w:bookmarkEnd w:id="625"/>
      <w:bookmarkEnd w:id="626"/>
    </w:p>
    <w:p>
      <w:pPr>
        <w:pStyle w:val="9"/>
        <w:spacing w:after="0"/>
        <w:rPr>
          <w:rFonts w:ascii="仿宋_GB2312" w:hAnsi="仿宋_GB2312" w:cs="仿宋_GB2312"/>
          <w:lang w:val="en-US"/>
        </w:rPr>
      </w:pPr>
      <w:r>
        <w:rPr>
          <w:rFonts w:hint="eastAsia"/>
        </w:rPr>
        <w:t>启动补偿费用是指对按照日前现货市场出清结果提供启动服务的机组，按照启动报价进行的补偿。</w:t>
      </w:r>
    </w:p>
    <w:p>
      <w:pPr>
        <w:pStyle w:val="9"/>
        <w:spacing w:after="0"/>
        <w:rPr>
          <w:rFonts w:ascii="仿宋_GB2312" w:hAnsi="仿宋_GB2312" w:cs="仿宋_GB2312"/>
          <w:lang w:val="en-US"/>
        </w:rPr>
      </w:pPr>
      <w:r>
        <w:rPr>
          <w:rFonts w:hint="eastAsia" w:ascii="仿宋_GB2312" w:hAnsi="仿宋_GB2312" w:cs="仿宋_GB2312"/>
          <w:lang w:val="en-US"/>
        </w:rPr>
        <w:t>（1）</w:t>
      </w:r>
      <w:r>
        <w:rPr>
          <w:rFonts w:hint="eastAsia" w:ascii="仿宋_GB2312" w:hAnsi="仿宋_GB2312" w:cs="仿宋_GB2312"/>
        </w:rPr>
        <w:t>计算</w:t>
      </w:r>
      <w:r>
        <w:rPr>
          <w:rFonts w:hint="eastAsia" w:ascii="仿宋_GB2312" w:hAnsi="仿宋_GB2312" w:cs="仿宋_GB2312"/>
          <w:lang w:val="en-US"/>
        </w:rPr>
        <w:t>公式</w:t>
      </w:r>
    </w:p>
    <w:p>
      <w:pPr>
        <w:pStyle w:val="9"/>
        <w:spacing w:after="0"/>
        <w:rPr>
          <w:rFonts w:ascii="仿宋_GB2312" w:hAnsi="仿宋_GB2312" w:cs="仿宋_GB2312"/>
        </w:rPr>
      </w:pPr>
      <w:r>
        <w:rPr>
          <w:rFonts w:hint="eastAsia" w:ascii="仿宋_GB2312" w:hAnsi="仿宋_GB2312" w:cs="仿宋_GB2312"/>
        </w:rPr>
        <w:t>根据</w:t>
      </w:r>
      <w:r>
        <w:rPr>
          <w:rFonts w:hint="eastAsia" w:ascii="仿宋_GB2312" w:hAnsi="仿宋_GB2312" w:cs="仿宋_GB2312"/>
          <w:lang w:val="en-US"/>
        </w:rPr>
        <w:t>燃煤</w:t>
      </w:r>
      <w:r>
        <w:rPr>
          <w:rFonts w:hint="eastAsia" w:ascii="仿宋_GB2312" w:hAnsi="仿宋_GB2312" w:cs="仿宋_GB2312"/>
        </w:rPr>
        <w:t>机组</w:t>
      </w:r>
      <w:r>
        <w:rPr>
          <w:rFonts w:hint="eastAsia" w:ascii="仿宋_GB2312" w:hAnsi="仿宋_GB2312" w:cs="仿宋_GB2312"/>
          <w:lang w:val="en-US"/>
        </w:rPr>
        <w:t>状态（</w:t>
      </w:r>
      <w:r>
        <w:rPr>
          <w:rFonts w:hint="eastAsia" w:ascii="仿宋_GB2312" w:hAnsi="仿宋_GB2312" w:cs="仿宋_GB2312"/>
        </w:rPr>
        <w:t>冷、温、热</w:t>
      </w:r>
      <w:r>
        <w:rPr>
          <w:rFonts w:hint="eastAsia" w:ascii="仿宋_GB2312" w:hAnsi="仿宋_GB2312" w:cs="仿宋_GB2312"/>
          <w:lang w:val="en-US"/>
        </w:rPr>
        <w:t>态）</w:t>
      </w:r>
      <w:r>
        <w:rPr>
          <w:rFonts w:hint="eastAsia" w:ascii="仿宋_GB2312" w:hAnsi="仿宋_GB2312" w:cs="仿宋_GB2312"/>
        </w:rPr>
        <w:t>计算其</w:t>
      </w:r>
      <w:r>
        <w:rPr>
          <w:rFonts w:hint="eastAsia" w:ascii="仿宋_GB2312" w:hAnsi="仿宋_GB2312" w:cs="仿宋_GB2312"/>
          <w:lang w:val="en-US"/>
        </w:rPr>
        <w:t>启动</w:t>
      </w:r>
      <w:r>
        <w:rPr>
          <w:rFonts w:hint="eastAsia" w:ascii="仿宋_GB2312" w:hAnsi="仿宋_GB2312" w:cs="仿宋_GB2312"/>
        </w:rPr>
        <w:t>补偿费用，公式为：</w:t>
      </w:r>
    </w:p>
    <w:p>
      <w:pPr>
        <w:pStyle w:val="9"/>
        <w:spacing w:after="0"/>
        <w:jc w:val="center"/>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启动补偿,i</w:t>
      </w:r>
      <w:r>
        <w:rPr>
          <w:rFonts w:hint="eastAsia" w:ascii="仿宋_GB2312" w:hAnsi="仿宋_GB2312" w:cs="仿宋_GB2312"/>
        </w:rPr>
        <w:t>=Σ(P</w:t>
      </w:r>
      <w:r>
        <w:rPr>
          <w:rFonts w:hint="eastAsia" w:ascii="仿宋_GB2312" w:hAnsi="仿宋_GB2312" w:cs="仿宋_GB2312"/>
          <w:vertAlign w:val="subscript"/>
        </w:rPr>
        <w:t>启动,i</w:t>
      </w:r>
      <w:r>
        <w:rPr>
          <w:rFonts w:hint="eastAsia" w:ascii="仿宋_GB2312" w:hAnsi="仿宋_GB2312" w:cs="仿宋_GB2312"/>
        </w:rPr>
        <w:t>×N</w:t>
      </w:r>
      <w:r>
        <w:rPr>
          <w:rFonts w:hint="eastAsia" w:ascii="仿宋_GB2312" w:hAnsi="仿宋_GB2312" w:cs="仿宋_GB2312"/>
          <w:vertAlign w:val="subscript"/>
        </w:rPr>
        <w:t>启动,i</w:t>
      </w:r>
      <w:r>
        <w:rPr>
          <w:rFonts w:hint="eastAsia" w:ascii="仿宋_GB2312" w:hAnsi="仿宋_GB2312" w:cs="仿宋_GB2312"/>
        </w:rPr>
        <w:t>)</w:t>
      </w:r>
    </w:p>
    <w:p>
      <w:pPr>
        <w:pStyle w:val="9"/>
        <w:spacing w:after="0"/>
        <w:jc w:val="left"/>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rPr>
        <w:t>启动补偿,i</w:t>
      </w:r>
      <w:r>
        <w:rPr>
          <w:rFonts w:hint="eastAsia" w:ascii="仿宋_GB2312" w:hAnsi="仿宋_GB2312" w:cs="仿宋_GB2312"/>
        </w:rPr>
        <w:t>为</w:t>
      </w:r>
      <w:r>
        <w:rPr>
          <w:rFonts w:hint="eastAsia" w:ascii="仿宋_GB2312" w:hAnsi="仿宋_GB2312" w:cs="仿宋_GB2312"/>
          <w:lang w:val="en-US"/>
        </w:rPr>
        <w:t>燃煤</w:t>
      </w:r>
      <w:r>
        <w:rPr>
          <w:rFonts w:hint="eastAsia" w:ascii="仿宋_GB2312" w:hAnsi="仿宋_GB2312" w:cs="仿宋_GB2312"/>
        </w:rPr>
        <w:t>机组i的总启动补偿费用；</w:t>
      </w:r>
    </w:p>
    <w:p>
      <w:pPr>
        <w:pStyle w:val="9"/>
        <w:spacing w:after="0"/>
        <w:rPr>
          <w:rFonts w:ascii="仿宋_GB2312" w:hAnsi="仿宋_GB2312" w:cs="仿宋_GB2312"/>
        </w:rPr>
      </w:pPr>
      <w:r>
        <w:rPr>
          <w:rFonts w:hint="eastAsia" w:ascii="仿宋_GB2312" w:hAnsi="仿宋_GB2312" w:cs="仿宋_GB2312"/>
        </w:rPr>
        <w:t>P</w:t>
      </w:r>
      <w:r>
        <w:rPr>
          <w:rFonts w:hint="eastAsia" w:ascii="仿宋_GB2312" w:hAnsi="仿宋_GB2312" w:cs="仿宋_GB2312"/>
          <w:vertAlign w:val="subscript"/>
        </w:rPr>
        <w:t>启动,i</w:t>
      </w:r>
      <w:r>
        <w:rPr>
          <w:rFonts w:hint="eastAsia" w:ascii="仿宋_GB2312" w:hAnsi="仿宋_GB2312" w:cs="仿宋_GB2312"/>
        </w:rPr>
        <w:t>为</w:t>
      </w:r>
      <w:r>
        <w:rPr>
          <w:rFonts w:hint="eastAsia" w:ascii="仿宋_GB2312" w:hAnsi="仿宋_GB2312" w:cs="仿宋_GB2312"/>
          <w:lang w:val="en-US"/>
        </w:rPr>
        <w:t>燃煤</w:t>
      </w:r>
      <w:r>
        <w:rPr>
          <w:rFonts w:hint="eastAsia" w:ascii="仿宋_GB2312" w:hAnsi="仿宋_GB2312" w:cs="仿宋_GB2312"/>
        </w:rPr>
        <w:t>机组i的单次（冷、温、热三态之一）的启动成本。</w:t>
      </w:r>
      <w:r>
        <w:rPr>
          <w:rFonts w:hint="eastAsia" w:ascii="仿宋_GB2312" w:hAnsi="仿宋_GB2312" w:cs="仿宋_GB2312"/>
          <w:lang w:val="en-US"/>
        </w:rPr>
        <w:t>由具备合格检测资质的第三方检测机构核定机组单次启动耗煤量、耗油量、厂用电量等情况，计算机组各状态下启动成本上、下限值，发电企业在该限值范围内自主申报启动成本</w:t>
      </w:r>
      <w:r>
        <w:rPr>
          <w:rFonts w:hint="eastAsia" w:ascii="仿宋_GB2312" w:hAnsi="仿宋_GB2312" w:cs="仿宋_GB2312"/>
        </w:rPr>
        <w:t>；</w:t>
      </w:r>
    </w:p>
    <w:p>
      <w:pPr>
        <w:pStyle w:val="9"/>
        <w:spacing w:after="0"/>
        <w:rPr>
          <w:rFonts w:ascii="仿宋_GB2312" w:hAnsi="仿宋_GB2312" w:cs="仿宋_GB2312"/>
        </w:rPr>
      </w:pPr>
      <w:r>
        <w:rPr>
          <w:rFonts w:hint="eastAsia" w:ascii="仿宋_GB2312" w:hAnsi="仿宋_GB2312" w:cs="仿宋_GB2312"/>
        </w:rPr>
        <w:t>N</w:t>
      </w:r>
      <w:r>
        <w:rPr>
          <w:rFonts w:hint="eastAsia" w:ascii="仿宋_GB2312" w:hAnsi="仿宋_GB2312" w:cs="仿宋_GB2312"/>
          <w:vertAlign w:val="subscript"/>
        </w:rPr>
        <w:t>启动,i</w:t>
      </w:r>
      <w:r>
        <w:rPr>
          <w:rFonts w:hint="eastAsia" w:ascii="仿宋_GB2312" w:hAnsi="仿宋_GB2312" w:cs="仿宋_GB2312"/>
        </w:rPr>
        <w:t>为</w:t>
      </w:r>
      <w:r>
        <w:rPr>
          <w:rFonts w:hint="eastAsia" w:ascii="仿宋_GB2312" w:hAnsi="仿宋_GB2312" w:cs="仿宋_GB2312"/>
          <w:lang w:val="en-US"/>
        </w:rPr>
        <w:t>燃煤</w:t>
      </w:r>
      <w:r>
        <w:rPr>
          <w:rFonts w:hint="eastAsia" w:ascii="仿宋_GB2312" w:hAnsi="仿宋_GB2312" w:cs="仿宋_GB2312"/>
        </w:rPr>
        <w:t>机组i的总启停次数。</w:t>
      </w:r>
    </w:p>
    <w:p>
      <w:pPr>
        <w:pStyle w:val="29"/>
        <w:tabs>
          <w:tab w:val="left" w:pos="567"/>
          <w:tab w:val="left" w:pos="1417"/>
          <w:tab w:val="left" w:pos="2127"/>
          <w:tab w:val="left" w:pos="4395"/>
          <w:tab w:val="clear" w:pos="1986"/>
        </w:tabs>
        <w:rPr>
          <w:rFonts w:ascii="仿宋_GB2312" w:hAnsi="仿宋_GB2312" w:eastAsia="仿宋_GB2312" w:cs="仿宋_GB2312"/>
        </w:rPr>
      </w:pPr>
      <w:r>
        <w:rPr>
          <w:rFonts w:hint="eastAsia" w:ascii="仿宋_GB2312" w:hAnsi="仿宋_GB2312" w:eastAsia="仿宋_GB2312" w:cs="仿宋_GB2312"/>
        </w:rPr>
        <w:t>（2）分摊办法</w:t>
      </w:r>
    </w:p>
    <w:p>
      <w:pPr>
        <w:pStyle w:val="29"/>
        <w:tabs>
          <w:tab w:val="left" w:pos="567"/>
          <w:tab w:val="left" w:pos="1417"/>
          <w:tab w:val="left" w:pos="2127"/>
          <w:tab w:val="left" w:pos="4395"/>
          <w:tab w:val="clear" w:pos="1986"/>
        </w:tabs>
        <w:rPr>
          <w:rFonts w:ascii="仿宋_GB2312" w:hAnsi="仿宋_GB2312" w:eastAsia="仿宋_GB2312" w:cs="仿宋_GB2312"/>
        </w:rPr>
      </w:pPr>
      <w:r>
        <w:rPr>
          <w:rFonts w:hint="eastAsia" w:ascii="仿宋_GB2312" w:hAnsi="仿宋_GB2312" w:eastAsia="仿宋_GB2312" w:cs="仿宋_GB2312"/>
        </w:rPr>
        <w:t>燃煤机组启动补偿费用由所有工商业用户进行分摊。</w:t>
      </w:r>
    </w:p>
    <w:p>
      <w:pPr>
        <w:pStyle w:val="107"/>
        <w:spacing w:before="156" w:after="156"/>
        <w:ind w:left="0" w:firstLine="643"/>
      </w:pPr>
      <w:bookmarkStart w:id="627" w:name="_Toc11245"/>
      <w:bookmarkStart w:id="628" w:name="_Toc13952"/>
      <w:bookmarkStart w:id="629" w:name="_Toc21380"/>
      <w:bookmarkStart w:id="630" w:name="_Toc7405"/>
      <w:bookmarkStart w:id="631" w:name="_Toc110914537"/>
      <w:bookmarkStart w:id="632" w:name="_Toc23487"/>
      <w:bookmarkStart w:id="633" w:name="_Toc4630"/>
      <w:bookmarkStart w:id="634" w:name="_Toc674"/>
      <w:bookmarkStart w:id="635" w:name="_Toc2682"/>
      <w:bookmarkStart w:id="636" w:name="_Toc19402"/>
      <w:bookmarkStart w:id="637" w:name="_Toc21589"/>
      <w:r>
        <w:rPr>
          <w:rFonts w:hint="eastAsia"/>
        </w:rPr>
        <w:t>必开机组运行补偿</w:t>
      </w:r>
      <w:bookmarkEnd w:id="627"/>
      <w:bookmarkEnd w:id="628"/>
      <w:bookmarkEnd w:id="629"/>
      <w:bookmarkEnd w:id="630"/>
      <w:r>
        <w:rPr>
          <w:rFonts w:hint="eastAsia"/>
        </w:rPr>
        <w:t>费用</w:t>
      </w:r>
      <w:bookmarkEnd w:id="631"/>
      <w:bookmarkEnd w:id="632"/>
      <w:bookmarkEnd w:id="633"/>
      <w:bookmarkEnd w:id="634"/>
      <w:bookmarkEnd w:id="635"/>
      <w:bookmarkEnd w:id="636"/>
      <w:bookmarkEnd w:id="637"/>
    </w:p>
    <w:p>
      <w:pPr>
        <w:pStyle w:val="29"/>
        <w:numPr>
          <w:ilvl w:val="255"/>
          <w:numId w:val="0"/>
        </w:numPr>
        <w:tabs>
          <w:tab w:val="left" w:pos="567"/>
          <w:tab w:val="left" w:pos="1417"/>
          <w:tab w:val="left" w:pos="2127"/>
          <w:tab w:val="left" w:pos="4395"/>
          <w:tab w:val="clear" w:pos="1986"/>
        </w:tabs>
        <w:ind w:firstLine="640" w:firstLineChars="200"/>
        <w:textAlignment w:val="center"/>
        <w:rPr>
          <w:rFonts w:hint="default" w:eastAsia="仿宋"/>
          <w:lang w:val="en-US" w:eastAsia="zh-CN"/>
        </w:rPr>
      </w:pPr>
      <w:r>
        <w:rPr>
          <w:rFonts w:hint="eastAsia"/>
        </w:rPr>
        <w:t>必开机组运行补偿费用是指</w:t>
      </w:r>
      <w:r>
        <w:rPr>
          <w:rFonts w:hint="eastAsia"/>
          <w:lang w:val="en-US" w:eastAsia="zh-CN"/>
        </w:rPr>
        <w:t>交易时段内若必开机组日前出清电力小于等于最小必开出力，且该时段日前节点电价低于其成本电价时，对该时段日前现货正偏差电量进行的补偿。</w:t>
      </w:r>
    </w:p>
    <w:p>
      <w:pPr>
        <w:pStyle w:val="29"/>
        <w:numPr>
          <w:ilvl w:val="0"/>
          <w:numId w:val="5"/>
        </w:numPr>
        <w:tabs>
          <w:tab w:val="left" w:pos="567"/>
          <w:tab w:val="left" w:pos="1417"/>
          <w:tab w:val="left" w:pos="2127"/>
          <w:tab w:val="left" w:pos="4395"/>
          <w:tab w:val="clear" w:pos="1986"/>
        </w:tabs>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计算公式</w:t>
      </w:r>
    </w:p>
    <w:p>
      <w:pPr>
        <w:pStyle w:val="9"/>
        <w:spacing w:after="0"/>
        <w:ind w:firstLine="640" w:firstLineChars="200"/>
        <w:jc w:val="both"/>
        <w:rPr>
          <w:rFonts w:hint="default" w:ascii="仿宋_GB2312" w:hAnsi="仿宋_GB2312" w:cs="仿宋_GB2312"/>
          <w:vertAlign w:val="baseline"/>
          <w:lang w:val="en-US" w:eastAsia="zh-CN"/>
        </w:rPr>
      </w:pPr>
      <w:r>
        <w:rPr>
          <w:rFonts w:hint="eastAsia" w:ascii="仿宋_GB2312" w:hAnsi="仿宋_GB2312" w:cs="仿宋_GB2312"/>
          <w:vertAlign w:val="baseline"/>
          <w:lang w:val="en-US" w:eastAsia="zh-CN"/>
        </w:rPr>
        <w:t>当</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日前</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必开</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日前</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中长期</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且</w:t>
      </w:r>
      <w:r>
        <w:rPr>
          <w:rFonts w:hint="eastAsia" w:ascii="仿宋_GB2312" w:hAnsi="仿宋_GB2312" w:eastAsia="仿宋_GB2312" w:cs="仿宋_GB2312"/>
          <w:lang w:val="en-US" w:eastAsia="zh-CN"/>
        </w:rPr>
        <w:t>C</w:t>
      </w:r>
      <w:r>
        <w:rPr>
          <w:rFonts w:hint="eastAsia" w:ascii="仿宋_GB2312" w:hAnsi="仿宋_GB2312" w:eastAsia="仿宋_GB2312" w:cs="仿宋_GB2312"/>
          <w:vertAlign w:val="subscript"/>
          <w:lang w:val="en-US" w:eastAsia="zh-CN"/>
        </w:rPr>
        <w:t>核定成本,i</w:t>
      </w:r>
      <w:r>
        <w:rPr>
          <w:rFonts w:hint="eastAsia" w:ascii="仿宋_GB2312" w:hAnsi="仿宋_GB2312" w:cs="仿宋_GB2312"/>
          <w:vertAlign w:val="baseline"/>
          <w:lang w:val="en-US" w:eastAsia="zh-CN"/>
        </w:rPr>
        <w:t>＞P</w:t>
      </w:r>
      <w:r>
        <w:rPr>
          <w:rFonts w:hint="eastAsia" w:ascii="仿宋_GB2312" w:hAnsi="仿宋_GB2312" w:cs="仿宋_GB2312"/>
          <w:vertAlign w:val="subscript"/>
          <w:lang w:val="en-US" w:eastAsia="zh-CN"/>
        </w:rPr>
        <w:t>日前,i,t</w:t>
      </w:r>
      <w:r>
        <w:rPr>
          <w:rFonts w:hint="eastAsia" w:ascii="仿宋_GB2312" w:hAnsi="仿宋_GB2312" w:cs="仿宋_GB2312"/>
          <w:vertAlign w:val="baseline"/>
          <w:lang w:val="en-US" w:eastAsia="zh-CN"/>
        </w:rPr>
        <w:t>时，该时段予以补偿，其余时段均不予以补偿。</w:t>
      </w:r>
    </w:p>
    <w:p>
      <w:pPr>
        <w:pStyle w:val="9"/>
        <w:spacing w:after="0"/>
        <w:ind w:firstLine="0" w:firstLineChars="0"/>
        <w:jc w:val="center"/>
        <w:rPr>
          <w:rFonts w:hint="default" w:ascii="仿宋_GB2312" w:hAnsi="仿宋_GB2312" w:eastAsia="仿宋_GB2312" w:cs="仿宋_GB2312"/>
          <w:vertAlign w:val="baseline"/>
          <w:lang w:val="en-US" w:eastAsia="zh-CN"/>
        </w:rPr>
      </w:pPr>
      <w:r>
        <w:rPr>
          <w:rFonts w:hint="eastAsia" w:ascii="仿宋_GB2312" w:hAnsi="仿宋_GB2312" w:cs="仿宋_GB2312"/>
        </w:rPr>
        <w:t>R</w:t>
      </w:r>
      <w:r>
        <w:rPr>
          <w:rFonts w:hint="eastAsia" w:ascii="仿宋_GB2312" w:hAnsi="仿宋_GB2312" w:cs="仿宋_GB2312"/>
          <w:vertAlign w:val="subscript"/>
          <w:lang w:val="en-US" w:eastAsia="zh-CN"/>
        </w:rPr>
        <w:t>必开机组运行补偿费用</w:t>
      </w:r>
      <w:r>
        <w:rPr>
          <w:rFonts w:hint="eastAsia" w:ascii="仿宋_GB2312" w:hAnsi="仿宋_GB2312" w:cs="仿宋_GB2312"/>
          <w:vertAlign w:val="subscript"/>
        </w:rPr>
        <w:t>,i</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Σ</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日前</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中长期</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C</w:t>
      </w:r>
      <w:r>
        <w:rPr>
          <w:rFonts w:hint="eastAsia" w:ascii="仿宋_GB2312" w:hAnsi="仿宋_GB2312" w:eastAsia="仿宋_GB2312" w:cs="仿宋_GB2312"/>
          <w:vertAlign w:val="subscript"/>
          <w:lang w:val="en-US" w:eastAsia="zh-CN"/>
        </w:rPr>
        <w:t>核定成本,i</w:t>
      </w:r>
      <w:r>
        <w:rPr>
          <w:rFonts w:hint="eastAsia" w:ascii="仿宋_GB2312" w:hAnsi="仿宋_GB2312" w:cs="仿宋_GB2312"/>
          <w:vertAlign w:val="baseline"/>
          <w:lang w:val="en-US" w:eastAsia="zh-CN"/>
        </w:rPr>
        <w:t>-P</w:t>
      </w:r>
      <w:r>
        <w:rPr>
          <w:rFonts w:hint="eastAsia" w:ascii="仿宋_GB2312" w:hAnsi="仿宋_GB2312" w:cs="仿宋_GB2312"/>
          <w:vertAlign w:val="subscript"/>
          <w:lang w:val="en-US" w:eastAsia="zh-CN"/>
        </w:rPr>
        <w:t>日前,i,t</w:t>
      </w:r>
      <w:r>
        <w:rPr>
          <w:rFonts w:hint="eastAsia" w:ascii="仿宋_GB2312" w:hAnsi="仿宋_GB2312" w:cs="仿宋_GB2312"/>
          <w:lang w:val="en-US" w:eastAsia="zh-CN"/>
        </w:rPr>
        <w:t>）]</w:t>
      </w:r>
    </w:p>
    <w:p>
      <w:pPr>
        <w:pStyle w:val="9"/>
        <w:tabs>
          <w:tab w:val="left" w:pos="614"/>
        </w:tabs>
        <w:spacing w:after="0"/>
        <w:jc w:val="left"/>
        <w:rPr>
          <w:rFonts w:hint="eastAsia" w:ascii="仿宋_GB2312" w:hAnsi="仿宋_GB2312" w:eastAsia="仿宋_GB2312" w:cs="仿宋_GB2312"/>
          <w:lang w:eastAsia="zh-CN"/>
        </w:rPr>
      </w:pPr>
      <w:r>
        <w:rPr>
          <w:rFonts w:hint="eastAsia" w:ascii="仿宋_GB2312" w:hAnsi="仿宋_GB2312" w:cs="仿宋_GB2312"/>
        </w:rPr>
        <w:t>其中</w:t>
      </w:r>
      <w:r>
        <w:rPr>
          <w:rFonts w:hint="eastAsia" w:ascii="仿宋_GB2312" w:hAnsi="仿宋_GB2312" w:cs="仿宋_GB2312"/>
          <w:lang w:eastAsia="zh-CN"/>
        </w:rPr>
        <w:t>，</w:t>
      </w:r>
    </w:p>
    <w:p>
      <w:pPr>
        <w:pStyle w:val="9"/>
        <w:spacing w:after="0"/>
        <w:jc w:val="left"/>
        <w:rPr>
          <w:rFonts w:ascii="仿宋_GB2312" w:hAnsi="仿宋_GB2312" w:cs="仿宋_GB2312"/>
        </w:rPr>
      </w:pPr>
      <w:r>
        <w:rPr>
          <w:rFonts w:hint="eastAsia" w:ascii="仿宋_GB2312" w:hAnsi="仿宋_GB2312" w:cs="仿宋_GB2312"/>
        </w:rPr>
        <w:t>R</w:t>
      </w:r>
      <w:r>
        <w:rPr>
          <w:rFonts w:hint="eastAsia" w:ascii="仿宋_GB2312" w:hAnsi="仿宋_GB2312" w:cs="仿宋_GB2312"/>
          <w:vertAlign w:val="subscript"/>
          <w:lang w:val="en-US" w:eastAsia="zh-CN"/>
        </w:rPr>
        <w:t>必开机组运行补偿费用</w:t>
      </w:r>
      <w:r>
        <w:rPr>
          <w:rFonts w:hint="eastAsia" w:ascii="仿宋_GB2312" w:hAnsi="仿宋_GB2312" w:cs="仿宋_GB2312"/>
          <w:vertAlign w:val="subscript"/>
        </w:rPr>
        <w:t>,i</w:t>
      </w:r>
      <w:r>
        <w:rPr>
          <w:rFonts w:hint="eastAsia" w:ascii="仿宋_GB2312" w:hAnsi="仿宋_GB2312" w:cs="仿宋_GB2312"/>
          <w:lang w:val="en-US"/>
        </w:rPr>
        <w:t>为必开机组i运行日当天的补偿费用；</w:t>
      </w:r>
    </w:p>
    <w:p>
      <w:pPr>
        <w:pStyle w:val="9"/>
        <w:spacing w:after="0"/>
        <w:rPr>
          <w:rFonts w:hint="eastAsia" w:ascii="仿宋_GB2312" w:hAnsi="仿宋_GB2312" w:cs="仿宋_GB2312"/>
          <w:highlight w:val="none"/>
          <w:lang w:val="en-US" w:eastAsia="zh-CN"/>
        </w:rPr>
      </w:pPr>
      <w:r>
        <w:rPr>
          <w:rFonts w:hint="eastAsia" w:ascii="仿宋_GB2312" w:hAnsi="仿宋_GB2312" w:eastAsia="仿宋_GB2312" w:cs="仿宋_GB2312"/>
          <w:highlight w:val="none"/>
          <w:lang w:val="en-US" w:eastAsia="zh-CN"/>
        </w:rPr>
        <w:t>Q</w:t>
      </w:r>
      <w:r>
        <w:rPr>
          <w:rFonts w:hint="eastAsia" w:ascii="仿宋_GB2312" w:hAnsi="仿宋_GB2312" w:cs="仿宋_GB2312"/>
          <w:highlight w:val="none"/>
          <w:vertAlign w:val="subscript"/>
          <w:lang w:val="en-US" w:eastAsia="zh-CN"/>
        </w:rPr>
        <w:t>日前</w:t>
      </w:r>
      <w:r>
        <w:rPr>
          <w:rFonts w:hint="eastAsia" w:ascii="仿宋_GB2312" w:hAnsi="仿宋_GB2312" w:eastAsia="仿宋_GB2312" w:cs="仿宋_GB2312"/>
          <w:highlight w:val="none"/>
          <w:vertAlign w:val="subscript"/>
          <w:lang w:val="en-US" w:eastAsia="zh-CN"/>
        </w:rPr>
        <w:t>,i,t</w:t>
      </w:r>
      <w:r>
        <w:rPr>
          <w:rFonts w:hint="eastAsia" w:ascii="仿宋_GB2312" w:hAnsi="仿宋_GB2312" w:cs="仿宋_GB2312"/>
          <w:highlight w:val="none"/>
          <w:vertAlign w:val="baseline"/>
          <w:lang w:val="en-US" w:eastAsia="zh-CN"/>
        </w:rPr>
        <w:t>为</w:t>
      </w:r>
      <w:r>
        <w:rPr>
          <w:rFonts w:hint="eastAsia" w:ascii="仿宋_GB2312" w:hAnsi="仿宋_GB2312" w:cs="仿宋_GB2312"/>
          <w:highlight w:val="none"/>
          <w:lang w:val="en-US"/>
        </w:rPr>
        <w:t>必开机组i</w:t>
      </w:r>
      <w:r>
        <w:rPr>
          <w:rFonts w:hint="eastAsia" w:ascii="仿宋_GB2312" w:hAnsi="仿宋_GB2312" w:cs="仿宋_GB2312"/>
          <w:highlight w:val="none"/>
          <w:lang w:val="en-US" w:eastAsia="zh-CN"/>
        </w:rPr>
        <w:t>在t时段的日前出清电量；</w:t>
      </w:r>
    </w:p>
    <w:p>
      <w:pPr>
        <w:pStyle w:val="9"/>
        <w:spacing w:after="0"/>
        <w:rPr>
          <w:rFonts w:hint="default" w:ascii="仿宋_GB2312" w:hAnsi="仿宋_GB2312" w:cs="仿宋_GB2312"/>
          <w:highlight w:val="none"/>
          <w:lang w:val="en-US" w:eastAsia="zh-CN"/>
        </w:rPr>
      </w:pPr>
      <w:r>
        <w:rPr>
          <w:rFonts w:hint="eastAsia" w:ascii="仿宋_GB2312" w:hAnsi="仿宋_GB2312" w:eastAsia="仿宋_GB2312" w:cs="仿宋_GB2312"/>
          <w:highlight w:val="none"/>
          <w:lang w:val="en-US" w:eastAsia="zh-CN"/>
        </w:rPr>
        <w:t>Q</w:t>
      </w:r>
      <w:r>
        <w:rPr>
          <w:rFonts w:hint="eastAsia" w:ascii="仿宋_GB2312" w:hAnsi="仿宋_GB2312" w:cs="仿宋_GB2312"/>
          <w:highlight w:val="none"/>
          <w:vertAlign w:val="subscript"/>
          <w:lang w:val="en-US" w:eastAsia="zh-CN"/>
        </w:rPr>
        <w:t>必开</w:t>
      </w:r>
      <w:r>
        <w:rPr>
          <w:rFonts w:hint="eastAsia" w:ascii="仿宋_GB2312" w:hAnsi="仿宋_GB2312" w:eastAsia="仿宋_GB2312" w:cs="仿宋_GB2312"/>
          <w:highlight w:val="none"/>
          <w:vertAlign w:val="subscript"/>
          <w:lang w:val="en-US" w:eastAsia="zh-CN"/>
        </w:rPr>
        <w:t>,i,t</w:t>
      </w:r>
      <w:r>
        <w:rPr>
          <w:rFonts w:hint="eastAsia" w:ascii="仿宋_GB2312" w:hAnsi="仿宋_GB2312" w:cs="仿宋_GB2312"/>
          <w:highlight w:val="none"/>
          <w:vertAlign w:val="baseline"/>
          <w:lang w:val="en-US" w:eastAsia="zh-CN"/>
        </w:rPr>
        <w:t>为</w:t>
      </w:r>
      <w:r>
        <w:rPr>
          <w:rFonts w:hint="eastAsia" w:ascii="仿宋_GB2312" w:hAnsi="仿宋_GB2312" w:cs="仿宋_GB2312"/>
          <w:highlight w:val="none"/>
          <w:lang w:val="en-US"/>
        </w:rPr>
        <w:t>必开机组i</w:t>
      </w:r>
      <w:r>
        <w:rPr>
          <w:rFonts w:hint="eastAsia" w:ascii="仿宋_GB2312" w:hAnsi="仿宋_GB2312" w:cs="仿宋_GB2312"/>
          <w:highlight w:val="none"/>
          <w:lang w:val="en-US" w:eastAsia="zh-CN"/>
        </w:rPr>
        <w:t>在t时段的必开电量；</w:t>
      </w:r>
    </w:p>
    <w:p>
      <w:pPr>
        <w:pStyle w:val="9"/>
        <w:spacing w:after="0"/>
        <w:rPr>
          <w:rFonts w:hint="eastAsia" w:ascii="仿宋_GB2312" w:hAnsi="仿宋_GB2312" w:cs="仿宋_GB2312"/>
          <w:lang w:val="en-US" w:eastAsia="zh-CN"/>
        </w:rPr>
      </w:pPr>
      <w:r>
        <w:rPr>
          <w:rFonts w:hint="eastAsia" w:ascii="仿宋_GB2312" w:hAnsi="仿宋_GB2312" w:eastAsia="仿宋_GB2312" w:cs="仿宋_GB2312"/>
          <w:lang w:val="en-US" w:eastAsia="zh-CN"/>
        </w:rPr>
        <w:t>Q</w:t>
      </w:r>
      <w:r>
        <w:rPr>
          <w:rFonts w:hint="eastAsia" w:ascii="仿宋_GB2312" w:hAnsi="仿宋_GB2312" w:cs="仿宋_GB2312"/>
          <w:vertAlign w:val="subscript"/>
          <w:lang w:val="en-US" w:eastAsia="zh-CN"/>
        </w:rPr>
        <w:t>中长期</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为</w:t>
      </w:r>
      <w:r>
        <w:rPr>
          <w:rFonts w:hint="eastAsia" w:ascii="仿宋_GB2312" w:hAnsi="仿宋_GB2312" w:cs="仿宋_GB2312"/>
          <w:lang w:val="en-US"/>
        </w:rPr>
        <w:t>必开机组i</w:t>
      </w:r>
      <w:r>
        <w:rPr>
          <w:rFonts w:hint="eastAsia" w:ascii="仿宋_GB2312" w:hAnsi="仿宋_GB2312" w:cs="仿宋_GB2312"/>
          <w:lang w:val="en-US" w:eastAsia="zh-CN"/>
        </w:rPr>
        <w:t>在t时段的中长期合约分解电量；</w:t>
      </w:r>
    </w:p>
    <w:p>
      <w:pPr>
        <w:pStyle w:val="9"/>
        <w:spacing w:after="0"/>
        <w:rPr>
          <w:rFonts w:hint="default" w:ascii="仿宋_GB2312" w:hAnsi="仿宋_GB2312" w:eastAsia="仿宋_GB2312" w:cs="仿宋_GB2312"/>
          <w:lang w:val="en-US"/>
        </w:rPr>
      </w:pPr>
      <w:r>
        <w:rPr>
          <w:rFonts w:hint="eastAsia" w:ascii="仿宋_GB2312" w:hAnsi="仿宋_GB2312" w:cs="仿宋_GB2312"/>
          <w:vertAlign w:val="baseline"/>
          <w:lang w:val="en-US" w:eastAsia="zh-CN"/>
        </w:rPr>
        <w:t>P</w:t>
      </w:r>
      <w:r>
        <w:rPr>
          <w:rFonts w:hint="eastAsia" w:ascii="仿宋_GB2312" w:hAnsi="仿宋_GB2312" w:cs="仿宋_GB2312"/>
          <w:vertAlign w:val="subscript"/>
          <w:lang w:val="en-US" w:eastAsia="zh-CN"/>
        </w:rPr>
        <w:t>日前</w:t>
      </w:r>
      <w:r>
        <w:rPr>
          <w:rFonts w:hint="eastAsia" w:ascii="仿宋_GB2312" w:hAnsi="仿宋_GB2312" w:eastAsia="仿宋_GB2312" w:cs="仿宋_GB2312"/>
          <w:vertAlign w:val="subscript"/>
          <w:lang w:val="en-US" w:eastAsia="zh-CN"/>
        </w:rPr>
        <w:t>,i,t</w:t>
      </w:r>
      <w:r>
        <w:rPr>
          <w:rFonts w:hint="eastAsia" w:ascii="仿宋_GB2312" w:hAnsi="仿宋_GB2312" w:cs="仿宋_GB2312"/>
          <w:vertAlign w:val="baseline"/>
          <w:lang w:val="en-US" w:eastAsia="zh-CN"/>
        </w:rPr>
        <w:t>为</w:t>
      </w:r>
      <w:r>
        <w:rPr>
          <w:rFonts w:hint="eastAsia" w:ascii="仿宋_GB2312" w:hAnsi="仿宋_GB2312" w:cs="仿宋_GB2312"/>
          <w:lang w:val="en-US"/>
        </w:rPr>
        <w:t>必开机组i</w:t>
      </w:r>
      <w:r>
        <w:rPr>
          <w:rFonts w:hint="eastAsia" w:ascii="仿宋_GB2312" w:hAnsi="仿宋_GB2312" w:cs="仿宋_GB2312"/>
          <w:lang w:val="en-US" w:eastAsia="zh-CN"/>
        </w:rPr>
        <w:t>在t时段的日前节点电价；</w:t>
      </w:r>
    </w:p>
    <w:p>
      <w:pPr>
        <w:pStyle w:val="9"/>
        <w:spacing w:after="0"/>
        <w:rPr>
          <w:rFonts w:ascii="仿宋_GB2312" w:hAnsi="仿宋_GB2312" w:cs="仿宋_GB2312"/>
          <w:lang w:val="en-US"/>
        </w:rPr>
      </w:pPr>
      <w:r>
        <w:rPr>
          <w:rFonts w:hint="eastAsia" w:ascii="仿宋_GB2312" w:hAnsi="仿宋_GB2312" w:eastAsia="仿宋_GB2312" w:cs="仿宋_GB2312"/>
          <w:lang w:val="en-US" w:eastAsia="zh-CN"/>
        </w:rPr>
        <w:t>C</w:t>
      </w:r>
      <w:r>
        <w:rPr>
          <w:rFonts w:hint="eastAsia" w:ascii="仿宋_GB2312" w:hAnsi="仿宋_GB2312" w:eastAsia="仿宋_GB2312" w:cs="仿宋_GB2312"/>
          <w:vertAlign w:val="subscript"/>
          <w:lang w:val="en-US" w:eastAsia="zh-CN"/>
        </w:rPr>
        <w:t>核定成本,i</w:t>
      </w:r>
      <w:r>
        <w:rPr>
          <w:rFonts w:hint="eastAsia" w:ascii="仿宋_GB2312" w:hAnsi="仿宋_GB2312" w:cs="仿宋_GB2312"/>
          <w:lang w:val="en-US"/>
        </w:rPr>
        <w:t>为必开机组核定的发电成本价格。根据发电企业提供的最新且具备合格检测资质的第三方检测机构出具的机组性能试验报告中核定的发电成本价格。</w:t>
      </w:r>
    </w:p>
    <w:p>
      <w:pPr>
        <w:pStyle w:val="29"/>
        <w:tabs>
          <w:tab w:val="left" w:pos="567"/>
          <w:tab w:val="left" w:pos="1417"/>
          <w:tab w:val="left" w:pos="2127"/>
          <w:tab w:val="left" w:pos="4395"/>
          <w:tab w:val="clear" w:pos="1986"/>
        </w:tabs>
        <w:rPr>
          <w:rFonts w:ascii="仿宋_GB2312" w:hAnsi="仿宋_GB2312" w:eastAsia="仿宋_GB2312" w:cs="仿宋_GB2312"/>
        </w:rPr>
      </w:pPr>
      <w:r>
        <w:rPr>
          <w:rFonts w:hint="eastAsia" w:ascii="仿宋_GB2312" w:hAnsi="仿宋_GB2312" w:eastAsia="仿宋_GB2312" w:cs="仿宋_GB2312"/>
        </w:rPr>
        <w:t>（2）分摊办法</w:t>
      </w:r>
    </w:p>
    <w:p>
      <w:pPr>
        <w:pStyle w:val="29"/>
        <w:tabs>
          <w:tab w:val="left" w:pos="567"/>
          <w:tab w:val="left" w:pos="1417"/>
          <w:tab w:val="left" w:pos="2127"/>
          <w:tab w:val="left" w:pos="4395"/>
          <w:tab w:val="clear" w:pos="1986"/>
        </w:tabs>
        <w:textAlignment w:val="center"/>
        <w:rPr>
          <w:rFonts w:ascii="仿宋_GB2312" w:hAnsi="仿宋_GB2312" w:eastAsia="仿宋_GB2312" w:cs="仿宋_GB2312"/>
        </w:rPr>
      </w:pPr>
      <w:r>
        <w:rPr>
          <w:rFonts w:hint="eastAsia" w:ascii="仿宋_GB2312" w:hAnsi="仿宋_GB2312" w:eastAsia="仿宋_GB2312" w:cs="仿宋_GB2312"/>
        </w:rPr>
        <w:t>必开机组运行补偿费用由所有工商业用户进行分摊。</w:t>
      </w:r>
    </w:p>
    <w:p>
      <w:pPr>
        <w:pStyle w:val="107"/>
        <w:spacing w:before="156" w:after="156"/>
        <w:ind w:left="0" w:firstLine="643"/>
        <w:rPr>
          <w:highlight w:val="none"/>
        </w:rPr>
      </w:pPr>
      <w:r>
        <w:rPr>
          <w:rFonts w:hint="eastAsia"/>
          <w:highlight w:val="none"/>
          <w:lang w:val="en-US" w:eastAsia="zh-CN"/>
        </w:rPr>
        <w:t>独立储能</w:t>
      </w:r>
      <w:r>
        <w:rPr>
          <w:rFonts w:hint="eastAsia"/>
          <w:highlight w:val="none"/>
        </w:rPr>
        <w:t>补偿费用</w:t>
      </w:r>
    </w:p>
    <w:p>
      <w:pPr>
        <w:pStyle w:val="29"/>
        <w:numPr>
          <w:ilvl w:val="255"/>
          <w:numId w:val="0"/>
        </w:numPr>
        <w:tabs>
          <w:tab w:val="left" w:pos="567"/>
          <w:tab w:val="left" w:pos="1417"/>
          <w:tab w:val="left" w:pos="2127"/>
          <w:tab w:val="left" w:pos="4395"/>
          <w:tab w:val="clear" w:pos="1986"/>
        </w:tabs>
        <w:ind w:firstLine="640" w:firstLineChars="200"/>
        <w:textAlignment w:val="center"/>
        <w:rPr>
          <w:rFonts w:hint="eastAsia" w:ascii="仿宋_GB2312" w:hAnsi="仿宋_GB2312" w:eastAsia="仿宋_GB2312" w:cs="仿宋_GB2312"/>
          <w:highlight w:val="none"/>
        </w:rPr>
      </w:pPr>
      <w:r>
        <w:rPr>
          <w:rFonts w:hint="eastAsia" w:ascii="仿宋_GB2312" w:hAnsi="仿宋_GB2312" w:eastAsia="仿宋_GB2312" w:cs="仿宋_GB2312"/>
          <w:szCs w:val="22"/>
        </w:rPr>
        <w:t>独立储能补偿费用是指因</w:t>
      </w:r>
      <w:r>
        <w:rPr>
          <w:rFonts w:hint="eastAsia" w:ascii="仿宋_GB2312" w:hAnsi="仿宋_GB2312" w:eastAsia="仿宋_GB2312" w:cs="仿宋_GB2312"/>
          <w:szCs w:val="22"/>
          <w:lang w:eastAsia="zh-CN"/>
        </w:rPr>
        <w:t>电网运行</w:t>
      </w:r>
      <w:r>
        <w:rPr>
          <w:rFonts w:hint="eastAsia" w:ascii="仿宋_GB2312" w:hAnsi="仿宋_GB2312" w:eastAsia="仿宋_GB2312" w:cs="仿宋_GB2312"/>
          <w:szCs w:val="22"/>
        </w:rPr>
        <w:t>需要</w:t>
      </w:r>
      <w:r>
        <w:rPr>
          <w:rFonts w:hint="eastAsia" w:ascii="仿宋_GB2312" w:hAnsi="仿宋_GB2312" w:eastAsia="仿宋_GB2312" w:cs="仿宋_GB2312"/>
          <w:szCs w:val="22"/>
          <w:lang w:eastAsia="zh-CN"/>
        </w:rPr>
        <w:t>，由调度机构</w:t>
      </w:r>
      <w:r>
        <w:rPr>
          <w:rFonts w:hint="eastAsia" w:ascii="仿宋_GB2312" w:hAnsi="仿宋_GB2312" w:eastAsia="仿宋_GB2312" w:cs="仿宋_GB2312"/>
          <w:szCs w:val="22"/>
        </w:rPr>
        <w:t>调整储能电站的充放电曲线，导致储能电站的</w:t>
      </w:r>
      <w:r>
        <w:rPr>
          <w:rFonts w:hint="eastAsia" w:ascii="仿宋_GB2312" w:hAnsi="仿宋_GB2312" w:eastAsia="仿宋_GB2312" w:cs="仿宋_GB2312"/>
          <w:szCs w:val="22"/>
          <w:lang w:eastAsia="zh-CN"/>
        </w:rPr>
        <w:t>电能量</w:t>
      </w:r>
      <w:r>
        <w:rPr>
          <w:rFonts w:hint="eastAsia" w:ascii="仿宋_GB2312" w:hAnsi="仿宋_GB2312" w:eastAsia="仿宋_GB2312" w:cs="仿宋_GB2312"/>
          <w:szCs w:val="22"/>
        </w:rPr>
        <w:t>收益为负时</w:t>
      </w:r>
      <w:r>
        <w:rPr>
          <w:rFonts w:hint="eastAsia" w:ascii="仿宋_GB2312" w:hAnsi="仿宋_GB2312" w:eastAsia="仿宋_GB2312" w:cs="仿宋_GB2312"/>
          <w:szCs w:val="22"/>
          <w:lang w:eastAsia="zh-CN"/>
        </w:rPr>
        <w:t>，</w:t>
      </w:r>
      <w:r>
        <w:rPr>
          <w:rFonts w:hint="eastAsia" w:ascii="仿宋_GB2312" w:hAnsi="仿宋_GB2312" w:eastAsia="仿宋_GB2312" w:cs="仿宋_GB2312"/>
          <w:szCs w:val="22"/>
        </w:rPr>
        <w:t>对其</w:t>
      </w:r>
      <w:r>
        <w:rPr>
          <w:rFonts w:hint="eastAsia" w:ascii="仿宋_GB2312" w:hAnsi="仿宋_GB2312" w:eastAsia="仿宋_GB2312" w:cs="仿宋_GB2312"/>
          <w:szCs w:val="22"/>
          <w:lang w:eastAsia="zh-CN"/>
        </w:rPr>
        <w:t>进行的</w:t>
      </w:r>
      <w:r>
        <w:rPr>
          <w:rFonts w:hint="eastAsia" w:ascii="仿宋_GB2312" w:hAnsi="仿宋_GB2312" w:eastAsia="仿宋_GB2312" w:cs="仿宋_GB2312"/>
          <w:szCs w:val="22"/>
        </w:rPr>
        <w:t>补偿</w:t>
      </w:r>
      <w:r>
        <w:rPr>
          <w:rFonts w:hint="eastAsia"/>
          <w:highlight w:val="none"/>
        </w:rPr>
        <w:t>。</w:t>
      </w:r>
    </w:p>
    <w:p>
      <w:pPr>
        <w:pStyle w:val="29"/>
        <w:numPr>
          <w:ilvl w:val="255"/>
          <w:numId w:val="0"/>
        </w:numPr>
        <w:tabs>
          <w:tab w:val="left" w:pos="567"/>
          <w:tab w:val="left" w:pos="1417"/>
          <w:tab w:val="left" w:pos="2127"/>
          <w:tab w:val="left" w:pos="4395"/>
          <w:tab w:val="clear" w:pos="1986"/>
        </w:tabs>
        <w:ind w:firstLine="640" w:firstLineChars="200"/>
        <w:textAlignment w:val="center"/>
        <w:rPr>
          <w:rFonts w:ascii="仿宋_GB2312" w:hAnsi="仿宋_GB2312" w:eastAsia="仿宋_GB2312" w:cs="仿宋_GB2312"/>
          <w:highlight w:val="none"/>
        </w:rPr>
      </w:pPr>
      <w:r>
        <w:rPr>
          <w:rFonts w:hint="eastAsia" w:ascii="仿宋_GB2312" w:hAnsi="仿宋_GB2312" w:eastAsia="仿宋_GB2312" w:cs="仿宋_GB2312"/>
          <w:highlight w:val="none"/>
        </w:rPr>
        <w:t>（1）计算公式</w:t>
      </w:r>
    </w:p>
    <w:p>
      <w:pPr>
        <w:pStyle w:val="9"/>
        <w:spacing w:after="0"/>
        <w:rPr>
          <w:rFonts w:ascii="仿宋_GB2312" w:hAnsi="仿宋_GB2312" w:cs="仿宋_GB2312"/>
          <w:highlight w:val="none"/>
          <w:vertAlign w:val="baseline"/>
        </w:rPr>
      </w:pPr>
      <w:r>
        <w:rPr>
          <w:rFonts w:hint="eastAsia" w:ascii="仿宋_GB2312" w:hAnsi="仿宋_GB2312" w:cs="仿宋_GB2312"/>
          <w:highlight w:val="none"/>
        </w:rPr>
        <w:t>当</w:t>
      </w: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储能电站</w:t>
      </w:r>
      <w:r>
        <w:rPr>
          <w:rFonts w:hint="eastAsia" w:ascii="仿宋_GB2312" w:hAnsi="仿宋_GB2312" w:cs="仿宋_GB2312"/>
          <w:highlight w:val="none"/>
        </w:rPr>
        <w:t>&lt;</w:t>
      </w:r>
      <w:r>
        <w:rPr>
          <w:rFonts w:hint="eastAsia" w:ascii="仿宋_GB2312" w:hAnsi="仿宋_GB2312" w:cs="仿宋_GB2312"/>
          <w:highlight w:val="none"/>
          <w:lang w:val="en-US" w:eastAsia="zh-CN"/>
        </w:rPr>
        <w:t>0</w:t>
      </w:r>
      <w:r>
        <w:rPr>
          <w:rFonts w:hint="eastAsia" w:ascii="仿宋_GB2312" w:hAnsi="仿宋_GB2312" w:cs="仿宋_GB2312"/>
          <w:highlight w:val="none"/>
        </w:rPr>
        <w:t>时，</w:t>
      </w: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储能补偿</w:t>
      </w: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储能电站</w:t>
      </w:r>
      <w:r>
        <w:rPr>
          <w:rFonts w:hint="eastAsia" w:ascii="仿宋_GB2312" w:hAnsi="仿宋_GB2312" w:cs="仿宋_GB2312"/>
          <w:highlight w:val="none"/>
          <w:vertAlign w:val="baseline"/>
          <w:lang w:val="en-US" w:eastAsia="zh-CN"/>
        </w:rPr>
        <w:t>；</w:t>
      </w:r>
    </w:p>
    <w:p>
      <w:pPr>
        <w:pStyle w:val="9"/>
        <w:spacing w:after="0"/>
        <w:rPr>
          <w:rFonts w:ascii="仿宋_GB2312" w:hAnsi="仿宋_GB2312" w:cs="仿宋_GB2312"/>
          <w:highlight w:val="none"/>
        </w:rPr>
      </w:pPr>
      <w:r>
        <w:rPr>
          <w:rFonts w:hint="eastAsia" w:ascii="仿宋_GB2312" w:hAnsi="仿宋_GB2312" w:cs="仿宋_GB2312"/>
          <w:highlight w:val="none"/>
        </w:rPr>
        <w:t>当</w:t>
      </w: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储能电站</w:t>
      </w:r>
      <w:r>
        <w:rPr>
          <w:rFonts w:hint="eastAsia" w:ascii="仿宋_GB2312" w:hAnsi="仿宋_GB2312" w:cs="仿宋_GB2312"/>
          <w:highlight w:val="none"/>
          <w:lang w:val="en-US" w:eastAsia="zh-CN"/>
        </w:rPr>
        <w:t>≥0</w:t>
      </w:r>
      <w:r>
        <w:rPr>
          <w:rFonts w:hint="eastAsia" w:ascii="仿宋_GB2312" w:hAnsi="仿宋_GB2312" w:cs="仿宋_GB2312"/>
          <w:highlight w:val="none"/>
        </w:rPr>
        <w:t>时，</w:t>
      </w: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储能补偿</w:t>
      </w:r>
      <w:r>
        <w:rPr>
          <w:rFonts w:hint="eastAsia" w:ascii="仿宋_GB2312" w:hAnsi="仿宋_GB2312" w:cs="仿宋_GB2312"/>
          <w:highlight w:val="none"/>
          <w:lang w:val="en-US" w:eastAsia="zh-CN"/>
        </w:rPr>
        <w:t>=0。</w:t>
      </w:r>
    </w:p>
    <w:p>
      <w:pPr>
        <w:pStyle w:val="29"/>
        <w:tabs>
          <w:tab w:val="left" w:pos="567"/>
          <w:tab w:val="left" w:pos="1417"/>
          <w:tab w:val="left" w:pos="2127"/>
          <w:tab w:val="left" w:pos="4395"/>
          <w:tab w:val="clear" w:pos="1986"/>
        </w:tabs>
        <w:textAlignment w:val="cente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其中，</w:t>
      </w:r>
    </w:p>
    <w:p>
      <w:pPr>
        <w:pStyle w:val="29"/>
        <w:tabs>
          <w:tab w:val="left" w:pos="567"/>
          <w:tab w:val="left" w:pos="1417"/>
          <w:tab w:val="left" w:pos="2127"/>
          <w:tab w:val="left" w:pos="4395"/>
          <w:tab w:val="clear" w:pos="1986"/>
        </w:tabs>
        <w:textAlignment w:val="center"/>
        <w:rPr>
          <w:rFonts w:hint="eastAsia" w:ascii="仿宋_GB2312" w:hAnsi="仿宋_GB2312" w:eastAsia="仿宋_GB2312" w:cs="仿宋_GB2312"/>
          <w:szCs w:val="22"/>
          <w:lang w:val="en-US" w:eastAsia="zh-CN"/>
        </w:rPr>
      </w:pP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储能电站</w:t>
      </w:r>
      <w:r>
        <w:rPr>
          <w:rFonts w:hint="eastAsia" w:ascii="仿宋_GB2312" w:hAnsi="仿宋_GB2312" w:eastAsia="仿宋_GB2312" w:cs="仿宋_GB2312"/>
          <w:szCs w:val="22"/>
          <w:lang w:val="en-US" w:eastAsia="zh-CN"/>
        </w:rPr>
        <w:t>为储能电站当日电能量市场收益；</w:t>
      </w:r>
    </w:p>
    <w:p>
      <w:pPr>
        <w:pStyle w:val="29"/>
        <w:tabs>
          <w:tab w:val="left" w:pos="567"/>
          <w:tab w:val="left" w:pos="1417"/>
          <w:tab w:val="left" w:pos="2127"/>
          <w:tab w:val="left" w:pos="4395"/>
          <w:tab w:val="clear" w:pos="1986"/>
        </w:tabs>
        <w:textAlignment w:val="center"/>
        <w:rPr>
          <w:rFonts w:hint="eastAsia" w:ascii="仿宋_GB2312" w:hAnsi="仿宋_GB2312" w:eastAsia="仿宋_GB2312" w:cs="仿宋_GB2312"/>
          <w:position w:val="0"/>
          <w:highlight w:val="none"/>
          <w:lang w:val="en-US" w:eastAsia="zh-CN"/>
        </w:rPr>
      </w:pPr>
      <w:r>
        <w:rPr>
          <w:rFonts w:hint="eastAsia" w:ascii="仿宋_GB2312" w:hAnsi="仿宋_GB2312" w:cs="仿宋_GB2312"/>
          <w:highlight w:val="none"/>
          <w:lang w:val="en-US" w:eastAsia="zh-CN"/>
        </w:rPr>
        <w:t>R</w:t>
      </w:r>
      <w:r>
        <w:rPr>
          <w:rFonts w:hint="eastAsia" w:ascii="仿宋_GB2312" w:hAnsi="仿宋_GB2312" w:cs="仿宋_GB2312"/>
          <w:highlight w:val="none"/>
          <w:vertAlign w:val="subscript"/>
          <w:lang w:val="en-US" w:eastAsia="zh-CN"/>
        </w:rPr>
        <w:t>储能补偿</w:t>
      </w:r>
      <w:r>
        <w:rPr>
          <w:rFonts w:hint="eastAsia" w:ascii="仿宋_GB2312" w:hAnsi="仿宋_GB2312" w:eastAsia="仿宋_GB2312" w:cs="仿宋_GB2312"/>
          <w:szCs w:val="22"/>
          <w:lang w:val="en-US" w:eastAsia="zh-CN"/>
        </w:rPr>
        <w:t>为储能电站补偿费用</w:t>
      </w:r>
      <w:r>
        <w:rPr>
          <w:rFonts w:hint="eastAsia" w:ascii="仿宋_GB2312" w:hAnsi="仿宋_GB2312" w:eastAsia="仿宋_GB2312" w:cs="仿宋_GB2312"/>
          <w:position w:val="0"/>
          <w:highlight w:val="none"/>
          <w:lang w:val="en-US" w:eastAsia="zh-CN"/>
        </w:rPr>
        <w:t>。</w:t>
      </w:r>
    </w:p>
    <w:p>
      <w:pPr>
        <w:pStyle w:val="29"/>
        <w:numPr>
          <w:ilvl w:val="255"/>
          <w:numId w:val="0"/>
        </w:numPr>
        <w:tabs>
          <w:tab w:val="left" w:pos="567"/>
          <w:tab w:val="left" w:pos="1417"/>
          <w:tab w:val="left" w:pos="2127"/>
          <w:tab w:val="left" w:pos="4395"/>
          <w:tab w:val="clear" w:pos="1986"/>
        </w:tabs>
        <w:ind w:firstLine="640" w:firstLineChars="200"/>
        <w:textAlignment w:val="center"/>
        <w:rPr>
          <w:rFonts w:ascii="仿宋_GB2312" w:hAnsi="仿宋_GB2312" w:eastAsia="仿宋_GB2312" w:cs="仿宋_GB2312"/>
          <w:position w:val="-14"/>
          <w:szCs w:val="3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szCs w:val="32"/>
          <w:highlight w:val="none"/>
        </w:rPr>
        <w:t>分摊或返还</w:t>
      </w:r>
      <w:r>
        <w:rPr>
          <w:rFonts w:hint="eastAsia" w:ascii="仿宋_GB2312" w:hAnsi="仿宋_GB2312" w:eastAsia="仿宋_GB2312" w:cs="仿宋_GB2312"/>
          <w:highlight w:val="none"/>
        </w:rPr>
        <w:t>方式</w:t>
      </w:r>
    </w:p>
    <w:p>
      <w:pPr>
        <w:pStyle w:val="29"/>
        <w:tabs>
          <w:tab w:val="left" w:pos="567"/>
          <w:tab w:val="left" w:pos="1417"/>
          <w:tab w:val="left" w:pos="2127"/>
          <w:tab w:val="left" w:pos="4395"/>
          <w:tab w:val="clear" w:pos="1986"/>
        </w:tabs>
        <w:textAlignment w:val="cente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独立储能补偿费用按当月发电侧经营主体上网电量（不含华中省间调峰辅助服务交易售出分摊电量）、工商业用户下网电量占比分摊或者返还给所有经营主体。</w:t>
      </w:r>
    </w:p>
    <w:p>
      <w:pPr>
        <w:pStyle w:val="106"/>
        <w:spacing w:before="156" w:after="156"/>
        <w:ind w:firstLine="643"/>
        <w:rPr>
          <w:rFonts w:ascii="仿宋_GB2312" w:hAnsi="仿宋_GB2312" w:cs="仿宋_GB2312"/>
        </w:rPr>
      </w:pPr>
      <w:bookmarkStart w:id="638" w:name="_Toc110914469"/>
      <w:bookmarkEnd w:id="638"/>
      <w:bookmarkStart w:id="639" w:name="_Toc110914405"/>
      <w:bookmarkEnd w:id="639"/>
      <w:bookmarkStart w:id="640" w:name="_Toc110914470"/>
      <w:bookmarkEnd w:id="640"/>
      <w:bookmarkStart w:id="641" w:name="_Toc110914539"/>
      <w:bookmarkEnd w:id="641"/>
      <w:bookmarkStart w:id="642" w:name="_Toc110914406"/>
      <w:bookmarkEnd w:id="642"/>
      <w:bookmarkStart w:id="643" w:name="_Toc110914538"/>
      <w:bookmarkEnd w:id="643"/>
      <w:bookmarkStart w:id="644" w:name="_Toc1244"/>
      <w:bookmarkStart w:id="645" w:name="_Toc16362"/>
      <w:bookmarkStart w:id="646" w:name="_Toc18082"/>
      <w:bookmarkStart w:id="647" w:name="_Toc13578"/>
      <w:bookmarkStart w:id="648" w:name="_Toc23447"/>
      <w:bookmarkStart w:id="649" w:name="_Toc3051"/>
      <w:bookmarkStart w:id="650" w:name="_Toc31488"/>
      <w:bookmarkStart w:id="651" w:name="_Toc13870"/>
      <w:bookmarkStart w:id="652" w:name="_Toc14152"/>
      <w:bookmarkStart w:id="653" w:name="_Toc110914540"/>
      <w:bookmarkStart w:id="654" w:name="_Toc26088"/>
      <w:bookmarkStart w:id="655" w:name="_Toc2921"/>
      <w:r>
        <w:rPr>
          <w:rFonts w:hint="eastAsia" w:ascii="仿宋_GB2312" w:hAnsi="仿宋_GB2312" w:cs="仿宋_GB2312"/>
        </w:rPr>
        <w:t>市场调节类费用</w:t>
      </w:r>
      <w:bookmarkEnd w:id="644"/>
      <w:bookmarkEnd w:id="645"/>
      <w:bookmarkEnd w:id="646"/>
      <w:bookmarkEnd w:id="647"/>
      <w:bookmarkEnd w:id="648"/>
      <w:bookmarkEnd w:id="649"/>
      <w:bookmarkEnd w:id="650"/>
      <w:bookmarkEnd w:id="651"/>
      <w:bookmarkEnd w:id="652"/>
      <w:bookmarkEnd w:id="653"/>
      <w:bookmarkEnd w:id="654"/>
      <w:bookmarkEnd w:id="655"/>
    </w:p>
    <w:p>
      <w:pPr>
        <w:pStyle w:val="29"/>
        <w:tabs>
          <w:tab w:val="left" w:pos="567"/>
          <w:tab w:val="left" w:pos="1417"/>
          <w:tab w:val="left" w:pos="2127"/>
          <w:tab w:val="left" w:pos="4395"/>
          <w:tab w:val="clear" w:pos="1986"/>
        </w:tabs>
        <w:jc w:val="left"/>
        <w:textAlignment w:val="center"/>
        <w:rPr>
          <w:rFonts w:ascii="仿宋_GB2312" w:hAnsi="仿宋_GB2312" w:eastAsia="仿宋_GB2312" w:cs="仿宋_GB2312"/>
        </w:rPr>
      </w:pPr>
      <w:r>
        <w:rPr>
          <w:rFonts w:hint="eastAsia" w:ascii="仿宋_GB2312" w:hAnsi="仿宋_GB2312" w:eastAsia="仿宋_GB2312" w:cs="仿宋_GB2312"/>
        </w:rPr>
        <w:t>现货市场运行初期，市场调节类费用包括火电中长期</w:t>
      </w:r>
      <w:r>
        <w:rPr>
          <w:rFonts w:hint="eastAsia" w:ascii="仿宋_GB2312" w:hAnsi="仿宋_GB2312" w:eastAsia="仿宋_GB2312" w:cs="仿宋_GB2312"/>
          <w:lang w:val="en-US" w:eastAsia="zh-CN"/>
        </w:rPr>
        <w:t>偏差收益</w:t>
      </w:r>
      <w:r>
        <w:rPr>
          <w:rFonts w:hint="eastAsia" w:ascii="仿宋_GB2312" w:hAnsi="仿宋_GB2312" w:eastAsia="仿宋_GB2312" w:cs="仿宋_GB2312"/>
        </w:rPr>
        <w:t>回收费用、新能源中长期</w:t>
      </w:r>
      <w:r>
        <w:rPr>
          <w:rFonts w:hint="eastAsia" w:ascii="仿宋_GB2312" w:hAnsi="仿宋_GB2312" w:eastAsia="仿宋_GB2312" w:cs="仿宋_GB2312"/>
          <w:lang w:val="en-US" w:eastAsia="zh-CN"/>
        </w:rPr>
        <w:t>偏差收益</w:t>
      </w:r>
      <w:r>
        <w:rPr>
          <w:rFonts w:hint="eastAsia" w:ascii="仿宋_GB2312" w:hAnsi="仿宋_GB2312" w:eastAsia="仿宋_GB2312" w:cs="仿宋_GB2312"/>
        </w:rPr>
        <w:t>回收费用以及用户侧中长期</w:t>
      </w:r>
      <w:r>
        <w:rPr>
          <w:rFonts w:hint="eastAsia" w:ascii="仿宋_GB2312" w:hAnsi="仿宋_GB2312" w:eastAsia="仿宋_GB2312" w:cs="仿宋_GB2312"/>
          <w:lang w:val="en-US" w:eastAsia="zh-CN"/>
        </w:rPr>
        <w:t>偏差收益</w:t>
      </w:r>
      <w:r>
        <w:rPr>
          <w:rFonts w:hint="eastAsia" w:ascii="仿宋_GB2312" w:hAnsi="仿宋_GB2312" w:eastAsia="仿宋_GB2312" w:cs="仿宋_GB2312"/>
        </w:rPr>
        <w:t>回收费用。</w:t>
      </w:r>
    </w:p>
    <w:p>
      <w:pPr>
        <w:pStyle w:val="107"/>
        <w:spacing w:before="156" w:after="156"/>
        <w:ind w:left="0" w:firstLine="643"/>
      </w:pPr>
      <w:r>
        <w:rPr>
          <w:rFonts w:hint="eastAsia"/>
        </w:rPr>
        <w:t>火电中长期</w:t>
      </w:r>
      <w:r>
        <w:rPr>
          <w:rFonts w:hint="eastAsia"/>
          <w:lang w:val="en-US" w:eastAsia="zh-CN"/>
        </w:rPr>
        <w:t>偏差收益</w:t>
      </w:r>
      <w:r>
        <w:rPr>
          <w:rFonts w:hint="eastAsia"/>
        </w:rPr>
        <w:t>回收费用</w:t>
      </w:r>
    </w:p>
    <w:p>
      <w:pPr>
        <w:pStyle w:val="9"/>
        <w:spacing w:after="0"/>
        <w:rPr>
          <w:rFonts w:ascii="仿宋_GB2312" w:hAnsi="仿宋_GB2312" w:cs="仿宋_GB2312"/>
          <w:lang w:val="en-US"/>
        </w:rPr>
      </w:pPr>
      <w:r>
        <w:rPr>
          <w:rFonts w:hint="eastAsia" w:ascii="仿宋_GB2312" w:hAnsi="仿宋_GB2312" w:cs="仿宋_GB2312"/>
          <w:kern w:val="2"/>
          <w:szCs w:val="22"/>
          <w:lang w:val="en-US"/>
        </w:rPr>
        <w:t>现货市场运行初期，火电中长期</w:t>
      </w:r>
      <w:r>
        <w:rPr>
          <w:rFonts w:hint="eastAsia"/>
          <w:lang w:val="en-US" w:eastAsia="zh-CN"/>
        </w:rPr>
        <w:t>偏差收益</w:t>
      </w:r>
      <w:r>
        <w:rPr>
          <w:rFonts w:hint="eastAsia" w:ascii="仿宋_GB2312" w:hAnsi="仿宋_GB2312" w:cs="仿宋_GB2312"/>
          <w:kern w:val="2"/>
          <w:szCs w:val="22"/>
          <w:lang w:val="en-US"/>
        </w:rPr>
        <w:t>回收费用指当</w:t>
      </w:r>
      <w:r>
        <w:rPr>
          <w:rFonts w:hint="eastAsia" w:ascii="仿宋_GB2312" w:hAnsi="仿宋_GB2312" w:cs="仿宋_GB2312"/>
          <w:color w:val="000000"/>
          <w:kern w:val="2"/>
          <w:szCs w:val="22"/>
          <w:lang w:val="en-US"/>
        </w:rPr>
        <w:t>火电</w:t>
      </w:r>
      <w:r>
        <w:rPr>
          <w:rFonts w:hint="eastAsia" w:ascii="仿宋_GB2312" w:hAnsi="仿宋_GB2312" w:cs="仿宋_GB2312"/>
          <w:kern w:val="2"/>
          <w:szCs w:val="22"/>
          <w:lang w:val="en-US"/>
        </w:rPr>
        <w:t>企业</w:t>
      </w:r>
      <w:r>
        <w:rPr>
          <w:rFonts w:hint="eastAsia" w:ascii="仿宋_GB2312" w:hAnsi="仿宋_GB2312" w:cs="仿宋_GB2312"/>
          <w:lang w:val="en-US"/>
        </w:rPr>
        <w:t>中长期合约</w:t>
      </w:r>
      <w:r>
        <w:rPr>
          <w:rFonts w:hint="eastAsia" w:ascii="仿宋_GB2312" w:hAnsi="仿宋_GB2312" w:cs="仿宋_GB2312"/>
        </w:rPr>
        <w:t>电量低于</w:t>
      </w:r>
      <w:r>
        <w:rPr>
          <w:rFonts w:hint="eastAsia" w:ascii="仿宋_GB2312" w:hAnsi="仿宋_GB2312" w:cs="仿宋_GB2312"/>
          <w:lang w:val="en-US" w:eastAsia="zh-CN"/>
        </w:rPr>
        <w:t>或高于</w:t>
      </w:r>
      <w:r>
        <w:rPr>
          <w:rFonts w:hint="eastAsia" w:ascii="仿宋_GB2312" w:hAnsi="仿宋_GB2312" w:cs="仿宋_GB2312"/>
        </w:rPr>
        <w:t>实际结算电量一定比例时，</w:t>
      </w:r>
      <w:r>
        <w:rPr>
          <w:rFonts w:hint="eastAsia" w:ascii="仿宋_GB2312" w:hAnsi="仿宋_GB2312" w:cs="仿宋_GB2312"/>
          <w:kern w:val="2"/>
          <w:szCs w:val="22"/>
          <w:lang w:val="en-US"/>
        </w:rPr>
        <w:t>对低于下限要求</w:t>
      </w:r>
      <w:r>
        <w:rPr>
          <w:rFonts w:hint="eastAsia" w:ascii="仿宋_GB2312" w:hAnsi="仿宋_GB2312" w:cs="仿宋_GB2312"/>
          <w:kern w:val="2"/>
          <w:szCs w:val="22"/>
          <w:lang w:val="en-US" w:eastAsia="zh-CN"/>
        </w:rPr>
        <w:t>或高于上限要求</w:t>
      </w:r>
      <w:r>
        <w:rPr>
          <w:rFonts w:hint="eastAsia" w:ascii="仿宋_GB2312" w:hAnsi="仿宋_GB2312" w:cs="仿宋_GB2312"/>
          <w:kern w:val="2"/>
          <w:szCs w:val="22"/>
          <w:lang w:val="en-US"/>
        </w:rPr>
        <w:t>的电量按月度进行</w:t>
      </w:r>
      <w:r>
        <w:rPr>
          <w:rFonts w:hint="eastAsia" w:ascii="仿宋_GB2312" w:hAnsi="仿宋_GB2312" w:cs="仿宋_GB2312"/>
          <w:kern w:val="2"/>
          <w:szCs w:val="22"/>
          <w:lang w:val="en-US" w:eastAsia="zh-CN"/>
        </w:rPr>
        <w:t>偏差收益</w:t>
      </w:r>
      <w:r>
        <w:rPr>
          <w:rFonts w:hint="eastAsia" w:ascii="仿宋_GB2312" w:hAnsi="仿宋_GB2312" w:cs="仿宋_GB2312"/>
          <w:kern w:val="2"/>
          <w:szCs w:val="22"/>
          <w:lang w:val="en-US"/>
        </w:rPr>
        <w:t>费用回收。</w:t>
      </w:r>
    </w:p>
    <w:p>
      <w:pPr>
        <w:pStyle w:val="29"/>
        <w:numPr>
          <w:ilvl w:val="255"/>
          <w:numId w:val="0"/>
        </w:numPr>
        <w:tabs>
          <w:tab w:val="left" w:pos="567"/>
          <w:tab w:val="left" w:pos="1417"/>
          <w:tab w:val="left" w:pos="2127"/>
          <w:tab w:val="left" w:pos="4395"/>
          <w:tab w:val="clear" w:pos="1986"/>
        </w:tabs>
        <w:ind w:firstLine="640"/>
        <w:jc w:val="left"/>
        <w:textAlignment w:val="center"/>
        <w:rPr>
          <w:rFonts w:ascii="仿宋_GB2312" w:hAnsi="仿宋_GB2312" w:eastAsia="仿宋_GB2312" w:cs="仿宋_GB2312"/>
        </w:rPr>
      </w:pPr>
      <w:r>
        <w:rPr>
          <w:rFonts w:hint="eastAsia" w:ascii="仿宋_GB2312" w:hAnsi="仿宋_GB2312" w:eastAsia="仿宋_GB2312" w:cs="仿宋_GB2312"/>
        </w:rPr>
        <w:t>（1）计算公式</w:t>
      </w:r>
    </w:p>
    <w:p>
      <w:pPr>
        <w:pStyle w:val="9"/>
        <w:spacing w:after="0"/>
        <w:rPr>
          <w:rFonts w:ascii="仿宋_GB2312" w:hAnsi="仿宋_GB2312" w:cs="仿宋_GB2312"/>
        </w:rPr>
      </w:pPr>
      <w:r>
        <w:rPr>
          <w:rFonts w:hint="eastAsia" w:ascii="仿宋_GB2312" w:hAnsi="仿宋_GB2312" w:cs="仿宋_GB2312"/>
        </w:rPr>
        <w:t>当Q</w:t>
      </w:r>
      <w:r>
        <w:rPr>
          <w:rFonts w:hint="eastAsia" w:ascii="仿宋_GB2312" w:hAnsi="仿宋_GB2312" w:cs="仿宋_GB2312"/>
          <w:vertAlign w:val="subscript"/>
          <w:lang w:val="en-US"/>
        </w:rPr>
        <w:t>火电中长期净合约</w:t>
      </w:r>
      <w:r>
        <w:rPr>
          <w:rFonts w:hint="eastAsia" w:ascii="仿宋_GB2312" w:hAnsi="仿宋_GB2312" w:cs="仿宋_GB2312"/>
        </w:rPr>
        <w:t>&lt;Q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rPr>
        <w:t>1</w:t>
      </w:r>
      <w:r>
        <w:rPr>
          <w:rFonts w:hint="eastAsia" w:ascii="仿宋_GB2312" w:hAnsi="仿宋_GB2312" w:cs="仿宋_GB2312"/>
        </w:rPr>
        <w:t>，且</w:t>
      </w:r>
      <w:r>
        <w:rPr>
          <w:rFonts w:hint="eastAsia" w:ascii="仿宋_GB2312" w:hAnsi="仿宋_GB2312" w:cs="仿宋_GB2312"/>
          <w:lang w:val="en-US"/>
        </w:rPr>
        <w:t>P</w:t>
      </w:r>
      <w:r>
        <w:rPr>
          <w:rFonts w:hint="eastAsia" w:ascii="仿宋_GB2312" w:hAnsi="仿宋_GB2312" w:cs="仿宋_GB2312"/>
          <w:vertAlign w:val="subscript"/>
          <w:lang w:val="en-US"/>
        </w:rPr>
        <w:t>火电</w:t>
      </w:r>
      <w:r>
        <w:rPr>
          <w:rFonts w:hint="eastAsia" w:ascii="仿宋_GB2312" w:hAnsi="仿宋_GB2312" w:cs="仿宋_GB2312"/>
          <w:vertAlign w:val="subscript"/>
          <w:lang w:val="en-US" w:eastAsia="zh-CN"/>
        </w:rPr>
        <w:t>中长期净合约</w:t>
      </w:r>
      <w:r>
        <w:rPr>
          <w:rFonts w:hint="eastAsia" w:ascii="仿宋_GB2312" w:hAnsi="仿宋_GB2312" w:cs="仿宋_GB2312"/>
          <w:lang w:val="en-US" w:eastAsia="zh-CN"/>
        </w:rPr>
        <w:t>&lt;</w:t>
      </w:r>
      <w:r>
        <w:rPr>
          <w:rFonts w:hint="eastAsia" w:ascii="仿宋_GB2312" w:hAnsi="仿宋_GB2312" w:cs="仿宋_GB2312"/>
          <w:lang w:val="en-US"/>
        </w:rPr>
        <w:t>P</w:t>
      </w:r>
      <w:r>
        <w:rPr>
          <w:rFonts w:hint="eastAsia" w:ascii="仿宋_GB2312" w:hAnsi="仿宋_GB2312" w:cs="仿宋_GB2312"/>
          <w:vertAlign w:val="subscript"/>
          <w:lang w:val="en-US"/>
        </w:rPr>
        <w:t>火电现货月度综合电价</w:t>
      </w:r>
      <w:r>
        <w:rPr>
          <w:rFonts w:hint="eastAsia" w:ascii="仿宋_GB2312" w:hAnsi="仿宋_GB2312" w:cs="仿宋_GB2312"/>
        </w:rPr>
        <w:t>时，</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火电中长期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 xml:space="preserve">回收 </w:t>
      </w:r>
      <w:r>
        <w:rPr>
          <w:rFonts w:hint="eastAsia" w:ascii="仿宋_GB2312" w:hAnsi="仿宋_GB2312" w:cs="仿宋_GB2312"/>
        </w:rPr>
        <w:t>=Σ</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rPr>
        <w:t>1</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rPr>
        <w:t>火电中长期净合约</w:t>
      </w:r>
      <w:r>
        <w:rPr>
          <w:rFonts w:hint="eastAsia" w:ascii="仿宋_GB2312" w:hAnsi="仿宋_GB2312" w:cs="仿宋_GB2312"/>
          <w:lang w:val="en-US"/>
        </w:rPr>
        <w:t>)</w:t>
      </w:r>
    </w:p>
    <w:p>
      <w:pPr>
        <w:pStyle w:val="9"/>
        <w:spacing w:after="0"/>
        <w:jc w:val="center"/>
        <w:rPr>
          <w:rFonts w:ascii="仿宋_GB2312" w:hAnsi="仿宋_GB2312" w:cs="仿宋_GB2312"/>
          <w:lang w:val="en-US"/>
        </w:rPr>
      </w:pPr>
      <w:r>
        <w:rPr>
          <w:rFonts w:hint="eastAsia" w:ascii="仿宋_GB2312" w:hAnsi="仿宋_GB2312" w:cs="仿宋_GB2312"/>
        </w:rPr>
        <w:t>×</w:t>
      </w:r>
      <w:r>
        <w:rPr>
          <w:rFonts w:hint="eastAsia" w:ascii="仿宋_GB2312" w:hAnsi="仿宋_GB2312" w:cs="仿宋_GB2312"/>
          <w:lang w:val="en-US"/>
        </w:rPr>
        <w:t>(P</w:t>
      </w:r>
      <w:r>
        <w:rPr>
          <w:rFonts w:hint="eastAsia" w:ascii="仿宋_GB2312" w:hAnsi="仿宋_GB2312" w:cs="仿宋_GB2312"/>
          <w:vertAlign w:val="subscript"/>
          <w:lang w:val="en-US"/>
        </w:rPr>
        <w:t>火电现货月度综合电价</w:t>
      </w:r>
      <w:r>
        <w:rPr>
          <w:rFonts w:hint="eastAsia" w:ascii="仿宋_GB2312" w:hAnsi="仿宋_GB2312" w:cs="仿宋_GB2312"/>
          <w:lang w:val="en-US"/>
        </w:rPr>
        <w:t>-P</w:t>
      </w:r>
      <w:r>
        <w:rPr>
          <w:rFonts w:hint="eastAsia" w:ascii="仿宋_GB2312" w:hAnsi="仿宋_GB2312" w:cs="仿宋_GB2312"/>
          <w:vertAlign w:val="subscript"/>
          <w:lang w:val="en-US"/>
        </w:rPr>
        <w:t>火电</w:t>
      </w:r>
      <w:r>
        <w:rPr>
          <w:rFonts w:hint="eastAsia" w:ascii="仿宋_GB2312" w:hAnsi="仿宋_GB2312" w:cs="仿宋_GB2312"/>
          <w:vertAlign w:val="subscript"/>
          <w:lang w:val="en-US" w:eastAsia="zh-CN"/>
        </w:rPr>
        <w:t>中长期净合约</w:t>
      </w:r>
      <w:r>
        <w:rPr>
          <w:rFonts w:hint="eastAsia" w:ascii="仿宋_GB2312" w:hAnsi="仿宋_GB2312" w:cs="仿宋_GB2312"/>
          <w:lang w:val="en-US"/>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1</w:t>
      </w:r>
    </w:p>
    <w:p>
      <w:pPr>
        <w:pStyle w:val="9"/>
        <w:spacing w:after="0"/>
        <w:rPr>
          <w:rFonts w:ascii="仿宋_GB2312" w:hAnsi="仿宋_GB2312" w:cs="仿宋_GB2312"/>
        </w:rPr>
      </w:pPr>
      <w:r>
        <w:rPr>
          <w:rFonts w:hint="eastAsia" w:ascii="仿宋_GB2312" w:hAnsi="仿宋_GB2312" w:cs="仿宋_GB2312"/>
        </w:rPr>
        <w:t>当Q</w:t>
      </w:r>
      <w:r>
        <w:rPr>
          <w:rFonts w:hint="eastAsia" w:ascii="仿宋_GB2312" w:hAnsi="仿宋_GB2312" w:cs="仿宋_GB2312"/>
          <w:vertAlign w:val="subscript"/>
          <w:lang w:val="en-US"/>
        </w:rPr>
        <w:t>火电中长期净合约</w:t>
      </w:r>
      <w:r>
        <w:rPr>
          <w:rFonts w:hint="eastAsia" w:ascii="仿宋_GB2312" w:hAnsi="仿宋_GB2312" w:cs="仿宋_GB2312"/>
          <w:vertAlign w:val="baseline"/>
          <w:lang w:val="en-US" w:eastAsia="zh-CN"/>
        </w:rPr>
        <w:t>&gt;</w:t>
      </w:r>
      <w:r>
        <w:rPr>
          <w:rFonts w:hint="eastAsia" w:ascii="仿宋_GB2312" w:hAnsi="仿宋_GB2312" w:cs="仿宋_GB2312"/>
        </w:rPr>
        <w: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2</w:t>
      </w:r>
      <w:r>
        <w:rPr>
          <w:rFonts w:hint="eastAsia" w:ascii="仿宋_GB2312" w:hAnsi="仿宋_GB2312" w:cs="仿宋_GB2312"/>
        </w:rPr>
        <w:t>，且</w:t>
      </w:r>
      <w:r>
        <w:rPr>
          <w:rFonts w:hint="eastAsia" w:ascii="仿宋_GB2312" w:hAnsi="仿宋_GB2312" w:cs="仿宋_GB2312"/>
          <w:lang w:val="en-US"/>
        </w:rPr>
        <w:t>P</w:t>
      </w:r>
      <w:r>
        <w:rPr>
          <w:rFonts w:hint="eastAsia" w:ascii="仿宋_GB2312" w:hAnsi="仿宋_GB2312" w:cs="仿宋_GB2312"/>
          <w:vertAlign w:val="subscript"/>
          <w:lang w:val="en-US"/>
        </w:rPr>
        <w:t>火电</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baseline"/>
          <w:lang w:val="en-US" w:eastAsia="zh-CN"/>
        </w:rPr>
        <w:t>&gt;</w:t>
      </w:r>
      <w:r>
        <w:rPr>
          <w:rFonts w:hint="eastAsia" w:ascii="仿宋_GB2312" w:hAnsi="仿宋_GB2312" w:cs="仿宋_GB2312"/>
          <w:lang w:val="en-US"/>
        </w:rPr>
        <w:t>P</w:t>
      </w:r>
      <w:r>
        <w:rPr>
          <w:rFonts w:hint="eastAsia" w:ascii="仿宋_GB2312" w:hAnsi="仿宋_GB2312" w:cs="仿宋_GB2312"/>
          <w:vertAlign w:val="subscript"/>
          <w:lang w:val="en-US"/>
        </w:rPr>
        <w:t>火电现货月度综合电价</w:t>
      </w:r>
      <w:r>
        <w:rPr>
          <w:rFonts w:hint="eastAsia" w:ascii="仿宋_GB2312" w:hAnsi="仿宋_GB2312" w:cs="仿宋_GB2312"/>
        </w:rPr>
        <w:t>时，</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火电中长期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 xml:space="preserve">回收 </w:t>
      </w:r>
      <w:r>
        <w:rPr>
          <w:rFonts w:hint="eastAsia" w:ascii="仿宋_GB2312" w:hAnsi="仿宋_GB2312" w:cs="仿宋_GB2312"/>
        </w:rPr>
        <w:t>=Σ</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rPr>
        <w:t>火电中长期净合约</w:t>
      </w:r>
      <w:r>
        <w:rPr>
          <w:rFonts w:hint="eastAsia" w:ascii="仿宋_GB2312" w:hAnsi="仿宋_GB2312" w:cs="仿宋_GB2312"/>
          <w:vertAlign w:val="baseline"/>
          <w:lang w:val="en-US" w:eastAsia="zh-CN"/>
        </w:rPr>
        <w:t>-</w:t>
      </w:r>
      <w:r>
        <w:rPr>
          <w:rFonts w:hint="eastAsia" w:ascii="仿宋_GB2312" w:hAnsi="仿宋_GB2312" w:cs="仿宋_GB2312"/>
        </w:rPr>
        <w: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2</w:t>
      </w:r>
      <w:r>
        <w:rPr>
          <w:rFonts w:hint="eastAsia" w:ascii="仿宋_GB2312" w:hAnsi="仿宋_GB2312" w:cs="仿宋_GB2312"/>
          <w:lang w:val="en-US"/>
        </w:rPr>
        <w:t>)</w:t>
      </w:r>
    </w:p>
    <w:p>
      <w:pPr>
        <w:pStyle w:val="9"/>
        <w:spacing w:after="0"/>
        <w:jc w:val="center"/>
        <w:rPr>
          <w:rFonts w:hint="default" w:ascii="仿宋_GB2312" w:hAnsi="仿宋_GB2312" w:eastAsia="仿宋_GB2312" w:cs="仿宋_GB2312"/>
          <w:lang w:val="en-US" w:eastAsia="zh-CN"/>
        </w:rPr>
      </w:pPr>
      <w:r>
        <w:rPr>
          <w:rFonts w:hint="eastAsia" w:ascii="仿宋_GB2312" w:hAnsi="仿宋_GB2312" w:cs="仿宋_GB2312"/>
        </w:rPr>
        <w:t>×</w:t>
      </w:r>
      <w:r>
        <w:rPr>
          <w:rFonts w:hint="eastAsia" w:ascii="仿宋_GB2312" w:hAnsi="仿宋_GB2312" w:cs="仿宋_GB2312"/>
          <w:lang w:val="en-US"/>
        </w:rPr>
        <w:t>(P</w:t>
      </w:r>
      <w:r>
        <w:rPr>
          <w:rFonts w:hint="eastAsia" w:ascii="仿宋_GB2312" w:hAnsi="仿宋_GB2312" w:cs="仿宋_GB2312"/>
          <w:vertAlign w:val="subscript"/>
          <w:lang w:val="en-US"/>
        </w:rPr>
        <w:t>火电</w:t>
      </w:r>
      <w:r>
        <w:rPr>
          <w:rFonts w:hint="eastAsia" w:ascii="仿宋_GB2312" w:hAnsi="仿宋_GB2312" w:cs="仿宋_GB2312"/>
          <w:vertAlign w:val="subscript"/>
          <w:lang w:val="en-US" w:eastAsia="zh-CN"/>
        </w:rPr>
        <w:t>中长期净合约</w:t>
      </w:r>
      <w:r>
        <w:rPr>
          <w:rFonts w:hint="eastAsia" w:ascii="仿宋_GB2312" w:hAnsi="仿宋_GB2312" w:cs="仿宋_GB2312"/>
          <w:lang w:val="en-US"/>
        </w:rPr>
        <w:t>-P</w:t>
      </w:r>
      <w:r>
        <w:rPr>
          <w:rFonts w:hint="eastAsia" w:ascii="仿宋_GB2312" w:hAnsi="仿宋_GB2312" w:cs="仿宋_GB2312"/>
          <w:vertAlign w:val="subscript"/>
          <w:lang w:val="en-US"/>
        </w:rPr>
        <w:t>火电现货月度综合电价</w:t>
      </w:r>
      <w:r>
        <w:rPr>
          <w:rFonts w:hint="eastAsia" w:ascii="仿宋_GB2312" w:hAnsi="仿宋_GB2312" w:cs="仿宋_GB2312"/>
          <w:lang w:val="en-US"/>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2</w:t>
      </w:r>
    </w:p>
    <w:p>
      <w:pPr>
        <w:pStyle w:val="9"/>
        <w:spacing w:after="0"/>
        <w:rPr>
          <w:rFonts w:hint="eastAsia" w:ascii="仿宋_GB2312" w:hAnsi="仿宋_GB2312" w:eastAsia="仿宋_GB2312" w:cs="仿宋_GB2312"/>
          <w:bCs/>
          <w:lang w:val="en-US" w:eastAsia="zh-CN"/>
        </w:rPr>
      </w:pPr>
      <w:r>
        <w:rPr>
          <w:rFonts w:hint="eastAsia" w:ascii="仿宋_GB2312" w:hAnsi="仿宋_GB2312" w:cs="仿宋_GB2312"/>
          <w:bCs/>
          <w:lang w:val="en-US"/>
        </w:rPr>
        <w:t>其中</w:t>
      </w:r>
      <w:r>
        <w:rPr>
          <w:rFonts w:hint="eastAsia" w:ascii="仿宋_GB2312" w:hAnsi="仿宋_GB2312" w:cs="仿宋_GB2312"/>
          <w:bCs/>
          <w:lang w:val="en-US" w:eastAsia="zh-CN"/>
        </w:rPr>
        <w:t>，</w:t>
      </w:r>
    </w:p>
    <w:p>
      <w:pPr>
        <w:pStyle w:val="9"/>
        <w:spacing w:after="0"/>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火电中长期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回收</w:t>
      </w:r>
      <w:r>
        <w:rPr>
          <w:rFonts w:hint="eastAsia" w:ascii="仿宋_GB2312" w:hAnsi="仿宋_GB2312" w:cs="仿宋_GB2312"/>
          <w:lang w:val="en-US"/>
        </w:rPr>
        <w:t>为</w:t>
      </w:r>
      <w:r>
        <w:rPr>
          <w:rFonts w:hint="eastAsia" w:ascii="仿宋_GB2312" w:hAnsi="仿宋_GB2312" w:cs="仿宋_GB2312"/>
          <w:lang w:val="en-US" w:eastAsia="zh-CN"/>
        </w:rPr>
        <w:t>火电</w:t>
      </w:r>
      <w:r>
        <w:rPr>
          <w:rFonts w:hint="eastAsia" w:ascii="仿宋_GB2312" w:hAnsi="仿宋_GB2312" w:cs="仿宋_GB2312"/>
          <w:kern w:val="2"/>
          <w:szCs w:val="22"/>
          <w:lang w:val="en-US"/>
        </w:rPr>
        <w:t>中长期</w:t>
      </w:r>
      <w:r>
        <w:rPr>
          <w:rFonts w:hint="eastAsia"/>
          <w:lang w:val="en-US" w:eastAsia="zh-CN"/>
        </w:rPr>
        <w:t>偏差收益</w:t>
      </w:r>
      <w:r>
        <w:rPr>
          <w:rFonts w:hint="eastAsia" w:ascii="仿宋_GB2312" w:hAnsi="仿宋_GB2312" w:cs="仿宋_GB2312"/>
          <w:kern w:val="2"/>
          <w:szCs w:val="22"/>
          <w:lang w:val="en-US"/>
        </w:rPr>
        <w:t>回收费用</w:t>
      </w:r>
      <w:r>
        <w:rPr>
          <w:rFonts w:hint="eastAsia" w:ascii="仿宋_GB2312" w:hAnsi="仿宋_GB2312" w:cs="仿宋_GB2312"/>
          <w:lang w:val="en-US"/>
        </w:rPr>
        <w:t>；</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为</w:t>
      </w:r>
      <w:r>
        <w:rPr>
          <w:rFonts w:hint="eastAsia" w:ascii="仿宋_GB2312" w:hAnsi="仿宋_GB2312" w:cs="仿宋_GB2312"/>
          <w:lang w:val="en-US"/>
        </w:rPr>
        <w:t>当月火电上网电量</w:t>
      </w:r>
      <w:r>
        <w:rPr>
          <w:rFonts w:hint="eastAsia" w:ascii="仿宋_GB2312" w:hAnsi="仿宋_GB2312" w:cs="仿宋_GB2312"/>
        </w:rPr>
        <w:t>；</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火电中长期净合约</w:t>
      </w:r>
      <w:r>
        <w:rPr>
          <w:rFonts w:hint="eastAsia" w:ascii="仿宋_GB2312" w:hAnsi="仿宋_GB2312" w:cs="仿宋_GB2312"/>
        </w:rPr>
        <w:t>为</w:t>
      </w:r>
      <w:r>
        <w:rPr>
          <w:rFonts w:hint="eastAsia" w:ascii="仿宋_GB2312" w:hAnsi="仿宋_GB2312" w:cs="仿宋_GB2312"/>
          <w:lang w:val="en-US"/>
        </w:rPr>
        <w:t>当月火电中长期净合约电量</w:t>
      </w:r>
      <w:r>
        <w:rPr>
          <w:rFonts w:hint="eastAsia" w:ascii="仿宋_GB2312" w:hAnsi="仿宋_GB2312" w:cs="仿宋_GB2312"/>
        </w:rPr>
        <w:t>；</w:t>
      </w:r>
    </w:p>
    <w:p>
      <w:pPr>
        <w:pStyle w:val="9"/>
        <w:spacing w:after="0"/>
        <w:rPr>
          <w:rFonts w:ascii="仿宋_GB2312" w:hAnsi="仿宋_GB2312" w:cs="仿宋_GB2312"/>
          <w:lang w:val="en-US"/>
        </w:rPr>
      </w:pPr>
      <w:r>
        <w:rPr>
          <w:rFonts w:hint="eastAsia" w:ascii="仿宋_GB2312" w:hAnsi="仿宋_GB2312" w:cs="仿宋_GB2312"/>
          <w:lang w:val="en-US"/>
        </w:rPr>
        <w:t>P</w:t>
      </w:r>
      <w:r>
        <w:rPr>
          <w:rFonts w:hint="eastAsia" w:ascii="仿宋_GB2312" w:hAnsi="仿宋_GB2312" w:cs="仿宋_GB2312"/>
          <w:vertAlign w:val="subscript"/>
          <w:lang w:val="en-US" w:eastAsia="zh-CN"/>
        </w:rPr>
        <w:t>火电中长期净合约</w:t>
      </w:r>
      <w:r>
        <w:rPr>
          <w:rFonts w:hint="eastAsia" w:ascii="仿宋_GB2312" w:hAnsi="仿宋_GB2312" w:cs="仿宋_GB2312"/>
          <w:bCs/>
          <w:lang w:val="en-US"/>
        </w:rPr>
        <w:t>为当月</w:t>
      </w:r>
      <w:r>
        <w:rPr>
          <w:rFonts w:hint="eastAsia" w:ascii="仿宋_GB2312" w:hAnsi="仿宋_GB2312" w:cs="仿宋_GB2312"/>
          <w:bCs/>
          <w:lang w:val="en-US" w:eastAsia="zh-CN"/>
        </w:rPr>
        <w:t>火电</w:t>
      </w:r>
      <w:r>
        <w:rPr>
          <w:rFonts w:hint="eastAsia" w:ascii="仿宋_GB2312" w:hAnsi="仿宋_GB2312" w:cs="仿宋_GB2312"/>
          <w:lang w:val="en-US"/>
        </w:rPr>
        <w:t>中长期净合约</w:t>
      </w:r>
      <w:r>
        <w:rPr>
          <w:rFonts w:hint="eastAsia" w:ascii="仿宋_GB2312" w:hAnsi="仿宋_GB2312" w:cs="仿宋_GB2312"/>
          <w:lang w:val="en-US" w:eastAsia="zh-CN"/>
        </w:rPr>
        <w:t>综合价格</w:t>
      </w:r>
      <w:r>
        <w:rPr>
          <w:rFonts w:hint="eastAsia" w:ascii="仿宋_GB2312" w:hAnsi="仿宋_GB2312" w:cs="仿宋_GB2312"/>
          <w:lang w:val="en-US"/>
        </w:rPr>
        <w:t>；</w:t>
      </w:r>
    </w:p>
    <w:p>
      <w:pPr>
        <w:pStyle w:val="9"/>
        <w:spacing w:after="0"/>
        <w:rPr>
          <w:rFonts w:ascii="仿宋_GB2312" w:hAnsi="仿宋_GB2312" w:cs="仿宋_GB2312"/>
          <w:lang w:val="en-US"/>
        </w:rPr>
      </w:pPr>
      <w:r>
        <w:rPr>
          <w:rFonts w:hint="eastAsia" w:ascii="仿宋_GB2312" w:hAnsi="仿宋_GB2312" w:cs="仿宋_GB2312"/>
          <w:lang w:val="en-US"/>
        </w:rPr>
        <w:t>P</w:t>
      </w:r>
      <w:r>
        <w:rPr>
          <w:rFonts w:hint="eastAsia" w:ascii="仿宋_GB2312" w:hAnsi="仿宋_GB2312" w:cs="仿宋_GB2312"/>
          <w:vertAlign w:val="subscript"/>
          <w:lang w:val="en-US"/>
        </w:rPr>
        <w:t>火电现货月度综合电价</w:t>
      </w:r>
      <w:r>
        <w:rPr>
          <w:rFonts w:hint="eastAsia" w:ascii="仿宋_GB2312" w:hAnsi="仿宋_GB2312" w:cs="仿宋_GB2312"/>
          <w:bCs/>
          <w:lang w:val="en-US"/>
        </w:rPr>
        <w:t>为</w:t>
      </w:r>
      <w:r>
        <w:rPr>
          <w:rFonts w:hint="eastAsia" w:ascii="仿宋_GB2312" w:hAnsi="仿宋_GB2312" w:cs="仿宋_GB2312"/>
          <w:bCs/>
          <w:lang w:val="en-US" w:eastAsia="zh-CN"/>
        </w:rPr>
        <w:t>当月火电</w:t>
      </w:r>
      <w:r>
        <w:rPr>
          <w:rFonts w:hint="eastAsia"/>
          <w:highlight w:val="none"/>
        </w:rPr>
        <w:t>现货市场</w:t>
      </w:r>
      <w:r>
        <w:rPr>
          <w:rFonts w:hint="eastAsia"/>
          <w:highlight w:val="none"/>
          <w:lang w:val="en-US" w:eastAsia="zh-CN"/>
        </w:rPr>
        <w:t>月度综合</w:t>
      </w:r>
      <w:r>
        <w:rPr>
          <w:rFonts w:hint="eastAsia"/>
          <w:highlight w:val="none"/>
        </w:rPr>
        <w:t>价格</w:t>
      </w:r>
      <w:r>
        <w:rPr>
          <w:rFonts w:hint="eastAsia" w:ascii="仿宋_GB2312" w:hAnsi="仿宋_GB2312" w:cs="仿宋_GB2312"/>
          <w:lang w:val="en-US"/>
        </w:rPr>
        <w:t>；</w:t>
      </w:r>
    </w:p>
    <w:p>
      <w:pPr>
        <w:pStyle w:val="9"/>
        <w:spacing w:after="0"/>
        <w:rPr>
          <w:rFonts w:hint="eastAsia" w:ascii="仿宋_GB2312" w:hAnsi="仿宋_GB2312" w:cs="仿宋_GB2312"/>
          <w:highlight w:val="none"/>
          <w:lang w:val="en-US" w:eastAsia="zh-CN"/>
        </w:rPr>
      </w:pP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rPr>
        <w:t>1</w:t>
      </w:r>
      <w:r>
        <w:rPr>
          <w:rFonts w:hint="eastAsia" w:ascii="仿宋_GB2312" w:hAnsi="仿宋_GB2312" w:cs="仿宋_GB2312"/>
          <w:highlight w:val="none"/>
          <w:lang w:val="en-US"/>
        </w:rPr>
        <w:t>为火电中长期净</w:t>
      </w:r>
      <w:r>
        <w:rPr>
          <w:rFonts w:hint="eastAsia" w:ascii="仿宋_GB2312" w:hAnsi="仿宋_GB2312" w:cs="仿宋_GB2312"/>
          <w:highlight w:val="none"/>
          <w:lang w:val="en-US" w:eastAsia="zh-CN"/>
        </w:rPr>
        <w:t>合约</w:t>
      </w:r>
      <w:r>
        <w:rPr>
          <w:rFonts w:hint="eastAsia" w:ascii="仿宋_GB2312" w:hAnsi="仿宋_GB2312" w:cs="仿宋_GB2312"/>
          <w:highlight w:val="none"/>
          <w:lang w:val="en-US"/>
        </w:rPr>
        <w:t>电量占实际上网电量</w:t>
      </w:r>
      <w:r>
        <w:rPr>
          <w:rFonts w:hint="eastAsia" w:ascii="仿宋_GB2312" w:hAnsi="仿宋_GB2312" w:cs="仿宋_GB2312"/>
          <w:highlight w:val="none"/>
          <w:lang w:val="en-US" w:eastAsia="zh-CN"/>
        </w:rPr>
        <w:t>的下限</w:t>
      </w:r>
      <w:r>
        <w:rPr>
          <w:rFonts w:hint="eastAsia" w:ascii="仿宋_GB2312" w:hAnsi="仿宋_GB2312" w:cs="仿宋_GB2312"/>
          <w:highlight w:val="none"/>
          <w:lang w:val="en-US"/>
        </w:rPr>
        <w:t>允许比例</w:t>
      </w:r>
      <w:r>
        <w:rPr>
          <w:rFonts w:hint="eastAsia" w:ascii="仿宋_GB2312" w:hAnsi="仿宋_GB2312" w:cs="仿宋_GB2312"/>
          <w:highlight w:val="none"/>
          <w:lang w:val="en-US" w:eastAsia="zh-CN"/>
        </w:rPr>
        <w:t>；</w:t>
      </w:r>
    </w:p>
    <w:p>
      <w:pPr>
        <w:pStyle w:val="9"/>
        <w:spacing w:after="0"/>
        <w:rPr>
          <w:rFonts w:hint="eastAsia" w:ascii="仿宋_GB2312" w:hAnsi="仿宋_GB2312" w:cs="仿宋_GB2312"/>
          <w:highlight w:val="none"/>
          <w:lang w:val="en-US" w:eastAsia="zh-CN"/>
        </w:rPr>
      </w:pPr>
      <w:r>
        <w:rPr>
          <w:rFonts w:hint="eastAsia" w:ascii="仿宋_GB2312" w:hAnsi="仿宋_GB2312" w:cs="仿宋_GB2312"/>
          <w:lang w:val="en-US"/>
        </w:rPr>
        <w:t>K</w:t>
      </w:r>
      <w:r>
        <w:rPr>
          <w:rFonts w:hint="eastAsia" w:ascii="仿宋_GB2312" w:hAnsi="仿宋_GB2312" w:cs="仿宋_GB2312"/>
          <w:vertAlign w:val="subscript"/>
          <w:lang w:val="en-US" w:eastAsia="zh-CN"/>
        </w:rPr>
        <w:t>2</w:t>
      </w:r>
      <w:r>
        <w:rPr>
          <w:rFonts w:hint="eastAsia" w:ascii="仿宋_GB2312" w:hAnsi="仿宋_GB2312" w:cs="仿宋_GB2312"/>
          <w:highlight w:val="none"/>
          <w:vertAlign w:val="baseline"/>
          <w:lang w:val="en-US" w:eastAsia="zh-CN"/>
        </w:rPr>
        <w:t>为</w:t>
      </w:r>
      <w:r>
        <w:rPr>
          <w:rFonts w:hint="eastAsia" w:ascii="仿宋_GB2312" w:hAnsi="仿宋_GB2312" w:cs="仿宋_GB2312"/>
          <w:highlight w:val="none"/>
          <w:lang w:val="en-US"/>
        </w:rPr>
        <w:t>火电中长期净</w:t>
      </w:r>
      <w:r>
        <w:rPr>
          <w:rFonts w:hint="eastAsia" w:ascii="仿宋_GB2312" w:hAnsi="仿宋_GB2312" w:cs="仿宋_GB2312"/>
          <w:highlight w:val="none"/>
          <w:lang w:val="en-US" w:eastAsia="zh-CN"/>
        </w:rPr>
        <w:t>合约</w:t>
      </w:r>
      <w:r>
        <w:rPr>
          <w:rFonts w:hint="eastAsia" w:ascii="仿宋_GB2312" w:hAnsi="仿宋_GB2312" w:cs="仿宋_GB2312"/>
          <w:highlight w:val="none"/>
          <w:lang w:val="en-US"/>
        </w:rPr>
        <w:t>电量占实际上网电量</w:t>
      </w:r>
      <w:r>
        <w:rPr>
          <w:rFonts w:hint="eastAsia" w:ascii="仿宋_GB2312" w:hAnsi="仿宋_GB2312" w:cs="仿宋_GB2312"/>
          <w:highlight w:val="none"/>
          <w:lang w:val="en-US" w:eastAsia="zh-CN"/>
        </w:rPr>
        <w:t>的上限</w:t>
      </w:r>
      <w:r>
        <w:rPr>
          <w:rFonts w:hint="eastAsia" w:ascii="仿宋_GB2312" w:hAnsi="仿宋_GB2312" w:cs="仿宋_GB2312"/>
          <w:highlight w:val="none"/>
          <w:lang w:val="en-US"/>
        </w:rPr>
        <w:t>允许比例</w:t>
      </w:r>
      <w:r>
        <w:rPr>
          <w:rFonts w:hint="eastAsia" w:ascii="仿宋_GB2312" w:hAnsi="仿宋_GB2312" w:cs="仿宋_GB2312"/>
          <w:highlight w:val="none"/>
          <w:lang w:val="en-US" w:eastAsia="zh-CN"/>
        </w:rPr>
        <w:t>；</w:t>
      </w:r>
    </w:p>
    <w:p>
      <w:pPr>
        <w:pStyle w:val="9"/>
        <w:spacing w:after="0"/>
        <w:rPr>
          <w:rFonts w:ascii="仿宋_GB2312" w:hAnsi="仿宋_GB2312" w:cs="仿宋_GB2312"/>
          <w:highlight w:val="none"/>
          <w:lang w:val="en-US"/>
        </w:rPr>
      </w:pP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1</w:t>
      </w:r>
      <w:r>
        <w:rPr>
          <w:rFonts w:hint="eastAsia" w:ascii="仿宋_GB2312" w:hAnsi="仿宋_GB2312" w:cs="仿宋_GB2312"/>
          <w:vertAlign w:val="baseline"/>
          <w:lang w:val="en-US" w:eastAsia="zh-CN"/>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2</w:t>
      </w:r>
      <w:r>
        <w:rPr>
          <w:rFonts w:hint="eastAsia" w:ascii="仿宋_GB2312" w:hAnsi="仿宋_GB2312" w:cs="仿宋_GB2312"/>
          <w:highlight w:val="none"/>
          <w:lang w:val="en-US"/>
        </w:rPr>
        <w:t>为调整系数。</w:t>
      </w:r>
    </w:p>
    <w:p>
      <w:pPr>
        <w:pStyle w:val="29"/>
        <w:numPr>
          <w:ilvl w:val="0"/>
          <w:numId w:val="6"/>
        </w:numPr>
        <w:tabs>
          <w:tab w:val="left" w:pos="567"/>
          <w:tab w:val="left" w:pos="1417"/>
          <w:tab w:val="left" w:pos="2127"/>
          <w:tab w:val="left" w:pos="4395"/>
          <w:tab w:val="clear" w:pos="1986"/>
        </w:tabs>
        <w:rPr>
          <w:rFonts w:hint="eastAsia" w:ascii="仿宋_GB2312" w:hAnsi="仿宋_GB2312" w:eastAsia="仿宋_GB2312" w:cs="仿宋_GB2312"/>
        </w:rPr>
      </w:pPr>
      <w:r>
        <w:rPr>
          <w:rFonts w:hint="eastAsia" w:ascii="仿宋_GB2312" w:hAnsi="仿宋_GB2312" w:eastAsia="仿宋_GB2312" w:cs="仿宋_GB2312"/>
        </w:rPr>
        <w:t>返还方式</w:t>
      </w:r>
    </w:p>
    <w:p>
      <w:pPr>
        <w:pStyle w:val="29"/>
        <w:numPr>
          <w:ilvl w:val="255"/>
          <w:numId w:val="0"/>
        </w:numPr>
        <w:tabs>
          <w:tab w:val="left" w:pos="567"/>
          <w:tab w:val="left" w:pos="1417"/>
          <w:tab w:val="left" w:pos="2127"/>
          <w:tab w:val="clear" w:pos="1986"/>
        </w:tabs>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所有火电企业</w:t>
      </w:r>
      <w:r>
        <w:rPr>
          <w:rFonts w:hint="eastAsia"/>
        </w:rPr>
        <w:t>中长期</w:t>
      </w:r>
      <w:r>
        <w:rPr>
          <w:rFonts w:hint="eastAsia"/>
          <w:lang w:val="en-US" w:eastAsia="zh-CN"/>
        </w:rPr>
        <w:t>偏差收益</w:t>
      </w:r>
      <w:r>
        <w:rPr>
          <w:rFonts w:hint="eastAsia" w:ascii="仿宋_GB2312" w:hAnsi="仿宋_GB2312" w:eastAsia="仿宋_GB2312" w:cs="仿宋_GB2312"/>
          <w:lang w:val="en-US" w:eastAsia="zh-CN"/>
        </w:rPr>
        <w:t>回收费用</w:t>
      </w:r>
      <w:r>
        <w:rPr>
          <w:rFonts w:hint="eastAsia" w:ascii="仿宋_GB2312" w:hAnsi="仿宋_GB2312" w:eastAsia="仿宋_GB2312" w:cs="仿宋_GB2312"/>
          <w:highlight w:val="none"/>
          <w:lang w:val="en-US" w:eastAsia="zh-CN"/>
        </w:rPr>
        <w:t>返还给所有工商业用户</w:t>
      </w:r>
      <w:r>
        <w:rPr>
          <w:rFonts w:hint="eastAsia" w:ascii="仿宋_GB2312" w:hAnsi="仿宋_GB2312" w:eastAsia="仿宋_GB2312" w:cs="仿宋_GB2312"/>
        </w:rPr>
        <w:t>。</w:t>
      </w:r>
    </w:p>
    <w:p>
      <w:pPr>
        <w:pStyle w:val="107"/>
        <w:spacing w:before="156" w:after="156"/>
        <w:ind w:left="0" w:firstLine="643"/>
      </w:pPr>
      <w:r>
        <w:rPr>
          <w:rFonts w:hint="eastAsia"/>
        </w:rPr>
        <w:t>新能源中长期</w:t>
      </w:r>
      <w:r>
        <w:rPr>
          <w:rFonts w:hint="eastAsia"/>
          <w:lang w:val="en-US" w:eastAsia="zh-CN"/>
        </w:rPr>
        <w:t>偏差收益</w:t>
      </w:r>
      <w:r>
        <w:rPr>
          <w:rFonts w:hint="eastAsia"/>
        </w:rPr>
        <w:t>回收费用</w:t>
      </w:r>
    </w:p>
    <w:p>
      <w:pPr>
        <w:pStyle w:val="9"/>
        <w:spacing w:after="0"/>
        <w:rPr>
          <w:rFonts w:ascii="仿宋_GB2312" w:hAnsi="仿宋_GB2312" w:cs="仿宋_GB2312"/>
          <w:lang w:val="en-US"/>
        </w:rPr>
      </w:pPr>
      <w:r>
        <w:rPr>
          <w:rFonts w:hint="eastAsia" w:ascii="仿宋_GB2312" w:hAnsi="仿宋_GB2312" w:cs="仿宋_GB2312"/>
          <w:kern w:val="2"/>
          <w:szCs w:val="22"/>
          <w:lang w:val="en-US"/>
        </w:rPr>
        <w:t>现货市场运行初期，新能源中长期</w:t>
      </w:r>
      <w:r>
        <w:rPr>
          <w:rFonts w:hint="eastAsia" w:ascii="仿宋_GB2312" w:hAnsi="仿宋_GB2312" w:cs="仿宋_GB2312"/>
          <w:kern w:val="2"/>
          <w:szCs w:val="22"/>
          <w:lang w:val="en-US" w:eastAsia="zh-CN"/>
        </w:rPr>
        <w:t>偏差收益</w:t>
      </w:r>
      <w:r>
        <w:rPr>
          <w:rFonts w:hint="eastAsia" w:ascii="仿宋_GB2312" w:hAnsi="仿宋_GB2312" w:cs="仿宋_GB2312"/>
          <w:kern w:val="2"/>
          <w:szCs w:val="22"/>
          <w:lang w:val="en-US"/>
        </w:rPr>
        <w:t>回收费用指当新能源企业</w:t>
      </w:r>
      <w:r>
        <w:rPr>
          <w:rFonts w:hint="eastAsia" w:ascii="仿宋_GB2312" w:hAnsi="仿宋_GB2312" w:cs="仿宋_GB2312"/>
          <w:lang w:val="en-US"/>
        </w:rPr>
        <w:t>中长期合约</w:t>
      </w:r>
      <w:r>
        <w:rPr>
          <w:rFonts w:hint="eastAsia" w:ascii="仿宋_GB2312" w:hAnsi="仿宋_GB2312" w:cs="仿宋_GB2312"/>
        </w:rPr>
        <w:t>电量低于</w:t>
      </w:r>
      <w:r>
        <w:rPr>
          <w:rFonts w:hint="eastAsia" w:ascii="仿宋_GB2312" w:hAnsi="仿宋_GB2312" w:cs="仿宋_GB2312"/>
          <w:lang w:val="en-US" w:eastAsia="zh-CN"/>
        </w:rPr>
        <w:t>或高于</w:t>
      </w:r>
      <w:r>
        <w:rPr>
          <w:rFonts w:hint="eastAsia" w:ascii="仿宋_GB2312" w:hAnsi="仿宋_GB2312" w:cs="仿宋_GB2312"/>
        </w:rPr>
        <w:t>实际结算电量一定比例时，</w:t>
      </w:r>
      <w:r>
        <w:rPr>
          <w:rFonts w:hint="eastAsia" w:ascii="仿宋_GB2312" w:hAnsi="仿宋_GB2312" w:cs="仿宋_GB2312"/>
          <w:kern w:val="2"/>
          <w:szCs w:val="22"/>
          <w:lang w:val="en-US"/>
        </w:rPr>
        <w:t>对低于下限要求</w:t>
      </w:r>
      <w:r>
        <w:rPr>
          <w:rFonts w:hint="eastAsia" w:ascii="仿宋_GB2312" w:hAnsi="仿宋_GB2312" w:cs="仿宋_GB2312"/>
          <w:kern w:val="2"/>
          <w:szCs w:val="22"/>
          <w:lang w:val="en-US" w:eastAsia="zh-CN"/>
        </w:rPr>
        <w:t>或高于上限要求</w:t>
      </w:r>
      <w:r>
        <w:rPr>
          <w:rFonts w:hint="eastAsia" w:ascii="仿宋_GB2312" w:hAnsi="仿宋_GB2312" w:cs="仿宋_GB2312"/>
          <w:kern w:val="2"/>
          <w:szCs w:val="22"/>
          <w:lang w:val="en-US"/>
        </w:rPr>
        <w:t>的电量按月度进行</w:t>
      </w:r>
      <w:r>
        <w:rPr>
          <w:rFonts w:hint="eastAsia" w:ascii="仿宋_GB2312" w:hAnsi="仿宋_GB2312" w:cs="仿宋_GB2312"/>
          <w:kern w:val="2"/>
          <w:szCs w:val="22"/>
          <w:lang w:val="en-US" w:eastAsia="zh-CN"/>
        </w:rPr>
        <w:t>偏差收益</w:t>
      </w:r>
      <w:r>
        <w:rPr>
          <w:rFonts w:hint="eastAsia" w:ascii="仿宋_GB2312" w:hAnsi="仿宋_GB2312" w:cs="仿宋_GB2312"/>
          <w:kern w:val="2"/>
          <w:szCs w:val="22"/>
          <w:lang w:val="en-US"/>
        </w:rPr>
        <w:t>费用回收。</w:t>
      </w:r>
    </w:p>
    <w:p>
      <w:pPr>
        <w:pStyle w:val="29"/>
        <w:numPr>
          <w:ilvl w:val="255"/>
          <w:numId w:val="0"/>
        </w:numPr>
        <w:tabs>
          <w:tab w:val="left" w:pos="567"/>
          <w:tab w:val="left" w:pos="1417"/>
          <w:tab w:val="left" w:pos="2127"/>
          <w:tab w:val="left" w:pos="4395"/>
          <w:tab w:val="clear" w:pos="1986"/>
        </w:tabs>
        <w:ind w:firstLine="640"/>
        <w:jc w:val="left"/>
        <w:textAlignment w:val="center"/>
        <w:rPr>
          <w:rFonts w:ascii="仿宋_GB2312" w:hAnsi="仿宋_GB2312" w:eastAsia="仿宋_GB2312" w:cs="仿宋_GB2312"/>
        </w:rPr>
      </w:pPr>
      <w:r>
        <w:rPr>
          <w:rFonts w:hint="eastAsia" w:ascii="仿宋_GB2312" w:hAnsi="仿宋_GB2312" w:eastAsia="仿宋_GB2312" w:cs="仿宋_GB2312"/>
        </w:rPr>
        <w:t>（1）计算公式</w:t>
      </w:r>
    </w:p>
    <w:p>
      <w:pPr>
        <w:pStyle w:val="9"/>
        <w:spacing w:after="0"/>
        <w:rPr>
          <w:rFonts w:ascii="仿宋_GB2312" w:hAnsi="仿宋_GB2312" w:cs="仿宋_GB2312"/>
          <w:highlight w:val="none"/>
        </w:rPr>
      </w:pPr>
      <w:r>
        <w:rPr>
          <w:rFonts w:hint="eastAsia" w:ascii="仿宋_GB2312" w:hAnsi="仿宋_GB2312" w:cs="仿宋_GB2312"/>
          <w:highlight w:val="none"/>
        </w:rPr>
        <w:t>当Q</w:t>
      </w:r>
      <w:r>
        <w:rPr>
          <w:rFonts w:hint="eastAsia" w:ascii="仿宋_GB2312" w:hAnsi="仿宋_GB2312" w:cs="仿宋_GB2312"/>
          <w:highlight w:val="none"/>
          <w:vertAlign w:val="subscript"/>
          <w:lang w:val="en-US"/>
        </w:rPr>
        <w:t>新能源中长期净合约</w:t>
      </w:r>
      <w:r>
        <w:rPr>
          <w:rFonts w:hint="eastAsia" w:ascii="仿宋_GB2312" w:hAnsi="仿宋_GB2312" w:cs="仿宋_GB2312"/>
          <w:highlight w:val="none"/>
        </w:rPr>
        <w:t>&lt;Q</w:t>
      </w:r>
      <w:r>
        <w:rPr>
          <w:rFonts w:hint="eastAsia" w:ascii="仿宋_GB2312" w:hAnsi="仿宋_GB2312" w:cs="仿宋_GB2312"/>
          <w:highlight w:val="none"/>
          <w:vertAlign w:val="subscript"/>
          <w:lang w:val="en-US"/>
        </w:rPr>
        <w:t>新能源实际发</w:t>
      </w:r>
      <w:r>
        <w:rPr>
          <w:rFonts w:hint="eastAsia" w:ascii="仿宋_GB2312" w:hAnsi="仿宋_GB2312" w:cs="仿宋_GB2312"/>
          <w:highlight w:val="none"/>
          <w:vertAlign w:val="subscript"/>
        </w:rPr>
        <w:t>电</w:t>
      </w:r>
      <w:r>
        <w:rPr>
          <w:rFonts w:hint="eastAsia" w:ascii="仿宋_GB2312" w:hAnsi="仿宋_GB2312" w:cs="仿宋_GB2312"/>
          <w:highlight w:val="none"/>
        </w:rPr>
        <w:t>×</w:t>
      </w: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rPr>
        <w:t>3</w:t>
      </w:r>
      <w:r>
        <w:rPr>
          <w:rFonts w:hint="eastAsia" w:ascii="仿宋_GB2312" w:hAnsi="仿宋_GB2312" w:cs="仿宋_GB2312"/>
          <w:highlight w:val="none"/>
        </w:rPr>
        <w:t>，且</w:t>
      </w: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新能源</w:t>
      </w:r>
      <w:r>
        <w:rPr>
          <w:rFonts w:hint="eastAsia" w:ascii="仿宋_GB2312" w:hAnsi="仿宋_GB2312" w:cs="仿宋_GB2312"/>
          <w:highlight w:val="none"/>
          <w:vertAlign w:val="subscript"/>
          <w:lang w:val="en-US" w:eastAsia="zh-CN"/>
        </w:rPr>
        <w:t>中长期净合约</w:t>
      </w:r>
      <w:r>
        <w:rPr>
          <w:rFonts w:hint="eastAsia" w:ascii="仿宋_GB2312" w:hAnsi="仿宋_GB2312" w:cs="仿宋_GB2312"/>
          <w:highlight w:val="none"/>
        </w:rPr>
        <w:t>&lt;</w:t>
      </w: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新能源现货月度综合电价</w:t>
      </w:r>
      <w:r>
        <w:rPr>
          <w:rFonts w:hint="eastAsia" w:ascii="仿宋_GB2312" w:hAnsi="仿宋_GB2312" w:cs="仿宋_GB2312"/>
          <w:highlight w:val="none"/>
        </w:rPr>
        <w:t>时，</w:t>
      </w:r>
    </w:p>
    <w:p>
      <w:pPr>
        <w:pStyle w:val="9"/>
        <w:spacing w:after="0"/>
        <w:jc w:val="center"/>
        <w:rPr>
          <w:rFonts w:ascii="仿宋_GB2312" w:hAnsi="仿宋_GB2312" w:cs="仿宋_GB2312"/>
          <w:highlight w:val="none"/>
          <w:lang w:val="en-US"/>
        </w:rPr>
      </w:pPr>
      <w:r>
        <w:rPr>
          <w:rFonts w:hint="eastAsia" w:ascii="仿宋_GB2312" w:hAnsi="仿宋_GB2312" w:cs="仿宋_GB2312"/>
          <w:highlight w:val="none"/>
        </w:rPr>
        <w:t>R</w:t>
      </w:r>
      <w:r>
        <w:rPr>
          <w:rFonts w:hint="eastAsia" w:ascii="仿宋_GB2312" w:hAnsi="仿宋_GB2312" w:cs="仿宋_GB2312"/>
          <w:highlight w:val="none"/>
          <w:vertAlign w:val="subscript"/>
          <w:lang w:val="en-US"/>
        </w:rPr>
        <w:t>新能源中长期</w:t>
      </w:r>
      <w:r>
        <w:rPr>
          <w:rFonts w:hint="eastAsia" w:ascii="仿宋_GB2312" w:hAnsi="仿宋_GB2312" w:cs="仿宋_GB2312"/>
          <w:highlight w:val="none"/>
          <w:vertAlign w:val="subscript"/>
          <w:lang w:val="en-US" w:eastAsia="zh-CN"/>
        </w:rPr>
        <w:t>偏差收益</w:t>
      </w:r>
      <w:r>
        <w:rPr>
          <w:rFonts w:hint="eastAsia" w:ascii="仿宋_GB2312" w:hAnsi="仿宋_GB2312" w:cs="仿宋_GB2312"/>
          <w:highlight w:val="none"/>
          <w:vertAlign w:val="subscript"/>
          <w:lang w:val="en-US"/>
        </w:rPr>
        <w:t xml:space="preserve">回收 </w:t>
      </w:r>
      <w:r>
        <w:rPr>
          <w:rFonts w:hint="eastAsia" w:ascii="仿宋_GB2312" w:hAnsi="仿宋_GB2312" w:cs="仿宋_GB2312"/>
          <w:highlight w:val="none"/>
        </w:rPr>
        <w:t>=Σ</w:t>
      </w:r>
      <w:r>
        <w:rPr>
          <w:rFonts w:hint="eastAsia" w:ascii="仿宋_GB2312" w:hAnsi="仿宋_GB2312" w:cs="仿宋_GB2312"/>
          <w:highlight w:val="none"/>
          <w:lang w:val="en-US"/>
        </w:rPr>
        <w:t>(</w:t>
      </w:r>
      <w:r>
        <w:rPr>
          <w:rFonts w:hint="eastAsia" w:ascii="仿宋_GB2312" w:hAnsi="仿宋_GB2312" w:cs="仿宋_GB2312"/>
          <w:highlight w:val="none"/>
        </w:rPr>
        <w:t>Q</w:t>
      </w:r>
      <w:r>
        <w:rPr>
          <w:rFonts w:hint="eastAsia" w:ascii="仿宋_GB2312" w:hAnsi="仿宋_GB2312" w:cs="仿宋_GB2312"/>
          <w:highlight w:val="none"/>
          <w:vertAlign w:val="subscript"/>
          <w:lang w:val="en-US"/>
        </w:rPr>
        <w:t>新能源实际发</w:t>
      </w:r>
      <w:r>
        <w:rPr>
          <w:rFonts w:hint="eastAsia" w:ascii="仿宋_GB2312" w:hAnsi="仿宋_GB2312" w:cs="仿宋_GB2312"/>
          <w:highlight w:val="none"/>
          <w:vertAlign w:val="subscript"/>
        </w:rPr>
        <w:t>电</w:t>
      </w:r>
      <w:r>
        <w:rPr>
          <w:rFonts w:hint="eastAsia" w:ascii="仿宋_GB2312" w:hAnsi="仿宋_GB2312" w:cs="仿宋_GB2312"/>
          <w:highlight w:val="none"/>
        </w:rPr>
        <w:t>×</w:t>
      </w: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rPr>
        <w:t>3</w:t>
      </w:r>
      <w:r>
        <w:rPr>
          <w:rFonts w:hint="eastAsia" w:ascii="仿宋_GB2312" w:hAnsi="仿宋_GB2312" w:cs="仿宋_GB2312"/>
          <w:highlight w:val="none"/>
          <w:lang w:val="en-US"/>
        </w:rPr>
        <w:t>-</w:t>
      </w:r>
      <w:r>
        <w:rPr>
          <w:rFonts w:hint="eastAsia" w:ascii="仿宋_GB2312" w:hAnsi="仿宋_GB2312" w:cs="仿宋_GB2312"/>
          <w:highlight w:val="none"/>
        </w:rPr>
        <w:t>Q</w:t>
      </w:r>
      <w:r>
        <w:rPr>
          <w:rFonts w:hint="eastAsia" w:ascii="仿宋_GB2312" w:hAnsi="仿宋_GB2312" w:cs="仿宋_GB2312"/>
          <w:highlight w:val="none"/>
          <w:vertAlign w:val="subscript"/>
          <w:lang w:val="en-US"/>
        </w:rPr>
        <w:t>新能源中长期净合约</w:t>
      </w:r>
      <w:r>
        <w:rPr>
          <w:rFonts w:hint="eastAsia" w:ascii="仿宋_GB2312" w:hAnsi="仿宋_GB2312" w:cs="仿宋_GB2312"/>
          <w:highlight w:val="none"/>
          <w:lang w:val="en-US"/>
        </w:rPr>
        <w:t>)</w:t>
      </w:r>
    </w:p>
    <w:p>
      <w:pPr>
        <w:pStyle w:val="9"/>
        <w:spacing w:after="0"/>
        <w:jc w:val="center"/>
        <w:rPr>
          <w:rFonts w:hint="eastAsia" w:ascii="仿宋_GB2312" w:hAnsi="仿宋_GB2312" w:cs="仿宋_GB2312"/>
          <w:highlight w:val="none"/>
          <w:vertAlign w:val="subscript"/>
          <w:lang w:val="en-US"/>
        </w:rPr>
      </w:pPr>
      <w:r>
        <w:rPr>
          <w:rFonts w:hint="eastAsia" w:ascii="仿宋_GB2312" w:hAnsi="仿宋_GB2312" w:cs="仿宋_GB2312"/>
          <w:highlight w:val="none"/>
        </w:rPr>
        <w:t>×</w:t>
      </w: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新能源现货月度综合电价</w:t>
      </w: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新能源</w:t>
      </w:r>
      <w:r>
        <w:rPr>
          <w:rFonts w:hint="eastAsia" w:ascii="仿宋_GB2312" w:hAnsi="仿宋_GB2312" w:cs="仿宋_GB2312"/>
          <w:highlight w:val="none"/>
          <w:vertAlign w:val="subscript"/>
          <w:lang w:val="en-US" w:eastAsia="zh-CN"/>
        </w:rPr>
        <w:t>中长期净合约</w:t>
      </w:r>
      <w:r>
        <w:rPr>
          <w:rFonts w:hint="eastAsia" w:ascii="仿宋_GB2312" w:hAnsi="仿宋_GB2312" w:cs="仿宋_GB2312"/>
          <w:highlight w:val="none"/>
          <w:lang w:val="en-US"/>
        </w:rPr>
        <w:t>)×</w:t>
      </w:r>
      <w:r>
        <w:rPr>
          <w:rFonts w:hint="eastAsia" w:ascii="仿宋_GB2312" w:hAnsi="仿宋_GB2312" w:cs="仿宋_GB2312"/>
          <w:highlight w:val="none"/>
          <w:lang w:val="en-US" w:eastAsia="zh-CN"/>
        </w:rPr>
        <w:t>h</w:t>
      </w:r>
      <w:r>
        <w:rPr>
          <w:rFonts w:hint="eastAsia" w:ascii="仿宋_GB2312" w:hAnsi="仿宋_GB2312" w:cs="仿宋_GB2312"/>
          <w:highlight w:val="none"/>
          <w:vertAlign w:val="subscript"/>
          <w:lang w:val="en-US" w:eastAsia="zh-CN"/>
        </w:rPr>
        <w:t>3</w:t>
      </w:r>
    </w:p>
    <w:p>
      <w:pPr>
        <w:pStyle w:val="9"/>
        <w:spacing w:after="0"/>
        <w:rPr>
          <w:rFonts w:ascii="仿宋_GB2312" w:hAnsi="仿宋_GB2312" w:cs="仿宋_GB2312"/>
        </w:rPr>
      </w:pPr>
      <w:r>
        <w:rPr>
          <w:rFonts w:hint="eastAsia" w:ascii="仿宋_GB2312" w:hAnsi="仿宋_GB2312" w:cs="仿宋_GB2312"/>
        </w:rPr>
        <w:t>当Q</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中长期净合约</w:t>
      </w:r>
      <w:r>
        <w:rPr>
          <w:rFonts w:hint="eastAsia" w:ascii="仿宋_GB2312" w:hAnsi="仿宋_GB2312" w:cs="仿宋_GB2312"/>
          <w:vertAlign w:val="baseline"/>
          <w:lang w:val="en-US" w:eastAsia="zh-CN"/>
        </w:rPr>
        <w:t>&gt;</w:t>
      </w:r>
      <w:r>
        <w:rPr>
          <w:rFonts w:hint="eastAsia" w:ascii="仿宋_GB2312" w:hAnsi="仿宋_GB2312" w:cs="仿宋_GB2312"/>
        </w:rPr>
        <w:t>Q</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4</w:t>
      </w:r>
      <w:r>
        <w:rPr>
          <w:rFonts w:hint="eastAsia" w:ascii="仿宋_GB2312" w:hAnsi="仿宋_GB2312" w:cs="仿宋_GB2312"/>
        </w:rPr>
        <w:t>，且</w:t>
      </w:r>
      <w:r>
        <w:rPr>
          <w:rFonts w:hint="eastAsia" w:ascii="仿宋_GB2312" w:hAnsi="仿宋_GB2312" w:cs="仿宋_GB2312"/>
          <w:lang w:val="en-US"/>
        </w:rPr>
        <w:t>P</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现货月度综合电价</w:t>
      </w:r>
      <w:r>
        <w:rPr>
          <w:rFonts w:hint="eastAsia" w:ascii="仿宋_GB2312" w:hAnsi="仿宋_GB2312" w:cs="仿宋_GB2312"/>
          <w:lang w:val="en-US" w:eastAsia="zh-CN"/>
        </w:rPr>
        <w:t>&lt;</w:t>
      </w:r>
      <w:r>
        <w:rPr>
          <w:rFonts w:hint="eastAsia" w:ascii="仿宋_GB2312" w:hAnsi="仿宋_GB2312" w:cs="仿宋_GB2312"/>
          <w:lang w:val="en-US"/>
        </w:rPr>
        <w:t>P</w:t>
      </w:r>
      <w:r>
        <w:rPr>
          <w:rFonts w:hint="eastAsia" w:ascii="仿宋_GB2312" w:hAnsi="仿宋_GB2312" w:cs="仿宋_GB2312"/>
          <w:vertAlign w:val="subscript"/>
          <w:lang w:val="en-US" w:eastAsia="zh-CN"/>
        </w:rPr>
        <w:t>新能源中长期净合约</w:t>
      </w:r>
      <w:r>
        <w:rPr>
          <w:rFonts w:hint="eastAsia" w:ascii="仿宋_GB2312" w:hAnsi="仿宋_GB2312" w:cs="仿宋_GB2312"/>
        </w:rPr>
        <w:t>时，</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 xml:space="preserve">回收 </w:t>
      </w:r>
      <w:r>
        <w:rPr>
          <w:rFonts w:hint="eastAsia" w:ascii="仿宋_GB2312" w:hAnsi="仿宋_GB2312" w:cs="仿宋_GB2312"/>
        </w:rPr>
        <w:t>=Σ</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中长期净合约</w:t>
      </w:r>
      <w:r>
        <w:rPr>
          <w:rFonts w:hint="eastAsia" w:ascii="仿宋_GB2312" w:hAnsi="仿宋_GB2312" w:cs="仿宋_GB2312"/>
          <w:vertAlign w:val="baseline"/>
          <w:lang w:val="en-US" w:eastAsia="zh-CN"/>
        </w:rPr>
        <w:t>-</w:t>
      </w:r>
      <w:r>
        <w:rPr>
          <w:rFonts w:hint="eastAsia" w:ascii="仿宋_GB2312" w:hAnsi="仿宋_GB2312" w:cs="仿宋_GB2312"/>
        </w:rPr>
        <w:t>Q</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4</w:t>
      </w:r>
      <w:r>
        <w:rPr>
          <w:rFonts w:hint="eastAsia" w:ascii="仿宋_GB2312" w:hAnsi="仿宋_GB2312" w:cs="仿宋_GB2312"/>
          <w:lang w:val="en-US"/>
        </w:rPr>
        <w:t>)</w:t>
      </w:r>
    </w:p>
    <w:p>
      <w:pPr>
        <w:pStyle w:val="9"/>
        <w:spacing w:after="0"/>
        <w:jc w:val="center"/>
        <w:rPr>
          <w:rFonts w:hint="default" w:ascii="仿宋_GB2312" w:hAnsi="仿宋_GB2312" w:cs="仿宋_GB2312"/>
          <w:vertAlign w:val="subscript"/>
          <w:lang w:val="en-US"/>
        </w:rPr>
      </w:pPr>
      <w:r>
        <w:rPr>
          <w:rFonts w:hint="eastAsia" w:ascii="仿宋_GB2312" w:hAnsi="仿宋_GB2312" w:cs="仿宋_GB2312"/>
        </w:rPr>
        <w:t>×</w:t>
      </w:r>
      <w:r>
        <w:rPr>
          <w:rFonts w:hint="eastAsia" w:ascii="仿宋_GB2312" w:hAnsi="仿宋_GB2312" w:cs="仿宋_GB2312"/>
          <w:lang w:val="en-US"/>
        </w:rPr>
        <w:t>(P</w:t>
      </w:r>
      <w:r>
        <w:rPr>
          <w:rFonts w:hint="eastAsia" w:ascii="仿宋_GB2312" w:hAnsi="仿宋_GB2312" w:cs="仿宋_GB2312"/>
          <w:vertAlign w:val="subscript"/>
          <w:lang w:val="en-US" w:eastAsia="zh-CN"/>
        </w:rPr>
        <w:t>新能源中长期净合约</w:t>
      </w:r>
      <w:r>
        <w:rPr>
          <w:rFonts w:hint="eastAsia" w:ascii="仿宋_GB2312" w:hAnsi="仿宋_GB2312" w:cs="仿宋_GB2312"/>
          <w:lang w:val="en-US"/>
        </w:rPr>
        <w:t>-P</w:t>
      </w:r>
      <w:r>
        <w:rPr>
          <w:rFonts w:hint="eastAsia" w:ascii="仿宋_GB2312" w:hAnsi="仿宋_GB2312" w:cs="仿宋_GB2312"/>
          <w:vertAlign w:val="subscript"/>
          <w:lang w:val="en-US" w:eastAsia="zh-CN"/>
        </w:rPr>
        <w:t>新能源</w:t>
      </w:r>
      <w:r>
        <w:rPr>
          <w:rFonts w:hint="eastAsia" w:ascii="仿宋_GB2312" w:hAnsi="仿宋_GB2312" w:cs="仿宋_GB2312"/>
          <w:vertAlign w:val="subscript"/>
          <w:lang w:val="en-US"/>
        </w:rPr>
        <w:t>现货月度综合电价</w:t>
      </w:r>
      <w:r>
        <w:rPr>
          <w:rFonts w:hint="eastAsia" w:ascii="仿宋_GB2312" w:hAnsi="仿宋_GB2312" w:cs="仿宋_GB2312"/>
          <w:lang w:val="en-US"/>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4</w:t>
      </w:r>
    </w:p>
    <w:p>
      <w:pPr>
        <w:pStyle w:val="9"/>
        <w:spacing w:after="0"/>
        <w:rPr>
          <w:rFonts w:hint="eastAsia" w:ascii="仿宋_GB2312" w:hAnsi="仿宋_GB2312" w:eastAsia="仿宋_GB2312" w:cs="仿宋_GB2312"/>
          <w:bCs/>
          <w:lang w:val="en-US" w:eastAsia="zh-CN"/>
        </w:rPr>
      </w:pPr>
      <w:r>
        <w:rPr>
          <w:rFonts w:hint="eastAsia" w:ascii="仿宋_GB2312" w:hAnsi="仿宋_GB2312" w:cs="仿宋_GB2312"/>
          <w:bCs/>
          <w:lang w:val="en-US"/>
        </w:rPr>
        <w:t>其中</w:t>
      </w:r>
      <w:r>
        <w:rPr>
          <w:rFonts w:hint="eastAsia" w:ascii="仿宋_GB2312" w:hAnsi="仿宋_GB2312" w:cs="仿宋_GB2312"/>
          <w:bCs/>
          <w:lang w:val="en-US" w:eastAsia="zh-CN"/>
        </w:rPr>
        <w:t>，</w:t>
      </w:r>
    </w:p>
    <w:p>
      <w:pPr>
        <w:pStyle w:val="9"/>
        <w:spacing w:after="0"/>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新能源中长期缺额回收</w:t>
      </w:r>
      <w:r>
        <w:rPr>
          <w:rFonts w:hint="eastAsia" w:ascii="仿宋_GB2312" w:hAnsi="仿宋_GB2312" w:cs="仿宋_GB2312"/>
          <w:lang w:val="en-US"/>
        </w:rPr>
        <w:t>为新能源中长期缺额回收费用；</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新能源实际发</w:t>
      </w:r>
      <w:r>
        <w:rPr>
          <w:rFonts w:hint="eastAsia" w:ascii="仿宋_GB2312" w:hAnsi="仿宋_GB2312" w:cs="仿宋_GB2312"/>
          <w:vertAlign w:val="subscript"/>
        </w:rPr>
        <w:t>电</w:t>
      </w:r>
      <w:r>
        <w:rPr>
          <w:rFonts w:hint="eastAsia" w:ascii="仿宋_GB2312" w:hAnsi="仿宋_GB2312" w:cs="仿宋_GB2312"/>
        </w:rPr>
        <w:t>为</w:t>
      </w:r>
      <w:r>
        <w:rPr>
          <w:rFonts w:hint="eastAsia" w:ascii="仿宋_GB2312" w:hAnsi="仿宋_GB2312" w:cs="仿宋_GB2312"/>
          <w:lang w:val="en-US"/>
        </w:rPr>
        <w:t>当月新能源上网电量</w:t>
      </w:r>
      <w:r>
        <w:rPr>
          <w:rFonts w:hint="eastAsia" w:ascii="仿宋_GB2312" w:hAnsi="仿宋_GB2312" w:cs="仿宋_GB2312"/>
        </w:rPr>
        <w:t>；</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新能源中长期净合约</w:t>
      </w:r>
      <w:r>
        <w:rPr>
          <w:rFonts w:hint="eastAsia" w:ascii="仿宋_GB2312" w:hAnsi="仿宋_GB2312" w:cs="仿宋_GB2312"/>
        </w:rPr>
        <w:t>为</w:t>
      </w:r>
      <w:r>
        <w:rPr>
          <w:rFonts w:hint="eastAsia" w:ascii="仿宋_GB2312" w:hAnsi="仿宋_GB2312" w:cs="仿宋_GB2312"/>
          <w:lang w:val="en-US"/>
        </w:rPr>
        <w:t>当月新能源中长期净合约电量</w:t>
      </w:r>
      <w:r>
        <w:rPr>
          <w:rFonts w:hint="eastAsia" w:ascii="仿宋_GB2312" w:hAnsi="仿宋_GB2312" w:cs="仿宋_GB2312"/>
        </w:rPr>
        <w:t>；</w:t>
      </w:r>
    </w:p>
    <w:p>
      <w:pPr>
        <w:pStyle w:val="9"/>
        <w:spacing w:after="0"/>
        <w:rPr>
          <w:rFonts w:hint="default" w:ascii="仿宋_GB2312" w:hAnsi="仿宋_GB2312" w:eastAsia="仿宋_GB2312" w:cs="仿宋_GB2312"/>
          <w:bCs/>
          <w:lang w:val="en-US" w:eastAsia="zh-CN"/>
        </w:rPr>
      </w:pPr>
      <w:r>
        <w:rPr>
          <w:rFonts w:hint="eastAsia" w:ascii="仿宋_GB2312" w:hAnsi="仿宋_GB2312" w:cs="仿宋_GB2312"/>
          <w:lang w:val="en-US"/>
        </w:rPr>
        <w:t>P</w:t>
      </w:r>
      <w:r>
        <w:rPr>
          <w:rFonts w:hint="eastAsia" w:ascii="仿宋_GB2312" w:hAnsi="仿宋_GB2312" w:cs="仿宋_GB2312"/>
          <w:vertAlign w:val="subscript"/>
          <w:lang w:val="en-US"/>
        </w:rPr>
        <w:t>新能源</w:t>
      </w:r>
      <w:r>
        <w:rPr>
          <w:rFonts w:hint="eastAsia" w:ascii="仿宋_GB2312" w:hAnsi="仿宋_GB2312" w:cs="仿宋_GB2312"/>
          <w:vertAlign w:val="subscript"/>
          <w:lang w:val="en-US" w:eastAsia="zh-CN"/>
        </w:rPr>
        <w:t>中长期净合约</w:t>
      </w:r>
      <w:r>
        <w:rPr>
          <w:rFonts w:hint="eastAsia" w:ascii="仿宋_GB2312" w:hAnsi="仿宋_GB2312" w:cs="仿宋_GB2312"/>
          <w:bCs/>
          <w:lang w:val="en-US"/>
        </w:rPr>
        <w:t>为当月新能源</w:t>
      </w:r>
      <w:r>
        <w:rPr>
          <w:rFonts w:hint="eastAsia" w:ascii="仿宋_GB2312" w:hAnsi="仿宋_GB2312" w:cs="仿宋_GB2312"/>
          <w:lang w:val="en-US"/>
        </w:rPr>
        <w:t>中长期净合约</w:t>
      </w:r>
      <w:r>
        <w:rPr>
          <w:rFonts w:hint="eastAsia" w:ascii="仿宋_GB2312" w:hAnsi="仿宋_GB2312" w:cs="仿宋_GB2312"/>
          <w:lang w:val="en-US" w:eastAsia="zh-CN"/>
        </w:rPr>
        <w:t>综合价格；</w:t>
      </w:r>
    </w:p>
    <w:p>
      <w:pPr>
        <w:pStyle w:val="9"/>
        <w:spacing w:after="0"/>
        <w:rPr>
          <w:rFonts w:hint="eastAsia" w:ascii="仿宋_GB2312" w:hAnsi="仿宋_GB2312" w:eastAsia="仿宋_GB2312" w:cs="仿宋_GB2312"/>
          <w:bCs/>
          <w:highlight w:val="none"/>
          <w:lang w:val="en-US" w:eastAsia="zh-CN"/>
        </w:rPr>
      </w:pP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新能源现货月度</w:t>
      </w:r>
      <w:r>
        <w:rPr>
          <w:rFonts w:hint="eastAsia" w:ascii="仿宋_GB2312" w:hAnsi="仿宋_GB2312" w:cs="仿宋_GB2312"/>
          <w:highlight w:val="none"/>
          <w:vertAlign w:val="subscript"/>
          <w:lang w:val="en-US" w:eastAsia="zh-CN"/>
        </w:rPr>
        <w:t>综合电价</w:t>
      </w:r>
      <w:r>
        <w:rPr>
          <w:rFonts w:hint="eastAsia" w:ascii="仿宋_GB2312" w:hAnsi="仿宋_GB2312" w:cs="仿宋_GB2312"/>
          <w:bCs/>
          <w:highlight w:val="none"/>
          <w:lang w:val="en-US"/>
        </w:rPr>
        <w:t>为</w:t>
      </w:r>
      <w:r>
        <w:rPr>
          <w:rFonts w:hint="eastAsia" w:ascii="仿宋_GB2312" w:hAnsi="仿宋_GB2312" w:cs="仿宋_GB2312"/>
          <w:bCs/>
          <w:highlight w:val="none"/>
          <w:lang w:val="en-US" w:eastAsia="zh-CN"/>
        </w:rPr>
        <w:t>当月</w:t>
      </w:r>
      <w:r>
        <w:rPr>
          <w:rFonts w:hint="eastAsia" w:ascii="仿宋_GB2312" w:hAnsi="仿宋_GB2312" w:cs="仿宋_GB2312"/>
          <w:bCs/>
          <w:highlight w:val="none"/>
          <w:lang w:val="en-US"/>
        </w:rPr>
        <w:t>新能源企业</w:t>
      </w:r>
      <w:r>
        <w:rPr>
          <w:rFonts w:hint="eastAsia"/>
          <w:highlight w:val="none"/>
        </w:rPr>
        <w:t>现货市场</w:t>
      </w:r>
      <w:r>
        <w:rPr>
          <w:rFonts w:hint="eastAsia"/>
          <w:highlight w:val="none"/>
          <w:lang w:val="en-US" w:eastAsia="zh-CN"/>
        </w:rPr>
        <w:t>月度综合</w:t>
      </w:r>
      <w:r>
        <w:rPr>
          <w:rFonts w:hint="eastAsia"/>
          <w:highlight w:val="none"/>
        </w:rPr>
        <w:t>价格</w:t>
      </w:r>
      <w:r>
        <w:rPr>
          <w:rFonts w:hint="eastAsia"/>
          <w:highlight w:val="none"/>
          <w:lang w:eastAsia="zh-CN"/>
        </w:rPr>
        <w:t>；</w:t>
      </w:r>
    </w:p>
    <w:p>
      <w:pPr>
        <w:pStyle w:val="9"/>
        <w:spacing w:after="0"/>
        <w:rPr>
          <w:rFonts w:hint="eastAsia" w:ascii="仿宋_GB2312" w:hAnsi="仿宋_GB2312" w:cs="仿宋_GB2312"/>
          <w:highlight w:val="none"/>
          <w:lang w:val="en-US" w:eastAsia="zh-CN"/>
        </w:rPr>
      </w:pP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eastAsia="zh-CN"/>
        </w:rPr>
        <w:t>3</w:t>
      </w:r>
      <w:r>
        <w:rPr>
          <w:rFonts w:hint="eastAsia" w:ascii="仿宋_GB2312" w:hAnsi="仿宋_GB2312" w:cs="仿宋_GB2312"/>
          <w:highlight w:val="none"/>
          <w:lang w:val="en-US"/>
        </w:rPr>
        <w:t>为</w:t>
      </w:r>
      <w:r>
        <w:rPr>
          <w:rFonts w:hint="eastAsia" w:ascii="仿宋_GB2312" w:hAnsi="仿宋_GB2312" w:cs="仿宋_GB2312"/>
          <w:highlight w:val="none"/>
          <w:lang w:val="en-US" w:eastAsia="zh-CN"/>
        </w:rPr>
        <w:t>新能源</w:t>
      </w:r>
      <w:r>
        <w:rPr>
          <w:rFonts w:hint="eastAsia" w:ascii="仿宋_GB2312" w:hAnsi="仿宋_GB2312" w:cs="仿宋_GB2312"/>
          <w:highlight w:val="none"/>
          <w:lang w:val="en-US"/>
        </w:rPr>
        <w:t>中长期净成交电量占实际上网电量</w:t>
      </w:r>
      <w:r>
        <w:rPr>
          <w:rFonts w:hint="eastAsia" w:ascii="仿宋_GB2312" w:hAnsi="仿宋_GB2312" w:cs="仿宋_GB2312"/>
          <w:highlight w:val="none"/>
          <w:lang w:val="en-US" w:eastAsia="zh-CN"/>
        </w:rPr>
        <w:t>下限</w:t>
      </w:r>
      <w:r>
        <w:rPr>
          <w:rFonts w:hint="eastAsia" w:ascii="仿宋_GB2312" w:hAnsi="仿宋_GB2312" w:cs="仿宋_GB2312"/>
          <w:highlight w:val="none"/>
          <w:lang w:val="en-US"/>
        </w:rPr>
        <w:t>允许比例</w:t>
      </w:r>
      <w:r>
        <w:rPr>
          <w:rFonts w:hint="eastAsia" w:ascii="仿宋_GB2312" w:hAnsi="仿宋_GB2312" w:cs="仿宋_GB2312"/>
          <w:highlight w:val="none"/>
          <w:lang w:val="en-US" w:eastAsia="zh-CN"/>
        </w:rPr>
        <w:t>；</w:t>
      </w:r>
    </w:p>
    <w:p>
      <w:pPr>
        <w:pStyle w:val="9"/>
        <w:spacing w:after="0"/>
        <w:rPr>
          <w:rFonts w:hint="eastAsia" w:ascii="仿宋_GB2312" w:hAnsi="仿宋_GB2312" w:cs="仿宋_GB2312"/>
          <w:highlight w:val="none"/>
          <w:lang w:val="en-US" w:eastAsia="zh-CN"/>
        </w:rPr>
      </w:pPr>
      <w:r>
        <w:rPr>
          <w:rFonts w:hint="eastAsia" w:ascii="仿宋_GB2312" w:hAnsi="仿宋_GB2312" w:cs="仿宋_GB2312"/>
          <w:lang w:val="en-US"/>
        </w:rPr>
        <w:t>K</w:t>
      </w:r>
      <w:r>
        <w:rPr>
          <w:rFonts w:hint="eastAsia" w:ascii="仿宋_GB2312" w:hAnsi="仿宋_GB2312" w:cs="仿宋_GB2312"/>
          <w:vertAlign w:val="subscript"/>
          <w:lang w:val="en-US" w:eastAsia="zh-CN"/>
        </w:rPr>
        <w:t>4</w:t>
      </w:r>
      <w:r>
        <w:rPr>
          <w:rFonts w:hint="eastAsia" w:ascii="仿宋_GB2312" w:hAnsi="仿宋_GB2312" w:cs="仿宋_GB2312"/>
          <w:highlight w:val="none"/>
          <w:vertAlign w:val="baseline"/>
          <w:lang w:val="en-US" w:eastAsia="zh-CN"/>
        </w:rPr>
        <w:t>为新能源</w:t>
      </w:r>
      <w:r>
        <w:rPr>
          <w:rFonts w:hint="eastAsia" w:ascii="仿宋_GB2312" w:hAnsi="仿宋_GB2312" w:cs="仿宋_GB2312"/>
          <w:highlight w:val="none"/>
          <w:lang w:val="en-US"/>
        </w:rPr>
        <w:t>中长期净成交电量占实际上网电量</w:t>
      </w:r>
      <w:r>
        <w:rPr>
          <w:rFonts w:hint="eastAsia" w:ascii="仿宋_GB2312" w:hAnsi="仿宋_GB2312" w:cs="仿宋_GB2312"/>
          <w:highlight w:val="none"/>
          <w:lang w:val="en-US" w:eastAsia="zh-CN"/>
        </w:rPr>
        <w:t>上限</w:t>
      </w:r>
      <w:r>
        <w:rPr>
          <w:rFonts w:hint="eastAsia" w:ascii="仿宋_GB2312" w:hAnsi="仿宋_GB2312" w:cs="仿宋_GB2312"/>
          <w:highlight w:val="none"/>
          <w:lang w:val="en-US"/>
        </w:rPr>
        <w:t>允许比例</w:t>
      </w:r>
      <w:r>
        <w:rPr>
          <w:rFonts w:hint="eastAsia" w:ascii="仿宋_GB2312" w:hAnsi="仿宋_GB2312" w:cs="仿宋_GB2312"/>
          <w:highlight w:val="none"/>
          <w:lang w:val="en-US" w:eastAsia="zh-CN"/>
        </w:rPr>
        <w:t>；</w:t>
      </w:r>
    </w:p>
    <w:p>
      <w:pPr>
        <w:pStyle w:val="9"/>
        <w:spacing w:after="0"/>
        <w:rPr>
          <w:rFonts w:ascii="仿宋_GB2312" w:hAnsi="仿宋_GB2312" w:cs="仿宋_GB2312"/>
          <w:highlight w:val="none"/>
          <w:lang w:val="en-US"/>
        </w:rPr>
      </w:pP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3</w:t>
      </w:r>
      <w:r>
        <w:rPr>
          <w:rFonts w:hint="eastAsia" w:ascii="仿宋_GB2312" w:hAnsi="仿宋_GB2312" w:cs="仿宋_GB2312"/>
          <w:vertAlign w:val="baseline"/>
          <w:lang w:val="en-US" w:eastAsia="zh-CN"/>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4</w:t>
      </w:r>
      <w:r>
        <w:rPr>
          <w:rFonts w:hint="eastAsia" w:ascii="仿宋_GB2312" w:hAnsi="仿宋_GB2312" w:cs="仿宋_GB2312"/>
          <w:highlight w:val="none"/>
          <w:lang w:val="en-US"/>
        </w:rPr>
        <w:t>为调整系数。</w:t>
      </w:r>
    </w:p>
    <w:p>
      <w:pPr>
        <w:pStyle w:val="29"/>
        <w:tabs>
          <w:tab w:val="left" w:pos="567"/>
          <w:tab w:val="left" w:pos="1417"/>
          <w:tab w:val="left" w:pos="2127"/>
          <w:tab w:val="left" w:pos="4395"/>
          <w:tab w:val="clear" w:pos="1986"/>
        </w:tabs>
        <w:rPr>
          <w:rFonts w:ascii="仿宋_GB2312" w:hAnsi="仿宋_GB2312" w:eastAsia="仿宋_GB2312" w:cs="仿宋_GB2312"/>
          <w:highlight w:val="none"/>
        </w:rPr>
      </w:pPr>
      <w:r>
        <w:rPr>
          <w:rFonts w:hint="eastAsia" w:ascii="仿宋_GB2312" w:hAnsi="仿宋_GB2312" w:eastAsia="仿宋_GB2312" w:cs="仿宋_GB2312"/>
          <w:highlight w:val="none"/>
        </w:rPr>
        <w:t>（2）返还方式</w:t>
      </w:r>
    </w:p>
    <w:p>
      <w:pPr>
        <w:pStyle w:val="29"/>
        <w:tabs>
          <w:tab w:val="left" w:pos="567"/>
          <w:tab w:val="left" w:pos="1417"/>
          <w:tab w:val="left" w:pos="2127"/>
          <w:tab w:val="left" w:pos="4395"/>
          <w:tab w:val="clear" w:pos="1986"/>
        </w:tabs>
        <w:ind w:firstLine="640" w:firstLineChars="200"/>
        <w:jc w:val="left"/>
        <w:textAlignment w:val="center"/>
        <w:rPr>
          <w:rFonts w:hint="eastAsia" w:ascii="仿宋_GB2312" w:hAnsi="仿宋_GB2312" w:eastAsia="仿宋_GB2312" w:cs="仿宋_GB2312"/>
        </w:rPr>
      </w:pPr>
      <w:r>
        <w:rPr>
          <w:rFonts w:hint="eastAsia" w:ascii="仿宋_GB2312" w:hAnsi="仿宋_GB2312" w:eastAsia="仿宋_GB2312" w:cs="仿宋_GB2312"/>
        </w:rPr>
        <w:t>所有新能源企业</w:t>
      </w:r>
      <w:r>
        <w:rPr>
          <w:rFonts w:hint="eastAsia"/>
        </w:rPr>
        <w:t>中长期</w:t>
      </w:r>
      <w:r>
        <w:rPr>
          <w:rFonts w:hint="eastAsia"/>
          <w:lang w:val="en-US" w:eastAsia="zh-CN"/>
        </w:rPr>
        <w:t>偏差收益</w:t>
      </w:r>
      <w:r>
        <w:rPr>
          <w:rFonts w:hint="eastAsia" w:ascii="仿宋_GB2312" w:hAnsi="仿宋_GB2312" w:eastAsia="仿宋_GB2312" w:cs="仿宋_GB2312"/>
          <w:lang w:val="en-US" w:eastAsia="zh-CN"/>
        </w:rPr>
        <w:t>回收费用</w:t>
      </w:r>
      <w:r>
        <w:rPr>
          <w:rFonts w:hint="eastAsia" w:ascii="仿宋_GB2312" w:hAnsi="仿宋_GB2312" w:eastAsia="仿宋_GB2312" w:cs="仿宋_GB2312"/>
          <w:highlight w:val="none"/>
          <w:lang w:val="en-US" w:eastAsia="zh-CN"/>
        </w:rPr>
        <w:t>返还给所有工商业用户</w:t>
      </w:r>
      <w:r>
        <w:rPr>
          <w:rFonts w:hint="eastAsia" w:ascii="仿宋_GB2312" w:hAnsi="仿宋_GB2312" w:eastAsia="仿宋_GB2312" w:cs="仿宋_GB2312"/>
        </w:rPr>
        <w:t>。</w:t>
      </w:r>
    </w:p>
    <w:p>
      <w:pPr>
        <w:pStyle w:val="107"/>
        <w:spacing w:before="156" w:after="156"/>
        <w:ind w:left="0" w:firstLine="643"/>
      </w:pPr>
      <w:bookmarkStart w:id="656" w:name="_Toc110914542"/>
      <w:bookmarkStart w:id="657" w:name="_Toc31122"/>
      <w:bookmarkStart w:id="658" w:name="_Toc6870"/>
      <w:bookmarkStart w:id="659" w:name="_Toc32431"/>
      <w:bookmarkStart w:id="660" w:name="_Toc1705"/>
      <w:bookmarkStart w:id="661" w:name="_Toc8190"/>
      <w:bookmarkStart w:id="662" w:name="_Toc32016"/>
      <w:bookmarkStart w:id="663" w:name="_Toc16509"/>
      <w:bookmarkStart w:id="664" w:name="_Toc18769"/>
      <w:bookmarkStart w:id="665" w:name="_Toc6460"/>
      <w:bookmarkStart w:id="666" w:name="_Toc6733"/>
      <w:bookmarkStart w:id="667" w:name="_Toc302"/>
      <w:bookmarkStart w:id="668" w:name="_Toc91164001"/>
      <w:bookmarkStart w:id="669" w:name="_Toc24357681"/>
      <w:bookmarkStart w:id="670" w:name="_Toc4992"/>
      <w:bookmarkStart w:id="671" w:name="_Toc18378"/>
      <w:bookmarkStart w:id="672" w:name="_Toc52046774"/>
      <w:bookmarkStart w:id="673" w:name="_Toc14555"/>
      <w:r>
        <w:rPr>
          <w:rFonts w:hint="eastAsia"/>
        </w:rPr>
        <w:t>用户侧中长期</w:t>
      </w:r>
      <w:r>
        <w:rPr>
          <w:rFonts w:hint="eastAsia"/>
          <w:lang w:val="en-US" w:eastAsia="zh-CN"/>
        </w:rPr>
        <w:t>偏差收益</w:t>
      </w:r>
      <w:r>
        <w:rPr>
          <w:rFonts w:hint="eastAsia"/>
        </w:rPr>
        <w:t>回收费用</w:t>
      </w:r>
      <w:bookmarkEnd w:id="656"/>
      <w:bookmarkEnd w:id="657"/>
      <w:bookmarkEnd w:id="658"/>
      <w:bookmarkEnd w:id="659"/>
      <w:bookmarkEnd w:id="660"/>
      <w:bookmarkEnd w:id="661"/>
      <w:bookmarkEnd w:id="662"/>
      <w:bookmarkEnd w:id="663"/>
      <w:bookmarkEnd w:id="664"/>
      <w:bookmarkEnd w:id="665"/>
      <w:bookmarkEnd w:id="666"/>
    </w:p>
    <w:p>
      <w:pPr>
        <w:pStyle w:val="9"/>
        <w:spacing w:after="0"/>
        <w:rPr>
          <w:rFonts w:ascii="仿宋_GB2312" w:hAnsi="仿宋_GB2312" w:cs="仿宋_GB2312"/>
          <w:lang w:val="en-US"/>
        </w:rPr>
      </w:pPr>
      <w:r>
        <w:rPr>
          <w:rFonts w:hint="eastAsia" w:ascii="仿宋_GB2312" w:hAnsi="仿宋_GB2312" w:cs="仿宋_GB2312"/>
          <w:kern w:val="2"/>
          <w:szCs w:val="22"/>
          <w:lang w:val="en-US"/>
        </w:rPr>
        <w:t>现货市场运行初期，</w:t>
      </w:r>
      <w:r>
        <w:rPr>
          <w:rFonts w:hint="eastAsia" w:ascii="仿宋_GB2312" w:hAnsi="仿宋_GB2312" w:cs="仿宋_GB2312"/>
          <w:kern w:val="2"/>
          <w:szCs w:val="22"/>
          <w:lang w:val="en-US" w:eastAsia="zh-CN"/>
        </w:rPr>
        <w:t>用户侧</w:t>
      </w:r>
      <w:r>
        <w:rPr>
          <w:rFonts w:hint="eastAsia" w:ascii="仿宋_GB2312" w:hAnsi="仿宋_GB2312" w:cs="仿宋_GB2312"/>
          <w:kern w:val="2"/>
          <w:szCs w:val="22"/>
          <w:lang w:val="en-US"/>
        </w:rPr>
        <w:t>中长期</w:t>
      </w:r>
      <w:r>
        <w:rPr>
          <w:rFonts w:hint="eastAsia" w:ascii="仿宋_GB2312" w:hAnsi="仿宋_GB2312" w:cs="仿宋_GB2312"/>
          <w:kern w:val="2"/>
          <w:szCs w:val="22"/>
          <w:lang w:val="en-US" w:eastAsia="zh-CN"/>
        </w:rPr>
        <w:t>偏差收益</w:t>
      </w:r>
      <w:r>
        <w:rPr>
          <w:rFonts w:hint="eastAsia" w:ascii="仿宋_GB2312" w:hAnsi="仿宋_GB2312" w:cs="仿宋_GB2312"/>
          <w:kern w:val="2"/>
          <w:szCs w:val="22"/>
          <w:lang w:val="en-US"/>
        </w:rPr>
        <w:t>回收费用指当用户侧</w:t>
      </w:r>
      <w:r>
        <w:rPr>
          <w:rFonts w:hint="eastAsia" w:ascii="仿宋_GB2312" w:hAnsi="仿宋_GB2312" w:cs="仿宋_GB2312"/>
          <w:lang w:val="en-US"/>
        </w:rPr>
        <w:t>中长期合约</w:t>
      </w:r>
      <w:r>
        <w:rPr>
          <w:rFonts w:hint="eastAsia" w:ascii="仿宋_GB2312" w:hAnsi="仿宋_GB2312" w:cs="仿宋_GB2312"/>
        </w:rPr>
        <w:t>电量低于</w:t>
      </w:r>
      <w:r>
        <w:rPr>
          <w:rFonts w:hint="eastAsia" w:ascii="仿宋_GB2312" w:hAnsi="仿宋_GB2312" w:cs="仿宋_GB2312"/>
          <w:lang w:val="en-US" w:eastAsia="zh-CN"/>
        </w:rPr>
        <w:t>或高于</w:t>
      </w:r>
      <w:r>
        <w:rPr>
          <w:rFonts w:hint="eastAsia" w:ascii="仿宋_GB2312" w:hAnsi="仿宋_GB2312" w:cs="仿宋_GB2312"/>
        </w:rPr>
        <w:t>实际结算电量一定比例时</w:t>
      </w:r>
      <w:r>
        <w:rPr>
          <w:rFonts w:hint="eastAsia" w:ascii="仿宋_GB2312" w:hAnsi="仿宋_GB2312" w:cs="仿宋_GB2312"/>
          <w:kern w:val="2"/>
          <w:szCs w:val="22"/>
          <w:lang w:val="en-US"/>
        </w:rPr>
        <w:t>，对低于下限要求</w:t>
      </w:r>
      <w:r>
        <w:rPr>
          <w:rFonts w:hint="eastAsia" w:ascii="仿宋_GB2312" w:hAnsi="仿宋_GB2312" w:cs="仿宋_GB2312"/>
          <w:kern w:val="2"/>
          <w:szCs w:val="22"/>
          <w:lang w:val="en-US" w:eastAsia="zh-CN"/>
        </w:rPr>
        <w:t>或高于上限要求</w:t>
      </w:r>
      <w:r>
        <w:rPr>
          <w:rFonts w:hint="eastAsia" w:ascii="仿宋_GB2312" w:hAnsi="仿宋_GB2312" w:cs="仿宋_GB2312"/>
          <w:kern w:val="2"/>
          <w:szCs w:val="22"/>
          <w:lang w:val="en-US"/>
        </w:rPr>
        <w:t>的电量按月度24个时段进行</w:t>
      </w:r>
      <w:r>
        <w:rPr>
          <w:rFonts w:hint="eastAsia" w:ascii="仿宋_GB2312" w:hAnsi="仿宋_GB2312" w:cs="仿宋_GB2312"/>
          <w:kern w:val="2"/>
          <w:szCs w:val="22"/>
          <w:lang w:val="en-US" w:eastAsia="zh-CN"/>
        </w:rPr>
        <w:t>偏差收益</w:t>
      </w:r>
      <w:r>
        <w:rPr>
          <w:rFonts w:hint="eastAsia" w:ascii="仿宋_GB2312" w:hAnsi="仿宋_GB2312" w:cs="仿宋_GB2312"/>
          <w:kern w:val="2"/>
          <w:szCs w:val="22"/>
          <w:lang w:val="en-US"/>
        </w:rPr>
        <w:t>费用回收。</w:t>
      </w:r>
    </w:p>
    <w:p>
      <w:pPr>
        <w:pStyle w:val="9"/>
        <w:spacing w:after="0"/>
        <w:rPr>
          <w:rFonts w:ascii="仿宋_GB2312" w:hAnsi="仿宋_GB2312" w:cs="仿宋_GB2312"/>
          <w:lang w:val="en-US"/>
        </w:rPr>
      </w:pPr>
      <w:r>
        <w:rPr>
          <w:rFonts w:hint="eastAsia" w:ascii="仿宋_GB2312" w:hAnsi="仿宋_GB2312" w:cs="仿宋_GB2312"/>
          <w:lang w:val="en-US"/>
        </w:rPr>
        <w:t>（1）</w:t>
      </w:r>
      <w:r>
        <w:rPr>
          <w:rFonts w:hint="eastAsia" w:ascii="仿宋_GB2312" w:hAnsi="仿宋_GB2312" w:cs="仿宋_GB2312"/>
        </w:rPr>
        <w:t>计算</w:t>
      </w:r>
      <w:r>
        <w:rPr>
          <w:rFonts w:hint="eastAsia" w:ascii="仿宋_GB2312" w:hAnsi="仿宋_GB2312" w:cs="仿宋_GB2312"/>
          <w:lang w:val="en-US"/>
        </w:rPr>
        <w:t>公式</w:t>
      </w:r>
    </w:p>
    <w:p>
      <w:pPr>
        <w:pStyle w:val="9"/>
        <w:spacing w:after="0"/>
        <w:rPr>
          <w:rFonts w:hint="eastAsia" w:ascii="仿宋_GB2312" w:hAnsi="仿宋_GB2312" w:cs="仿宋_GB2312"/>
        </w:rPr>
      </w:pPr>
      <w:r>
        <w:rPr>
          <w:rFonts w:hint="eastAsia" w:ascii="仿宋_GB2312" w:hAnsi="仿宋_GB2312" w:cs="仿宋_GB2312"/>
        </w:rPr>
        <w:t>当Q</w:t>
      </w:r>
      <w:r>
        <w:rPr>
          <w:rFonts w:hint="eastAsia" w:ascii="仿宋_GB2312" w:hAnsi="仿宋_GB2312" w:cs="仿宋_GB2312"/>
          <w:vertAlign w:val="subscript"/>
          <w:lang w:val="en-US"/>
        </w:rPr>
        <w:t>用户中长期净合约</w:t>
      </w:r>
      <w:r>
        <w:rPr>
          <w:rFonts w:hint="eastAsia" w:ascii="仿宋_GB2312" w:hAnsi="仿宋_GB2312" w:cs="仿宋_GB2312"/>
          <w:vertAlign w:val="subscript"/>
        </w:rPr>
        <w:t>,t</w:t>
      </w:r>
      <w:r>
        <w:rPr>
          <w:rFonts w:hint="eastAsia" w:ascii="仿宋_GB2312" w:hAnsi="仿宋_GB2312" w:cs="仿宋_GB2312"/>
        </w:rPr>
        <w:t>&lt;Q</w:t>
      </w:r>
      <w:r>
        <w:rPr>
          <w:rFonts w:hint="eastAsia" w:ascii="仿宋_GB2312" w:hAnsi="仿宋_GB2312" w:cs="仿宋_GB2312"/>
          <w:vertAlign w:val="subscript"/>
          <w:lang w:val="en-US"/>
        </w:rPr>
        <w:t>用户实际</w:t>
      </w:r>
      <w:r>
        <w:rPr>
          <w:rFonts w:hint="eastAsia" w:ascii="仿宋_GB2312" w:hAnsi="仿宋_GB2312" w:cs="仿宋_GB2312"/>
          <w:vertAlign w:val="subscript"/>
        </w:rPr>
        <w:t>用电,t</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rPr>
        <w:t>5</w:t>
      </w:r>
      <w:r>
        <w:rPr>
          <w:rFonts w:hint="eastAsia" w:ascii="仿宋_GB2312" w:hAnsi="仿宋_GB2312" w:cs="仿宋_GB2312"/>
        </w:rPr>
        <w:t>，且</w:t>
      </w:r>
      <w:r>
        <w:rPr>
          <w:rFonts w:hint="eastAsia" w:ascii="仿宋_GB2312" w:hAnsi="仿宋_GB2312" w:cs="仿宋_GB2312"/>
          <w:lang w:val="en-US"/>
        </w:rPr>
        <w:t>P</w:t>
      </w:r>
      <w:r>
        <w:rPr>
          <w:rFonts w:hint="eastAsia" w:ascii="仿宋_GB2312" w:hAnsi="仿宋_GB2312" w:cs="仿宋_GB2312"/>
          <w:vertAlign w:val="subscript"/>
          <w:lang w:val="en-US"/>
        </w:rPr>
        <w:t>用户</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rPr>
        <w:t>&gt;</w:t>
      </w:r>
      <w:r>
        <w:rPr>
          <w:rFonts w:hint="eastAsia" w:ascii="仿宋_GB2312" w:hAnsi="仿宋_GB2312" w:cs="仿宋_GB2312"/>
          <w:lang w:val="en-US"/>
        </w:rPr>
        <w:t>P</w:t>
      </w:r>
      <w:r>
        <w:rPr>
          <w:rFonts w:hint="eastAsia" w:ascii="仿宋_GB2312" w:hAnsi="仿宋_GB2312" w:cs="仿宋_GB2312"/>
          <w:vertAlign w:val="subscript"/>
          <w:lang w:val="en-US"/>
        </w:rPr>
        <w:t>用户现货月度综合电价,t</w:t>
      </w:r>
      <w:r>
        <w:rPr>
          <w:rFonts w:hint="eastAsia" w:ascii="仿宋_GB2312" w:hAnsi="仿宋_GB2312" w:cs="仿宋_GB2312"/>
        </w:rPr>
        <w:t>时，</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用户侧中长期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回收</w:t>
      </w:r>
      <w:r>
        <w:rPr>
          <w:rFonts w:hint="eastAsia" w:ascii="仿宋_GB2312" w:hAnsi="仿宋_GB2312" w:cs="仿宋_GB2312"/>
        </w:rPr>
        <w:t>=Σ</w:t>
      </w:r>
      <w:r>
        <w:rPr>
          <w:rFonts w:hint="eastAsia" w:ascii="仿宋_GB2312" w:hAnsi="仿宋_GB2312" w:cs="仿宋_GB2312"/>
          <w:lang w:val="en-US" w:eastAsia="zh-CN"/>
        </w:rPr>
        <w:t>(</w:t>
      </w:r>
      <w:r>
        <w:rPr>
          <w:rFonts w:hint="eastAsia" w:ascii="仿宋_GB2312" w:hAnsi="仿宋_GB2312" w:cs="仿宋_GB2312"/>
        </w:rPr>
        <w:t>Q</w:t>
      </w:r>
      <w:r>
        <w:rPr>
          <w:rFonts w:hint="eastAsia" w:ascii="仿宋_GB2312" w:hAnsi="仿宋_GB2312" w:cs="仿宋_GB2312"/>
          <w:vertAlign w:val="subscript"/>
          <w:lang w:val="en-US"/>
        </w:rPr>
        <w:t>用户实际</w:t>
      </w:r>
      <w:r>
        <w:rPr>
          <w:rFonts w:hint="eastAsia" w:ascii="仿宋_GB2312" w:hAnsi="仿宋_GB2312" w:cs="仿宋_GB2312"/>
          <w:vertAlign w:val="subscript"/>
        </w:rPr>
        <w:t>用电,t</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rPr>
        <w:t>5</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rPr>
        <w:t>用户中长期净合约</w:t>
      </w:r>
      <w:r>
        <w:rPr>
          <w:rFonts w:hint="eastAsia" w:ascii="仿宋_GB2312" w:hAnsi="仿宋_GB2312" w:cs="仿宋_GB2312"/>
          <w:vertAlign w:val="subscript"/>
        </w:rPr>
        <w:t>,t</w:t>
      </w:r>
      <w:r>
        <w:rPr>
          <w:rFonts w:hint="eastAsia" w:ascii="仿宋_GB2312" w:hAnsi="仿宋_GB2312" w:cs="仿宋_GB2312"/>
          <w:lang w:val="en-US" w:eastAsia="zh-CN"/>
        </w:rPr>
        <w:t>)</w:t>
      </w:r>
    </w:p>
    <w:p>
      <w:pPr>
        <w:pStyle w:val="9"/>
        <w:spacing w:after="0"/>
        <w:jc w:val="center"/>
        <w:rPr>
          <w:rFonts w:ascii="仿宋_GB2312" w:hAnsi="仿宋_GB2312" w:cs="仿宋_GB2312"/>
          <w:lang w:val="en-US"/>
        </w:rPr>
      </w:pPr>
      <w:r>
        <w:rPr>
          <w:rFonts w:hint="eastAsia" w:ascii="仿宋_GB2312" w:hAnsi="仿宋_GB2312" w:cs="仿宋_GB2312"/>
        </w:rPr>
        <w:t>×</w:t>
      </w:r>
      <w:r>
        <w:rPr>
          <w:rFonts w:hint="eastAsia" w:ascii="仿宋_GB2312" w:hAnsi="仿宋_GB2312" w:cs="仿宋_GB2312"/>
          <w:lang w:val="en-US"/>
        </w:rPr>
        <w:t>(P</w:t>
      </w:r>
      <w:r>
        <w:rPr>
          <w:rFonts w:hint="eastAsia" w:ascii="仿宋_GB2312" w:hAnsi="仿宋_GB2312" w:cs="仿宋_GB2312"/>
          <w:vertAlign w:val="subscript"/>
          <w:lang w:val="en-US"/>
        </w:rPr>
        <w:t>用户</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lang w:val="en-US"/>
        </w:rPr>
        <w:t>-P</w:t>
      </w:r>
      <w:r>
        <w:rPr>
          <w:rFonts w:hint="eastAsia" w:ascii="仿宋_GB2312" w:hAnsi="仿宋_GB2312" w:cs="仿宋_GB2312"/>
          <w:vertAlign w:val="subscript"/>
          <w:lang w:val="en-US"/>
        </w:rPr>
        <w:t>用户现货月度综合电价,t</w:t>
      </w:r>
      <w:r>
        <w:rPr>
          <w:rFonts w:hint="eastAsia" w:ascii="仿宋_GB2312" w:hAnsi="仿宋_GB2312" w:cs="仿宋_GB2312"/>
          <w:lang w:val="en-US"/>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5</w:t>
      </w:r>
    </w:p>
    <w:p>
      <w:pPr>
        <w:pStyle w:val="9"/>
        <w:spacing w:after="0"/>
        <w:rPr>
          <w:rFonts w:ascii="仿宋_GB2312" w:hAnsi="仿宋_GB2312" w:cs="仿宋_GB2312"/>
        </w:rPr>
      </w:pPr>
      <w:r>
        <w:rPr>
          <w:rFonts w:hint="eastAsia" w:ascii="仿宋_GB2312" w:hAnsi="仿宋_GB2312" w:cs="仿宋_GB2312"/>
        </w:rPr>
        <w:t>当Q</w:t>
      </w:r>
      <w:r>
        <w:rPr>
          <w:rFonts w:hint="eastAsia" w:ascii="仿宋_GB2312" w:hAnsi="仿宋_GB2312" w:cs="仿宋_GB2312"/>
          <w:vertAlign w:val="subscript"/>
          <w:lang w:val="en-US"/>
        </w:rPr>
        <w:t>火电中长期净合约</w:t>
      </w:r>
      <w:r>
        <w:rPr>
          <w:rFonts w:hint="eastAsia" w:ascii="仿宋_GB2312" w:hAnsi="仿宋_GB2312" w:cs="仿宋_GB2312"/>
          <w:vertAlign w:val="baseline"/>
          <w:lang w:val="en-US" w:eastAsia="zh-CN"/>
        </w:rPr>
        <w:t>＞</w:t>
      </w:r>
      <w:r>
        <w:rPr>
          <w:rFonts w:hint="eastAsia" w:ascii="仿宋_GB2312" w:hAnsi="仿宋_GB2312" w:cs="仿宋_GB2312"/>
        </w:rPr>
        <w:t>Q</w:t>
      </w:r>
      <w:r>
        <w:rPr>
          <w:rFonts w:hint="eastAsia" w:ascii="仿宋_GB2312" w:hAnsi="仿宋_GB2312" w:cs="仿宋_GB2312"/>
          <w:vertAlign w:val="subscript"/>
          <w:lang w:val="en-US"/>
        </w:rPr>
        <w:t>火电实际发</w:t>
      </w:r>
      <w:r>
        <w:rPr>
          <w:rFonts w:hint="eastAsia" w:ascii="仿宋_GB2312" w:hAnsi="仿宋_GB2312" w:cs="仿宋_GB2312"/>
          <w:vertAlign w:val="subscript"/>
        </w:rPr>
        <w:t>电</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6</w:t>
      </w:r>
      <w:r>
        <w:rPr>
          <w:rFonts w:hint="eastAsia" w:ascii="仿宋_GB2312" w:hAnsi="仿宋_GB2312" w:cs="仿宋_GB2312"/>
        </w:rPr>
        <w:t>，且</w:t>
      </w:r>
      <w:r>
        <w:rPr>
          <w:rFonts w:hint="eastAsia" w:ascii="仿宋_GB2312" w:hAnsi="仿宋_GB2312" w:cs="仿宋_GB2312"/>
          <w:lang w:val="en-US"/>
        </w:rPr>
        <w:t>P</w:t>
      </w:r>
      <w:r>
        <w:rPr>
          <w:rFonts w:hint="eastAsia" w:ascii="仿宋_GB2312" w:hAnsi="仿宋_GB2312" w:cs="仿宋_GB2312"/>
          <w:vertAlign w:val="subscript"/>
          <w:lang w:val="en-US"/>
        </w:rPr>
        <w:t>用户现货月度综合电价,t</w:t>
      </w:r>
      <w:r>
        <w:rPr>
          <w:rFonts w:hint="eastAsia" w:ascii="仿宋_GB2312" w:hAnsi="仿宋_GB2312" w:cs="仿宋_GB2312"/>
          <w:lang w:val="en-US" w:eastAsia="zh-CN"/>
        </w:rPr>
        <w:t>&lt;</w:t>
      </w:r>
      <w:r>
        <w:rPr>
          <w:rFonts w:hint="eastAsia" w:ascii="仿宋_GB2312" w:hAnsi="仿宋_GB2312" w:cs="仿宋_GB2312"/>
          <w:lang w:val="en-US"/>
        </w:rPr>
        <w:t>P</w:t>
      </w:r>
      <w:r>
        <w:rPr>
          <w:rFonts w:hint="eastAsia" w:ascii="仿宋_GB2312" w:hAnsi="仿宋_GB2312" w:cs="仿宋_GB2312"/>
          <w:vertAlign w:val="subscript"/>
          <w:lang w:val="en-US"/>
        </w:rPr>
        <w:t>用户</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rPr>
        <w:t>时，</w:t>
      </w:r>
    </w:p>
    <w:p>
      <w:pPr>
        <w:pStyle w:val="9"/>
        <w:spacing w:after="0"/>
        <w:jc w:val="center"/>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用户侧中长期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 xml:space="preserve">回收 </w:t>
      </w:r>
      <w:r>
        <w:rPr>
          <w:rFonts w:hint="eastAsia" w:ascii="仿宋_GB2312" w:hAnsi="仿宋_GB2312" w:cs="仿宋_GB2312"/>
        </w:rPr>
        <w:t>=Σ</w:t>
      </w:r>
      <w:r>
        <w:rPr>
          <w:rFonts w:hint="eastAsia" w:ascii="仿宋_GB2312" w:hAnsi="仿宋_GB2312" w:cs="仿宋_GB2312"/>
          <w:lang w:val="en-US"/>
        </w:rPr>
        <w:t>(</w:t>
      </w:r>
      <w:r>
        <w:rPr>
          <w:rFonts w:hint="eastAsia" w:ascii="仿宋_GB2312" w:hAnsi="仿宋_GB2312" w:cs="仿宋_GB2312"/>
        </w:rPr>
        <w:t>Q</w:t>
      </w:r>
      <w:r>
        <w:rPr>
          <w:rFonts w:hint="eastAsia" w:ascii="仿宋_GB2312" w:hAnsi="仿宋_GB2312" w:cs="仿宋_GB2312"/>
          <w:vertAlign w:val="subscript"/>
          <w:lang w:val="en-US"/>
        </w:rPr>
        <w:t>用户中长期净合约</w:t>
      </w:r>
      <w:r>
        <w:rPr>
          <w:rFonts w:hint="eastAsia" w:ascii="仿宋_GB2312" w:hAnsi="仿宋_GB2312" w:cs="仿宋_GB2312"/>
          <w:vertAlign w:val="subscript"/>
        </w:rPr>
        <w:t>,t</w:t>
      </w:r>
      <w:r>
        <w:rPr>
          <w:rFonts w:hint="eastAsia" w:ascii="仿宋_GB2312" w:hAnsi="仿宋_GB2312" w:cs="仿宋_GB2312"/>
          <w:vertAlign w:val="baseline"/>
          <w:lang w:val="en-US" w:eastAsia="zh-CN"/>
        </w:rPr>
        <w:t>-</w:t>
      </w:r>
      <w:r>
        <w:rPr>
          <w:rFonts w:hint="eastAsia" w:ascii="仿宋_GB2312" w:hAnsi="仿宋_GB2312" w:cs="仿宋_GB2312"/>
        </w:rPr>
        <w:t>Q</w:t>
      </w:r>
      <w:r>
        <w:rPr>
          <w:rFonts w:hint="eastAsia" w:ascii="仿宋_GB2312" w:hAnsi="仿宋_GB2312" w:cs="仿宋_GB2312"/>
          <w:vertAlign w:val="subscript"/>
          <w:lang w:val="en-US"/>
        </w:rPr>
        <w:t>用户实际</w:t>
      </w:r>
      <w:r>
        <w:rPr>
          <w:rFonts w:hint="eastAsia" w:ascii="仿宋_GB2312" w:hAnsi="仿宋_GB2312" w:cs="仿宋_GB2312"/>
          <w:vertAlign w:val="subscript"/>
        </w:rPr>
        <w:t>用电,t</w:t>
      </w:r>
      <w:r>
        <w:rPr>
          <w:rFonts w:hint="eastAsia" w:ascii="仿宋_GB2312" w:hAnsi="仿宋_GB2312" w:cs="仿宋_GB2312"/>
        </w:rPr>
        <w:t>×</w:t>
      </w:r>
      <w:r>
        <w:rPr>
          <w:rFonts w:hint="eastAsia" w:ascii="仿宋_GB2312" w:hAnsi="仿宋_GB2312" w:cs="仿宋_GB2312"/>
          <w:lang w:val="en-US"/>
        </w:rPr>
        <w:t>K</w:t>
      </w:r>
      <w:r>
        <w:rPr>
          <w:rFonts w:hint="eastAsia" w:ascii="仿宋_GB2312" w:hAnsi="仿宋_GB2312" w:cs="仿宋_GB2312"/>
          <w:vertAlign w:val="subscript"/>
          <w:lang w:val="en-US" w:eastAsia="zh-CN"/>
        </w:rPr>
        <w:t>6</w:t>
      </w:r>
      <w:r>
        <w:rPr>
          <w:rFonts w:hint="eastAsia" w:ascii="仿宋_GB2312" w:hAnsi="仿宋_GB2312" w:cs="仿宋_GB2312"/>
          <w:lang w:val="en-US"/>
        </w:rPr>
        <w:t>)</w:t>
      </w:r>
    </w:p>
    <w:p>
      <w:pPr>
        <w:pStyle w:val="9"/>
        <w:spacing w:after="0"/>
        <w:jc w:val="center"/>
        <w:rPr>
          <w:rFonts w:hint="default" w:ascii="仿宋_GB2312" w:hAnsi="仿宋_GB2312" w:eastAsia="仿宋_GB2312" w:cs="仿宋_GB2312"/>
          <w:lang w:val="en-US" w:eastAsia="zh-CN"/>
        </w:rPr>
      </w:pPr>
      <w:r>
        <w:rPr>
          <w:rFonts w:hint="eastAsia" w:ascii="仿宋_GB2312" w:hAnsi="仿宋_GB2312" w:cs="仿宋_GB2312"/>
        </w:rPr>
        <w:t>×</w:t>
      </w:r>
      <w:r>
        <w:rPr>
          <w:rFonts w:hint="eastAsia" w:ascii="仿宋_GB2312" w:hAnsi="仿宋_GB2312" w:cs="仿宋_GB2312"/>
          <w:lang w:val="en-US"/>
        </w:rPr>
        <w:t>(P</w:t>
      </w:r>
      <w:r>
        <w:rPr>
          <w:rFonts w:hint="eastAsia" w:ascii="仿宋_GB2312" w:hAnsi="仿宋_GB2312" w:cs="仿宋_GB2312"/>
          <w:vertAlign w:val="subscript"/>
          <w:lang w:val="en-US"/>
        </w:rPr>
        <w:t>用户</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lang w:val="en-US"/>
        </w:rPr>
        <w:t>-P</w:t>
      </w:r>
      <w:r>
        <w:rPr>
          <w:rFonts w:hint="eastAsia" w:ascii="仿宋_GB2312" w:hAnsi="仿宋_GB2312" w:cs="仿宋_GB2312"/>
          <w:vertAlign w:val="subscript"/>
          <w:lang w:val="en-US"/>
        </w:rPr>
        <w:t>现货月度综合电价,t</w:t>
      </w:r>
      <w:r>
        <w:rPr>
          <w:rFonts w:hint="eastAsia" w:ascii="仿宋_GB2312" w:hAnsi="仿宋_GB2312" w:cs="仿宋_GB2312"/>
          <w:lang w:val="en-US"/>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6</w:t>
      </w:r>
    </w:p>
    <w:p>
      <w:pPr>
        <w:pStyle w:val="9"/>
        <w:spacing w:after="0"/>
        <w:rPr>
          <w:rFonts w:hint="eastAsia" w:ascii="仿宋_GB2312" w:hAnsi="仿宋_GB2312" w:eastAsia="仿宋_GB2312" w:cs="仿宋_GB2312"/>
          <w:bCs/>
          <w:lang w:val="en-US" w:eastAsia="zh-CN"/>
        </w:rPr>
      </w:pPr>
      <w:r>
        <w:rPr>
          <w:rFonts w:hint="eastAsia" w:ascii="仿宋_GB2312" w:hAnsi="仿宋_GB2312" w:cs="仿宋_GB2312"/>
          <w:bCs/>
          <w:lang w:val="en-US"/>
        </w:rPr>
        <w:t>其中</w:t>
      </w:r>
      <w:r>
        <w:rPr>
          <w:rFonts w:hint="eastAsia" w:ascii="仿宋_GB2312" w:hAnsi="仿宋_GB2312" w:cs="仿宋_GB2312"/>
          <w:bCs/>
          <w:lang w:val="en-US" w:eastAsia="zh-CN"/>
        </w:rPr>
        <w:t>，</w:t>
      </w:r>
    </w:p>
    <w:p>
      <w:pPr>
        <w:pStyle w:val="9"/>
        <w:spacing w:after="0"/>
        <w:rPr>
          <w:rFonts w:ascii="仿宋_GB2312" w:hAnsi="仿宋_GB2312" w:cs="仿宋_GB2312"/>
          <w:lang w:val="en-US"/>
        </w:rPr>
      </w:pPr>
      <w:r>
        <w:rPr>
          <w:rFonts w:hint="eastAsia" w:ascii="仿宋_GB2312" w:hAnsi="仿宋_GB2312" w:cs="仿宋_GB2312"/>
        </w:rPr>
        <w:t>R</w:t>
      </w:r>
      <w:r>
        <w:rPr>
          <w:rFonts w:hint="eastAsia" w:ascii="仿宋_GB2312" w:hAnsi="仿宋_GB2312" w:cs="仿宋_GB2312"/>
          <w:vertAlign w:val="subscript"/>
          <w:lang w:val="en-US"/>
        </w:rPr>
        <w:t>用户侧中长期</w:t>
      </w:r>
      <w:r>
        <w:rPr>
          <w:rFonts w:hint="eastAsia" w:ascii="仿宋_GB2312" w:hAnsi="仿宋_GB2312" w:cs="仿宋_GB2312"/>
          <w:vertAlign w:val="subscript"/>
          <w:lang w:val="en-US" w:eastAsia="zh-CN"/>
        </w:rPr>
        <w:t>偏差收益</w:t>
      </w:r>
      <w:r>
        <w:rPr>
          <w:rFonts w:hint="eastAsia" w:ascii="仿宋_GB2312" w:hAnsi="仿宋_GB2312" w:cs="仿宋_GB2312"/>
          <w:vertAlign w:val="subscript"/>
          <w:lang w:val="en-US"/>
        </w:rPr>
        <w:t>回收</w:t>
      </w:r>
      <w:r>
        <w:rPr>
          <w:rFonts w:hint="eastAsia" w:ascii="仿宋_GB2312" w:hAnsi="仿宋_GB2312" w:cs="仿宋_GB2312"/>
          <w:lang w:val="en-US"/>
        </w:rPr>
        <w:t>为用户侧中长期</w:t>
      </w:r>
      <w:r>
        <w:rPr>
          <w:rFonts w:hint="eastAsia" w:ascii="仿宋_GB2312" w:hAnsi="仿宋_GB2312" w:cs="仿宋_GB2312"/>
          <w:vertAlign w:val="baseline"/>
          <w:lang w:val="en-US" w:eastAsia="zh-CN"/>
        </w:rPr>
        <w:t>偏差收益</w:t>
      </w:r>
      <w:r>
        <w:rPr>
          <w:rFonts w:hint="eastAsia" w:ascii="仿宋_GB2312" w:hAnsi="仿宋_GB2312" w:cs="仿宋_GB2312"/>
          <w:lang w:val="en-US"/>
        </w:rPr>
        <w:t>回收费用；</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用户实际</w:t>
      </w:r>
      <w:r>
        <w:rPr>
          <w:rFonts w:hint="eastAsia" w:ascii="仿宋_GB2312" w:hAnsi="仿宋_GB2312" w:cs="仿宋_GB2312"/>
          <w:vertAlign w:val="subscript"/>
        </w:rPr>
        <w:t>用电,t</w:t>
      </w:r>
      <w:r>
        <w:rPr>
          <w:rFonts w:hint="eastAsia" w:ascii="仿宋_GB2312" w:hAnsi="仿宋_GB2312" w:cs="仿宋_GB2312"/>
        </w:rPr>
        <w:t>为用户t时段实际用电量；</w:t>
      </w:r>
    </w:p>
    <w:p>
      <w:pPr>
        <w:pStyle w:val="9"/>
        <w:spacing w:after="0"/>
        <w:rPr>
          <w:rFonts w:ascii="仿宋_GB2312" w:hAnsi="仿宋_GB2312" w:cs="仿宋_GB2312"/>
        </w:rPr>
      </w:pPr>
      <w:r>
        <w:rPr>
          <w:rFonts w:hint="eastAsia" w:ascii="仿宋_GB2312" w:hAnsi="仿宋_GB2312" w:cs="仿宋_GB2312"/>
        </w:rPr>
        <w:t>Q</w:t>
      </w:r>
      <w:r>
        <w:rPr>
          <w:rFonts w:hint="eastAsia" w:ascii="仿宋_GB2312" w:hAnsi="仿宋_GB2312" w:cs="仿宋_GB2312"/>
          <w:vertAlign w:val="subscript"/>
          <w:lang w:val="en-US"/>
        </w:rPr>
        <w:t>用户中长期净合约</w:t>
      </w:r>
      <w:r>
        <w:rPr>
          <w:rFonts w:hint="eastAsia" w:ascii="仿宋_GB2312" w:hAnsi="仿宋_GB2312" w:cs="仿宋_GB2312"/>
          <w:vertAlign w:val="subscript"/>
        </w:rPr>
        <w:t>,t</w:t>
      </w:r>
      <w:r>
        <w:rPr>
          <w:rFonts w:hint="eastAsia" w:ascii="仿宋_GB2312" w:hAnsi="仿宋_GB2312" w:cs="仿宋_GB2312"/>
        </w:rPr>
        <w:t>为用户t时段</w:t>
      </w:r>
      <w:r>
        <w:rPr>
          <w:rFonts w:hint="eastAsia" w:ascii="仿宋_GB2312" w:hAnsi="仿宋_GB2312" w:cs="仿宋_GB2312"/>
          <w:lang w:val="en-US"/>
        </w:rPr>
        <w:t>中长期</w:t>
      </w:r>
      <w:r>
        <w:rPr>
          <w:rFonts w:hint="eastAsia" w:ascii="仿宋_GB2312" w:hAnsi="仿宋_GB2312" w:cs="仿宋_GB2312"/>
          <w:lang w:val="en-US" w:eastAsia="zh-CN"/>
        </w:rPr>
        <w:t>分时</w:t>
      </w:r>
      <w:r>
        <w:rPr>
          <w:rFonts w:hint="eastAsia" w:ascii="仿宋_GB2312" w:hAnsi="仿宋_GB2312" w:cs="仿宋_GB2312"/>
          <w:lang w:val="en-US"/>
        </w:rPr>
        <w:t>净合约电量</w:t>
      </w:r>
      <w:r>
        <w:rPr>
          <w:rFonts w:hint="eastAsia" w:ascii="仿宋_GB2312" w:hAnsi="仿宋_GB2312" w:cs="仿宋_GB2312"/>
        </w:rPr>
        <w:t>；</w:t>
      </w:r>
    </w:p>
    <w:p>
      <w:pPr>
        <w:pStyle w:val="9"/>
        <w:spacing w:after="0"/>
        <w:rPr>
          <w:rFonts w:hint="default" w:ascii="仿宋_GB2312" w:hAnsi="仿宋_GB2312" w:cs="仿宋_GB2312"/>
          <w:lang w:val="en-US"/>
        </w:rPr>
      </w:pPr>
      <w:r>
        <w:rPr>
          <w:rFonts w:hint="eastAsia" w:ascii="仿宋_GB2312" w:hAnsi="仿宋_GB2312" w:cs="仿宋_GB2312"/>
          <w:lang w:val="en-US"/>
        </w:rPr>
        <w:t>P</w:t>
      </w:r>
      <w:r>
        <w:rPr>
          <w:rFonts w:hint="eastAsia" w:ascii="仿宋_GB2312" w:hAnsi="仿宋_GB2312" w:cs="仿宋_GB2312"/>
          <w:vertAlign w:val="subscript"/>
          <w:lang w:val="en-US"/>
        </w:rPr>
        <w:t>用户</w:t>
      </w:r>
      <w:r>
        <w:rPr>
          <w:rFonts w:hint="eastAsia" w:ascii="仿宋_GB2312" w:hAnsi="仿宋_GB2312" w:cs="仿宋_GB2312"/>
          <w:vertAlign w:val="subscript"/>
          <w:lang w:val="en-US" w:eastAsia="zh-CN"/>
        </w:rPr>
        <w:t>中长期净合约</w:t>
      </w:r>
      <w:r>
        <w:rPr>
          <w:rFonts w:hint="eastAsia" w:ascii="仿宋_GB2312" w:hAnsi="仿宋_GB2312" w:cs="仿宋_GB2312"/>
          <w:vertAlign w:val="subscript"/>
          <w:lang w:val="en-US"/>
        </w:rPr>
        <w:t>,t</w:t>
      </w:r>
      <w:r>
        <w:rPr>
          <w:rFonts w:hint="eastAsia" w:ascii="仿宋_GB2312" w:hAnsi="仿宋_GB2312" w:cs="仿宋_GB2312"/>
          <w:bCs/>
          <w:lang w:val="en-US"/>
        </w:rPr>
        <w:t>为当月用户</w:t>
      </w:r>
      <w:r>
        <w:rPr>
          <w:rFonts w:hint="eastAsia" w:ascii="仿宋_GB2312" w:hAnsi="仿宋_GB2312" w:cs="仿宋_GB2312"/>
        </w:rPr>
        <w:t>t时段</w:t>
      </w:r>
      <w:r>
        <w:rPr>
          <w:rFonts w:hint="eastAsia" w:ascii="仿宋_GB2312" w:hAnsi="仿宋_GB2312" w:cs="仿宋_GB2312"/>
          <w:lang w:val="en-US"/>
        </w:rPr>
        <w:t>中长期</w:t>
      </w:r>
      <w:r>
        <w:rPr>
          <w:rFonts w:hint="eastAsia" w:ascii="仿宋_GB2312" w:hAnsi="仿宋_GB2312" w:cs="仿宋_GB2312"/>
          <w:lang w:val="en-US" w:eastAsia="zh-CN"/>
        </w:rPr>
        <w:t>分时</w:t>
      </w:r>
      <w:r>
        <w:rPr>
          <w:rFonts w:hint="eastAsia" w:ascii="仿宋_GB2312" w:hAnsi="仿宋_GB2312" w:cs="仿宋_GB2312"/>
          <w:lang w:val="en-US"/>
        </w:rPr>
        <w:t>净合约</w:t>
      </w:r>
      <w:r>
        <w:rPr>
          <w:rFonts w:hint="eastAsia" w:ascii="仿宋_GB2312" w:hAnsi="仿宋_GB2312" w:cs="仿宋_GB2312"/>
          <w:lang w:val="en-US" w:eastAsia="zh-CN"/>
        </w:rPr>
        <w:t>综合电价；</w:t>
      </w:r>
    </w:p>
    <w:p>
      <w:pPr>
        <w:pStyle w:val="9"/>
        <w:spacing w:after="0"/>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rPr>
        <w:t>P</w:t>
      </w:r>
      <w:r>
        <w:rPr>
          <w:rFonts w:hint="eastAsia" w:ascii="仿宋_GB2312" w:hAnsi="仿宋_GB2312" w:cs="仿宋_GB2312"/>
          <w:highlight w:val="none"/>
          <w:vertAlign w:val="subscript"/>
          <w:lang w:val="en-US"/>
        </w:rPr>
        <w:t>现货综合电价,t</w:t>
      </w:r>
      <w:r>
        <w:rPr>
          <w:rFonts w:hint="eastAsia" w:ascii="仿宋_GB2312" w:hAnsi="仿宋_GB2312" w:cs="仿宋_GB2312"/>
          <w:bCs/>
          <w:highlight w:val="none"/>
          <w:lang w:val="en-US"/>
        </w:rPr>
        <w:t>为</w:t>
      </w:r>
      <w:r>
        <w:rPr>
          <w:rFonts w:hint="eastAsia" w:ascii="仿宋_GB2312" w:hAnsi="仿宋_GB2312" w:cs="仿宋_GB2312"/>
          <w:bCs/>
          <w:lang w:val="en-US"/>
        </w:rPr>
        <w:t>当月</w:t>
      </w:r>
      <w:r>
        <w:rPr>
          <w:rFonts w:hint="eastAsia" w:ascii="仿宋_GB2312" w:hAnsi="仿宋_GB2312" w:cs="仿宋_GB2312"/>
          <w:highlight w:val="none"/>
        </w:rPr>
        <w:t>t时段</w:t>
      </w:r>
      <w:r>
        <w:rPr>
          <w:rFonts w:hint="eastAsia" w:ascii="仿宋_GB2312" w:hAnsi="仿宋_GB2312" w:cs="仿宋_GB2312"/>
          <w:highlight w:val="none"/>
          <w:lang w:val="en-US" w:eastAsia="zh-CN"/>
        </w:rPr>
        <w:t>的</w:t>
      </w:r>
      <w:r>
        <w:rPr>
          <w:rFonts w:hint="eastAsia"/>
          <w:highlight w:val="none"/>
        </w:rPr>
        <w:t>现货市场</w:t>
      </w:r>
      <w:r>
        <w:rPr>
          <w:rFonts w:hint="eastAsia"/>
          <w:highlight w:val="none"/>
          <w:lang w:val="en-US" w:eastAsia="zh-CN"/>
        </w:rPr>
        <w:t>月度综合</w:t>
      </w:r>
      <w:r>
        <w:rPr>
          <w:rFonts w:hint="eastAsia"/>
          <w:highlight w:val="none"/>
        </w:rPr>
        <w:t>价格</w:t>
      </w:r>
      <w:r>
        <w:rPr>
          <w:rFonts w:hint="eastAsia"/>
          <w:highlight w:val="none"/>
          <w:lang w:eastAsia="zh-CN"/>
        </w:rPr>
        <w:t>。</w:t>
      </w:r>
    </w:p>
    <w:p>
      <w:pPr>
        <w:pStyle w:val="9"/>
        <w:spacing w:after="0"/>
        <w:rPr>
          <w:rFonts w:hint="eastAsia" w:ascii="仿宋_GB2312" w:hAnsi="仿宋_GB2312" w:cs="仿宋_GB2312"/>
          <w:highlight w:val="none"/>
          <w:lang w:val="en-US"/>
        </w:rPr>
      </w:pP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rPr>
        <w:t>5</w:t>
      </w:r>
      <w:r>
        <w:rPr>
          <w:rFonts w:hint="eastAsia" w:ascii="仿宋_GB2312" w:hAnsi="仿宋_GB2312" w:cs="仿宋_GB2312"/>
          <w:highlight w:val="none"/>
          <w:lang w:val="en-US"/>
        </w:rPr>
        <w:t>为用户侧中长期净成交电量占实际用电量</w:t>
      </w:r>
      <w:r>
        <w:rPr>
          <w:rFonts w:hint="eastAsia" w:ascii="仿宋_GB2312" w:hAnsi="仿宋_GB2312" w:cs="仿宋_GB2312"/>
          <w:highlight w:val="none"/>
          <w:lang w:val="en-US" w:eastAsia="zh-CN"/>
        </w:rPr>
        <w:t>下限</w:t>
      </w:r>
      <w:r>
        <w:rPr>
          <w:rFonts w:hint="eastAsia" w:ascii="仿宋_GB2312" w:hAnsi="仿宋_GB2312" w:cs="仿宋_GB2312"/>
          <w:highlight w:val="none"/>
          <w:lang w:val="en-US"/>
        </w:rPr>
        <w:t>允许比例；</w:t>
      </w:r>
    </w:p>
    <w:p>
      <w:pPr>
        <w:pStyle w:val="9"/>
        <w:spacing w:after="0"/>
        <w:rPr>
          <w:rFonts w:hint="eastAsia" w:ascii="仿宋_GB2312" w:hAnsi="仿宋_GB2312" w:cs="仿宋_GB2312"/>
          <w:highlight w:val="none"/>
          <w:lang w:val="en-US"/>
        </w:rPr>
      </w:pPr>
      <w:r>
        <w:rPr>
          <w:rFonts w:hint="eastAsia" w:ascii="仿宋_GB2312" w:hAnsi="仿宋_GB2312" w:cs="仿宋_GB2312"/>
          <w:highlight w:val="none"/>
          <w:lang w:val="en-US"/>
        </w:rPr>
        <w:t>K</w:t>
      </w:r>
      <w:r>
        <w:rPr>
          <w:rFonts w:hint="eastAsia" w:ascii="仿宋_GB2312" w:hAnsi="仿宋_GB2312" w:cs="仿宋_GB2312"/>
          <w:highlight w:val="none"/>
          <w:vertAlign w:val="subscript"/>
          <w:lang w:val="en-US" w:eastAsia="zh-CN"/>
        </w:rPr>
        <w:t>6</w:t>
      </w:r>
      <w:r>
        <w:rPr>
          <w:rFonts w:hint="eastAsia" w:ascii="仿宋_GB2312" w:hAnsi="仿宋_GB2312" w:cs="仿宋_GB2312"/>
          <w:highlight w:val="none"/>
          <w:lang w:val="en-US"/>
        </w:rPr>
        <w:t>为用户侧中长期净成交电量占实际用电量</w:t>
      </w:r>
      <w:r>
        <w:rPr>
          <w:rFonts w:hint="eastAsia" w:ascii="仿宋_GB2312" w:hAnsi="仿宋_GB2312" w:cs="仿宋_GB2312"/>
          <w:highlight w:val="none"/>
          <w:lang w:val="en-US" w:eastAsia="zh-CN"/>
        </w:rPr>
        <w:t>上限</w:t>
      </w:r>
      <w:r>
        <w:rPr>
          <w:rFonts w:hint="eastAsia" w:ascii="仿宋_GB2312" w:hAnsi="仿宋_GB2312" w:cs="仿宋_GB2312"/>
          <w:highlight w:val="none"/>
          <w:lang w:val="en-US"/>
        </w:rPr>
        <w:t>允许比例；</w:t>
      </w:r>
    </w:p>
    <w:p>
      <w:pPr>
        <w:pStyle w:val="9"/>
        <w:spacing w:after="0"/>
        <w:jc w:val="left"/>
        <w:rPr>
          <w:rFonts w:ascii="仿宋_GB2312" w:hAnsi="仿宋_GB2312" w:cs="仿宋_GB2312"/>
          <w:highlight w:val="none"/>
          <w:lang w:val="en-US"/>
        </w:rPr>
      </w:pP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5</w:t>
      </w:r>
      <w:r>
        <w:rPr>
          <w:rFonts w:hint="eastAsia" w:ascii="仿宋_GB2312" w:hAnsi="仿宋_GB2312" w:cs="仿宋_GB2312"/>
          <w:highlight w:val="none"/>
          <w:vertAlign w:val="baseline"/>
          <w:lang w:val="en-US" w:eastAsia="zh-CN"/>
        </w:rPr>
        <w:t>、</w:t>
      </w:r>
      <w:r>
        <w:rPr>
          <w:rFonts w:hint="eastAsia" w:ascii="仿宋_GB2312" w:hAnsi="仿宋_GB2312" w:cs="仿宋_GB2312"/>
          <w:lang w:val="en-US" w:eastAsia="zh-CN"/>
        </w:rPr>
        <w:t>h</w:t>
      </w:r>
      <w:r>
        <w:rPr>
          <w:rFonts w:hint="eastAsia" w:ascii="仿宋_GB2312" w:hAnsi="仿宋_GB2312" w:cs="仿宋_GB2312"/>
          <w:vertAlign w:val="subscript"/>
          <w:lang w:val="en-US" w:eastAsia="zh-CN"/>
        </w:rPr>
        <w:t>6</w:t>
      </w:r>
      <w:r>
        <w:rPr>
          <w:rFonts w:hint="eastAsia" w:ascii="仿宋_GB2312" w:hAnsi="仿宋_GB2312" w:cs="仿宋_GB2312"/>
          <w:highlight w:val="none"/>
          <w:lang w:val="en-US"/>
        </w:rPr>
        <w:t>为调整系数。</w:t>
      </w:r>
    </w:p>
    <w:p>
      <w:pPr>
        <w:pStyle w:val="29"/>
        <w:tabs>
          <w:tab w:val="left" w:pos="567"/>
          <w:tab w:val="left" w:pos="1417"/>
          <w:tab w:val="left" w:pos="2127"/>
          <w:tab w:val="left" w:pos="4395"/>
          <w:tab w:val="clear" w:pos="1986"/>
        </w:tabs>
        <w:rPr>
          <w:rFonts w:ascii="仿宋_GB2312" w:hAnsi="仿宋_GB2312" w:eastAsia="仿宋_GB2312" w:cs="仿宋_GB2312"/>
          <w:highlight w:val="none"/>
        </w:rPr>
      </w:pPr>
      <w:r>
        <w:rPr>
          <w:rFonts w:hint="eastAsia" w:ascii="仿宋_GB2312" w:hAnsi="仿宋_GB2312" w:eastAsia="仿宋_GB2312" w:cs="仿宋_GB2312"/>
          <w:highlight w:val="none"/>
        </w:rPr>
        <w:t>（2）返还方式</w:t>
      </w:r>
    </w:p>
    <w:p>
      <w:pPr>
        <w:pStyle w:val="29"/>
        <w:numPr>
          <w:ilvl w:val="255"/>
          <w:numId w:val="0"/>
        </w:numPr>
        <w:tabs>
          <w:tab w:val="left" w:pos="567"/>
          <w:tab w:val="left" w:pos="1417"/>
          <w:tab w:val="left" w:pos="2127"/>
          <w:tab w:val="clear" w:pos="1986"/>
        </w:tabs>
        <w:ind w:firstLine="640" w:firstLineChars="200"/>
        <w:jc w:val="left"/>
        <w:rPr>
          <w:rFonts w:ascii="仿宋_GB2312" w:hAnsi="仿宋_GB2312" w:eastAsia="仿宋_GB2312" w:cs="仿宋_GB2312"/>
        </w:rPr>
      </w:pPr>
      <w:r>
        <w:rPr>
          <w:rFonts w:hint="eastAsia" w:ascii="仿宋_GB2312" w:hAnsi="仿宋_GB2312" w:eastAsia="仿宋_GB2312" w:cs="仿宋_GB2312"/>
        </w:rPr>
        <w:t>所有用户侧中长期</w:t>
      </w:r>
      <w:r>
        <w:rPr>
          <w:rFonts w:hint="eastAsia" w:ascii="仿宋_GB2312" w:hAnsi="仿宋_GB2312" w:eastAsia="仿宋_GB2312" w:cs="仿宋_GB2312"/>
          <w:lang w:val="en-US" w:eastAsia="zh-CN"/>
        </w:rPr>
        <w:t>偏差收益回收费用返还给所有</w:t>
      </w:r>
      <w:r>
        <w:rPr>
          <w:rFonts w:hint="eastAsia" w:ascii="仿宋_GB2312" w:hAnsi="仿宋_GB2312" w:eastAsia="仿宋_GB2312" w:cs="仿宋_GB2312"/>
        </w:rPr>
        <w:t>市场化机组。</w:t>
      </w:r>
    </w:p>
    <w:p>
      <w:pPr>
        <w:pStyle w:val="106"/>
        <w:spacing w:before="156" w:after="156"/>
        <w:ind w:firstLine="643"/>
      </w:pPr>
      <w:bookmarkStart w:id="674" w:name="_Toc110914418"/>
      <w:bookmarkEnd w:id="674"/>
      <w:bookmarkStart w:id="675" w:name="_Toc110914479"/>
      <w:bookmarkEnd w:id="675"/>
      <w:bookmarkStart w:id="676" w:name="_Toc110914548"/>
      <w:bookmarkEnd w:id="676"/>
      <w:bookmarkStart w:id="677" w:name="_Toc110914547"/>
      <w:bookmarkEnd w:id="677"/>
      <w:bookmarkStart w:id="678" w:name="_Toc110914544"/>
      <w:bookmarkEnd w:id="678"/>
      <w:bookmarkStart w:id="679" w:name="_Toc110914556"/>
      <w:bookmarkEnd w:id="679"/>
      <w:bookmarkStart w:id="680" w:name="_Toc110914417"/>
      <w:bookmarkEnd w:id="680"/>
      <w:bookmarkStart w:id="681" w:name="_Toc110914422"/>
      <w:bookmarkEnd w:id="681"/>
      <w:bookmarkStart w:id="682" w:name="_Toc110914558"/>
      <w:bookmarkEnd w:id="682"/>
      <w:bookmarkStart w:id="683" w:name="_Toc110914482"/>
      <w:bookmarkEnd w:id="683"/>
      <w:bookmarkStart w:id="684" w:name="_Toc110914474"/>
      <w:bookmarkEnd w:id="684"/>
      <w:bookmarkStart w:id="685" w:name="_Toc110914477"/>
      <w:bookmarkEnd w:id="685"/>
      <w:bookmarkStart w:id="686" w:name="_Toc110914550"/>
      <w:bookmarkEnd w:id="686"/>
      <w:bookmarkStart w:id="687" w:name="_Toc110914488"/>
      <w:bookmarkEnd w:id="687"/>
      <w:bookmarkStart w:id="688" w:name="_Toc110914476"/>
      <w:bookmarkEnd w:id="688"/>
      <w:bookmarkStart w:id="689" w:name="_Toc110914553"/>
      <w:bookmarkEnd w:id="689"/>
      <w:bookmarkStart w:id="690" w:name="_Toc110914552"/>
      <w:bookmarkEnd w:id="690"/>
      <w:bookmarkStart w:id="691" w:name="_Toc110914554"/>
      <w:bookmarkEnd w:id="691"/>
      <w:bookmarkStart w:id="692" w:name="_Toc110914423"/>
      <w:bookmarkEnd w:id="692"/>
      <w:bookmarkStart w:id="693" w:name="_Toc110914487"/>
      <w:bookmarkEnd w:id="693"/>
      <w:bookmarkStart w:id="694" w:name="_Toc110914557"/>
      <w:bookmarkEnd w:id="694"/>
      <w:bookmarkStart w:id="695" w:name="_Toc110914415"/>
      <w:bookmarkEnd w:id="695"/>
      <w:bookmarkStart w:id="696" w:name="_Toc110914489"/>
      <w:bookmarkEnd w:id="696"/>
      <w:bookmarkStart w:id="697" w:name="_Toc110914551"/>
      <w:bookmarkEnd w:id="697"/>
      <w:bookmarkStart w:id="698" w:name="_Toc110914486"/>
      <w:bookmarkEnd w:id="698"/>
      <w:bookmarkStart w:id="699" w:name="_Toc110914478"/>
      <w:bookmarkEnd w:id="699"/>
      <w:bookmarkStart w:id="700" w:name="_Toc110914424"/>
      <w:bookmarkEnd w:id="700"/>
      <w:bookmarkStart w:id="701" w:name="_Toc110914545"/>
      <w:bookmarkEnd w:id="701"/>
      <w:bookmarkStart w:id="702" w:name="_Toc110914549"/>
      <w:bookmarkEnd w:id="702"/>
      <w:bookmarkStart w:id="703" w:name="_Toc110914543"/>
      <w:bookmarkEnd w:id="703"/>
      <w:bookmarkStart w:id="704" w:name="_Toc110914420"/>
      <w:bookmarkEnd w:id="704"/>
      <w:bookmarkStart w:id="705" w:name="_Toc110914481"/>
      <w:bookmarkEnd w:id="705"/>
      <w:bookmarkStart w:id="706" w:name="_Toc110914485"/>
      <w:bookmarkEnd w:id="706"/>
      <w:bookmarkStart w:id="707" w:name="_Toc110914546"/>
      <w:bookmarkEnd w:id="707"/>
      <w:bookmarkStart w:id="708" w:name="_Toc110914412"/>
      <w:bookmarkEnd w:id="708"/>
      <w:bookmarkStart w:id="709" w:name="_Toc110914483"/>
      <w:bookmarkEnd w:id="709"/>
      <w:bookmarkStart w:id="710" w:name="_Toc110914419"/>
      <w:bookmarkEnd w:id="710"/>
      <w:bookmarkStart w:id="711" w:name="_Toc110914475"/>
      <w:bookmarkEnd w:id="711"/>
      <w:bookmarkStart w:id="712" w:name="_Toc110914416"/>
      <w:bookmarkEnd w:id="712"/>
      <w:bookmarkStart w:id="713" w:name="_Toc110914411"/>
      <w:bookmarkEnd w:id="713"/>
      <w:bookmarkStart w:id="714" w:name="_Toc110914421"/>
      <w:bookmarkEnd w:id="714"/>
      <w:bookmarkStart w:id="715" w:name="_Toc110914414"/>
      <w:bookmarkEnd w:id="715"/>
      <w:bookmarkStart w:id="716" w:name="_Toc110914484"/>
      <w:bookmarkEnd w:id="716"/>
      <w:bookmarkStart w:id="717" w:name="_Toc110914425"/>
      <w:bookmarkEnd w:id="717"/>
      <w:bookmarkStart w:id="718" w:name="_Toc110914413"/>
      <w:bookmarkEnd w:id="718"/>
      <w:bookmarkStart w:id="719" w:name="_Toc110914410"/>
      <w:bookmarkEnd w:id="719"/>
      <w:bookmarkStart w:id="720" w:name="_Toc110914555"/>
      <w:bookmarkEnd w:id="720"/>
      <w:bookmarkStart w:id="721" w:name="_Toc110914480"/>
      <w:bookmarkEnd w:id="721"/>
      <w:bookmarkStart w:id="722" w:name="_Toc2822"/>
      <w:bookmarkStart w:id="723" w:name="_Toc3232"/>
      <w:bookmarkStart w:id="724" w:name="_Toc26729"/>
      <w:bookmarkStart w:id="725" w:name="_Toc8955"/>
      <w:bookmarkStart w:id="726" w:name="_Toc10742"/>
      <w:bookmarkStart w:id="727" w:name="_Toc1574"/>
      <w:bookmarkStart w:id="728" w:name="_Toc2963"/>
      <w:bookmarkStart w:id="729" w:name="_Toc110914559"/>
      <w:bookmarkStart w:id="730" w:name="_Toc434"/>
      <w:bookmarkStart w:id="731" w:name="_Toc15289"/>
      <w:bookmarkStart w:id="732" w:name="_Toc21668"/>
      <w:bookmarkStart w:id="733" w:name="_Toc1084"/>
      <w:bookmarkStart w:id="734" w:name="_Toc30269"/>
      <w:bookmarkStart w:id="735" w:name="_Toc27715"/>
      <w:bookmarkStart w:id="736" w:name="_Toc463"/>
      <w:bookmarkStart w:id="737" w:name="_Toc22453"/>
      <w:r>
        <w:rPr>
          <w:rFonts w:hint="eastAsia"/>
        </w:rPr>
        <w:t>市场不平衡类费用</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pStyle w:val="9"/>
        <w:spacing w:after="0"/>
        <w:rPr>
          <w:rFonts w:ascii="仿宋_GB2312" w:hAnsi="仿宋_GB2312" w:cs="仿宋_GB2312"/>
        </w:rPr>
      </w:pPr>
      <w:r>
        <w:rPr>
          <w:rFonts w:hint="eastAsia" w:ascii="仿宋_GB2312" w:hAnsi="仿宋_GB2312" w:cs="仿宋_GB2312"/>
          <w:lang w:val="en-US"/>
        </w:rPr>
        <w:t>现货市场运行初期，市场不平衡类费用是指省内</w:t>
      </w:r>
      <w:r>
        <w:rPr>
          <w:rFonts w:hint="eastAsia" w:ascii="仿宋_GB2312" w:hAnsi="仿宋_GB2312" w:cs="仿宋_GB2312"/>
        </w:rPr>
        <w:t>用户支付电能量电费与</w:t>
      </w:r>
      <w:r>
        <w:rPr>
          <w:rFonts w:hint="eastAsia" w:ascii="仿宋_GB2312" w:hAnsi="仿宋_GB2312" w:cs="仿宋_GB2312"/>
          <w:lang w:val="en-US"/>
        </w:rPr>
        <w:t>发电企业</w:t>
      </w:r>
      <w:r>
        <w:rPr>
          <w:rFonts w:hint="eastAsia" w:ascii="仿宋_GB2312" w:hAnsi="仿宋_GB2312" w:cs="仿宋_GB2312"/>
        </w:rPr>
        <w:t>所收取的电能量电费之间的差额，</w:t>
      </w:r>
      <w:r>
        <w:rPr>
          <w:rFonts w:hint="eastAsia" w:ascii="仿宋_GB2312" w:hAnsi="仿宋_GB2312" w:cs="仿宋_GB2312"/>
          <w:kern w:val="2"/>
          <w:szCs w:val="22"/>
          <w:lang w:val="en-US"/>
        </w:rPr>
        <w:t>包括</w:t>
      </w:r>
      <w:r>
        <w:rPr>
          <w:rFonts w:hint="eastAsia" w:ascii="仿宋_GB2312" w:hAnsi="仿宋_GB2312" w:cs="仿宋_GB2312"/>
        </w:rPr>
        <w:t>阻塞</w:t>
      </w:r>
      <w:r>
        <w:rPr>
          <w:rFonts w:hint="eastAsia" w:ascii="仿宋_GB2312" w:hAnsi="仿宋_GB2312" w:cs="仿宋_GB2312"/>
          <w:lang w:val="en-US"/>
        </w:rPr>
        <w:t>不平衡费用</w:t>
      </w:r>
      <w:r>
        <w:rPr>
          <w:rFonts w:hint="eastAsia" w:ascii="仿宋_GB2312" w:hAnsi="仿宋_GB2312" w:cs="仿宋_GB2312"/>
        </w:rPr>
        <w:t>、市场发用电量不平衡</w:t>
      </w:r>
      <w:r>
        <w:rPr>
          <w:rFonts w:hint="eastAsia" w:ascii="仿宋_GB2312" w:hAnsi="仿宋_GB2312" w:cs="仿宋_GB2312"/>
          <w:lang w:val="en-US"/>
        </w:rPr>
        <w:t>费用以及市场结构类</w:t>
      </w:r>
      <w:r>
        <w:rPr>
          <w:rFonts w:hint="eastAsia" w:ascii="仿宋_GB2312" w:hAnsi="仿宋_GB2312" w:cs="仿宋_GB2312"/>
        </w:rPr>
        <w:t>不平衡费用。</w:t>
      </w:r>
    </w:p>
    <w:p>
      <w:pPr>
        <w:pStyle w:val="107"/>
        <w:spacing w:before="156" w:after="156"/>
        <w:ind w:left="0" w:firstLine="643"/>
      </w:pPr>
      <w:bookmarkStart w:id="738" w:name="_Toc16293"/>
      <w:bookmarkStart w:id="739" w:name="_Toc110914560"/>
      <w:bookmarkStart w:id="740" w:name="_Toc6197"/>
      <w:bookmarkStart w:id="741" w:name="_Toc16152"/>
      <w:bookmarkStart w:id="742" w:name="_Toc4935"/>
      <w:bookmarkStart w:id="743" w:name="_Toc27860"/>
      <w:bookmarkStart w:id="744" w:name="_Toc28442"/>
      <w:r>
        <w:rPr>
          <w:rFonts w:hint="eastAsia"/>
        </w:rPr>
        <w:t>阻塞不平衡费用</w:t>
      </w:r>
      <w:bookmarkEnd w:id="738"/>
      <w:bookmarkEnd w:id="739"/>
      <w:bookmarkEnd w:id="740"/>
      <w:bookmarkEnd w:id="741"/>
      <w:bookmarkEnd w:id="742"/>
      <w:bookmarkEnd w:id="743"/>
      <w:bookmarkEnd w:id="744"/>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eastAsia="仿宋_GB2312" w:cs="仿宋_GB2312"/>
        </w:rPr>
        <w:t>阻塞不平衡费用是指现货市场中，发电侧以节点电价进行电能量电费结算，用户侧以统一结算点电价进行电能量电费结算，导致的应收与应付电费的偏差费用。阻塞不平衡费用由</w:t>
      </w:r>
      <w:r>
        <w:rPr>
          <w:rFonts w:hint="eastAsia" w:ascii="仿宋_GB2312" w:hAnsi="仿宋_GB2312" w:eastAsia="仿宋_GB2312" w:cs="仿宋_GB2312"/>
          <w:lang w:eastAsia="zh-CN"/>
        </w:rPr>
        <w:t>日前市场</w:t>
      </w:r>
      <w:r>
        <w:rPr>
          <w:rFonts w:hint="eastAsia" w:ascii="仿宋_GB2312" w:hAnsi="仿宋_GB2312" w:eastAsia="仿宋_GB2312" w:cs="仿宋_GB2312"/>
        </w:rPr>
        <w:t>阻塞不平衡费用与</w:t>
      </w:r>
      <w:r>
        <w:rPr>
          <w:rFonts w:hint="eastAsia" w:ascii="仿宋_GB2312" w:hAnsi="仿宋_GB2312" w:eastAsia="仿宋_GB2312" w:cs="仿宋_GB2312"/>
          <w:lang w:eastAsia="zh-CN"/>
        </w:rPr>
        <w:t>实时市场</w:t>
      </w:r>
      <w:r>
        <w:rPr>
          <w:rFonts w:hint="eastAsia" w:ascii="仿宋_GB2312" w:hAnsi="仿宋_GB2312" w:eastAsia="仿宋_GB2312" w:cs="仿宋_GB2312"/>
        </w:rPr>
        <w:t>阻塞不平衡费用两部分构成。</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eastAsia="仿宋_GB2312" w:cs="仿宋_GB2312"/>
        </w:rPr>
        <w:t>（1）计算公式</w:t>
      </w:r>
    </w:p>
    <w:p>
      <w:pPr>
        <w:pStyle w:val="29"/>
        <w:numPr>
          <w:ilvl w:val="255"/>
          <w:numId w:val="0"/>
        </w:numPr>
        <w:tabs>
          <w:tab w:val="left" w:pos="567"/>
          <w:tab w:val="left" w:pos="1417"/>
          <w:tab w:val="left" w:pos="2127"/>
          <w:tab w:val="clear" w:pos="1986"/>
        </w:tabs>
        <w:jc w:val="center"/>
        <w:rPr>
          <w:rFonts w:hint="eastAsia" w:ascii="仿宋_GB2312" w:hAnsi="仿宋_GB2312" w:eastAsia="仿宋_GB2312" w:cs="仿宋_GB2312"/>
          <w:lang w:val="en-US" w:eastAsia="zh-CN"/>
        </w:rPr>
      </w:pP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阻塞不平衡费用</w:t>
      </w: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日前阻塞不平衡费用</w:t>
      </w:r>
      <w:r>
        <w:rPr>
          <w:rFonts w:hint="eastAsia" w:ascii="仿宋_GB2312" w:hAnsi="仿宋_GB2312" w:eastAsia="仿宋_GB2312" w:cs="仿宋_GB2312"/>
          <w:lang w:val="en-US" w:eastAsia="zh-CN"/>
        </w:rPr>
        <w:t>+</w:t>
      </w: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实时阻塞不平衡费用</w:t>
      </w:r>
    </w:p>
    <w:p>
      <w:pPr>
        <w:pStyle w:val="29"/>
        <w:numPr>
          <w:ilvl w:val="255"/>
          <w:numId w:val="0"/>
        </w:numPr>
        <w:tabs>
          <w:tab w:val="left" w:pos="567"/>
          <w:tab w:val="left" w:pos="1417"/>
          <w:tab w:val="left" w:pos="2127"/>
          <w:tab w:val="clear" w:pos="1986"/>
        </w:tabs>
        <w:jc w:val="center"/>
        <w:rPr>
          <w:rFonts w:hint="eastAsia" w:ascii="仿宋_GB2312" w:hAnsi="仿宋_GB2312" w:eastAsia="仿宋_GB2312" w:cs="仿宋_GB2312"/>
          <w:lang w:val="en-US" w:eastAsia="zh-CN"/>
        </w:rPr>
      </w:pP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日前阻塞不平衡费用</w:t>
      </w:r>
      <w:r>
        <w:rPr>
          <w:rFonts w:hint="eastAsia" w:ascii="仿宋_GB2312" w:hAnsi="仿宋_GB2312" w:eastAsia="仿宋_GB2312" w:cs="仿宋_GB2312"/>
          <w:lang w:val="en-US" w:eastAsia="zh-CN"/>
        </w:rPr>
        <w:t>=Σ[Q</w:t>
      </w:r>
      <w:r>
        <w:rPr>
          <w:rFonts w:hint="eastAsia" w:ascii="仿宋_GB2312" w:hAnsi="仿宋_GB2312" w:eastAsia="仿宋_GB2312" w:cs="仿宋_GB2312"/>
          <w:vertAlign w:val="subscript"/>
          <w:lang w:val="en-US" w:eastAsia="zh-CN"/>
        </w:rPr>
        <w:t>中长期合约,i,t</w:t>
      </w: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日前,i,t</w:t>
      </w: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日前统一,t</w:t>
      </w:r>
      <w:r>
        <w:rPr>
          <w:rFonts w:hint="eastAsia" w:ascii="仿宋_GB2312" w:hAnsi="仿宋_GB2312" w:eastAsia="仿宋_GB2312" w:cs="仿宋_GB2312"/>
          <w:lang w:val="en-US" w:eastAsia="zh-CN"/>
        </w:rPr>
        <w:t>)]</w:t>
      </w:r>
    </w:p>
    <w:p>
      <w:pPr>
        <w:pStyle w:val="29"/>
        <w:numPr>
          <w:ilvl w:val="255"/>
          <w:numId w:val="0"/>
        </w:numPr>
        <w:tabs>
          <w:tab w:val="left" w:pos="567"/>
          <w:tab w:val="left" w:pos="1417"/>
          <w:tab w:val="left" w:pos="2127"/>
          <w:tab w:val="clear" w:pos="1986"/>
        </w:tabs>
        <w:jc w:val="center"/>
        <w:rPr>
          <w:rFonts w:hint="eastAsia" w:ascii="仿宋_GB2312" w:hAnsi="仿宋_GB2312" w:eastAsia="仿宋_GB2312" w:cs="仿宋_GB2312"/>
          <w:lang w:val="en-US" w:eastAsia="zh-CN"/>
        </w:rPr>
      </w:pP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实时阻塞不平衡费用</w:t>
      </w:r>
      <w:r>
        <w:rPr>
          <w:rFonts w:hint="eastAsia" w:ascii="仿宋_GB2312" w:hAnsi="仿宋_GB2312" w:eastAsia="仿宋_GB2312" w:cs="仿宋_GB2312"/>
          <w:lang w:val="en-US" w:eastAsia="zh-CN"/>
        </w:rPr>
        <w:t>=Σ[Q</w:t>
      </w:r>
      <w:r>
        <w:rPr>
          <w:rFonts w:hint="eastAsia" w:ascii="仿宋_GB2312" w:hAnsi="仿宋_GB2312" w:eastAsia="仿宋_GB2312" w:cs="仿宋_GB2312"/>
          <w:vertAlign w:val="subscript"/>
          <w:lang w:val="en-US" w:eastAsia="zh-CN"/>
        </w:rPr>
        <w:t>市场机组日前出清,i,t</w:t>
      </w: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实时,i,t</w:t>
      </w: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实时统一,t</w:t>
      </w:r>
      <w:r>
        <w:rPr>
          <w:rFonts w:hint="eastAsia" w:ascii="仿宋_GB2312" w:hAnsi="仿宋_GB2312" w:eastAsia="仿宋_GB2312" w:cs="仿宋_GB2312"/>
          <w:lang w:val="en-US" w:eastAsia="zh-CN"/>
        </w:rPr>
        <w:t>)]</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position w:val="-28"/>
        </w:rPr>
      </w:pPr>
      <w:r>
        <w:rPr>
          <w:rFonts w:hint="eastAsia" w:ascii="仿宋_GB2312" w:hAnsi="仿宋_GB2312" w:eastAsia="仿宋_GB2312" w:cs="仿宋_GB2312"/>
          <w:position w:val="-28"/>
        </w:rPr>
        <w:t>其中</w:t>
      </w:r>
      <w:r>
        <w:rPr>
          <w:rFonts w:hint="eastAsia" w:ascii="仿宋_GB2312" w:hAnsi="仿宋_GB2312" w:eastAsia="仿宋_GB2312" w:cs="仿宋_GB2312"/>
          <w:position w:val="-28"/>
          <w:lang w:eastAsia="zh-CN"/>
        </w:rPr>
        <w:t>，</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rPr>
        <w:t>R</w:t>
      </w:r>
      <w:r>
        <w:rPr>
          <w:rFonts w:hint="eastAsia" w:ascii="仿宋_GB2312" w:hAnsi="仿宋_GB2312" w:cs="仿宋_GB2312"/>
          <w:vertAlign w:val="subscript"/>
          <w:lang w:val="en-US" w:eastAsia="zh-CN"/>
        </w:rPr>
        <w:t>阻塞不平衡费用</w:t>
      </w:r>
      <w:r>
        <w:rPr>
          <w:rFonts w:hint="eastAsia" w:ascii="仿宋_GB2312" w:hAnsi="仿宋_GB2312" w:eastAsia="仿宋_GB2312" w:cs="仿宋_GB2312"/>
        </w:rPr>
        <w:t>为日前、</w:t>
      </w:r>
      <w:r>
        <w:rPr>
          <w:rFonts w:hint="eastAsia" w:ascii="仿宋_GB2312" w:hAnsi="仿宋_GB2312" w:eastAsia="仿宋_GB2312" w:cs="仿宋_GB2312"/>
          <w:lang w:eastAsia="zh-CN"/>
        </w:rPr>
        <w:t>实时市场</w:t>
      </w:r>
      <w:r>
        <w:rPr>
          <w:rFonts w:hint="eastAsia" w:ascii="仿宋_GB2312" w:hAnsi="仿宋_GB2312" w:eastAsia="仿宋_GB2312" w:cs="仿宋_GB2312"/>
        </w:rPr>
        <w:t>阻塞不平衡总费用；</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rPr>
        <w:t>R</w:t>
      </w:r>
      <w:r>
        <w:rPr>
          <w:rFonts w:hint="eastAsia" w:ascii="仿宋_GB2312" w:hAnsi="仿宋_GB2312" w:cs="仿宋_GB2312"/>
          <w:vertAlign w:val="subscript"/>
          <w:lang w:val="en-US" w:eastAsia="zh-CN"/>
        </w:rPr>
        <w:t>日前阻塞不平衡费用</w:t>
      </w:r>
      <w:r>
        <w:rPr>
          <w:rFonts w:hint="eastAsia" w:ascii="仿宋_GB2312" w:hAnsi="仿宋_GB2312" w:eastAsia="仿宋_GB2312" w:cs="仿宋_GB2312"/>
        </w:rPr>
        <w:t>为</w:t>
      </w:r>
      <w:r>
        <w:rPr>
          <w:rFonts w:hint="eastAsia" w:ascii="仿宋_GB2312" w:hAnsi="仿宋_GB2312" w:eastAsia="仿宋_GB2312" w:cs="仿宋_GB2312"/>
          <w:lang w:eastAsia="zh-CN"/>
        </w:rPr>
        <w:t>日前市场</w:t>
      </w:r>
      <w:r>
        <w:rPr>
          <w:rFonts w:hint="eastAsia" w:ascii="仿宋_GB2312" w:hAnsi="仿宋_GB2312" w:eastAsia="仿宋_GB2312" w:cs="仿宋_GB2312"/>
        </w:rPr>
        <w:t>阻塞不平衡总费用；</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rPr>
        <w:t>R</w:t>
      </w:r>
      <w:r>
        <w:rPr>
          <w:rFonts w:hint="eastAsia" w:ascii="仿宋_GB2312" w:hAnsi="仿宋_GB2312" w:cs="仿宋_GB2312"/>
          <w:vertAlign w:val="subscript"/>
          <w:lang w:val="en-US" w:eastAsia="zh-CN"/>
        </w:rPr>
        <w:t>实时阻塞不平衡费用</w:t>
      </w:r>
      <w:r>
        <w:rPr>
          <w:rFonts w:hint="eastAsia" w:ascii="仿宋_GB2312" w:hAnsi="仿宋_GB2312" w:eastAsia="仿宋_GB2312" w:cs="仿宋_GB2312"/>
        </w:rPr>
        <w:t>为</w:t>
      </w:r>
      <w:r>
        <w:rPr>
          <w:rFonts w:hint="eastAsia" w:ascii="仿宋_GB2312" w:hAnsi="仿宋_GB2312" w:eastAsia="仿宋_GB2312" w:cs="仿宋_GB2312"/>
          <w:lang w:eastAsia="zh-CN"/>
        </w:rPr>
        <w:t>实时市场</w:t>
      </w:r>
      <w:r>
        <w:rPr>
          <w:rFonts w:hint="eastAsia" w:ascii="仿宋_GB2312" w:hAnsi="仿宋_GB2312" w:eastAsia="仿宋_GB2312" w:cs="仿宋_GB2312"/>
        </w:rPr>
        <w:t>阻塞不平衡总费用；</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Q</w:t>
      </w:r>
      <w:r>
        <w:rPr>
          <w:rFonts w:hint="eastAsia" w:ascii="仿宋_GB2312" w:hAnsi="仿宋_GB2312" w:cs="仿宋_GB2312"/>
          <w:vertAlign w:val="subscript"/>
          <w:lang w:val="en-US" w:eastAsia="zh-CN"/>
        </w:rPr>
        <w:t>中长期合约,i,t</w:t>
      </w:r>
      <w:r>
        <w:rPr>
          <w:rFonts w:ascii="Times New Roman" w:hAnsi="Times New Roman" w:eastAsia="仿宋_GB2312" w:cs="Times New Roman"/>
        </w:rPr>
        <w:t>为机组</w:t>
      </w:r>
      <w:r>
        <w:rPr>
          <w:rFonts w:ascii="仿宋_GB2312" w:hAnsi="仿宋_GB2312" w:eastAsia="仿宋_GB2312" w:cs="仿宋_GB2312"/>
        </w:rPr>
        <w:t>i在t时段中长期合约分解电量（</w:t>
      </w:r>
      <w:r>
        <w:rPr>
          <w:rFonts w:hint="eastAsia" w:ascii="仿宋_GB2312" w:hAnsi="仿宋_GB2312" w:eastAsia="仿宋_GB2312" w:cs="仿宋_GB2312"/>
        </w:rPr>
        <w:t>不</w:t>
      </w:r>
      <w:r>
        <w:rPr>
          <w:rFonts w:ascii="仿宋_GB2312" w:hAnsi="仿宋_GB2312" w:eastAsia="仿宋_GB2312" w:cs="仿宋_GB2312"/>
        </w:rPr>
        <w:t>包括代理购电合约电量）；</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日前,i,t</w:t>
      </w:r>
      <w:r>
        <w:rPr>
          <w:rFonts w:ascii="仿宋_GB2312" w:hAnsi="仿宋_GB2312" w:eastAsia="仿宋_GB2312" w:cs="仿宋_GB2312"/>
        </w:rPr>
        <w:t>为</w:t>
      </w:r>
      <w:r>
        <w:rPr>
          <w:rFonts w:hint="eastAsia" w:ascii="仿宋_GB2312" w:hAnsi="仿宋_GB2312" w:eastAsia="仿宋_GB2312" w:cs="仿宋_GB2312"/>
          <w:lang w:eastAsia="zh-CN"/>
        </w:rPr>
        <w:t>日前市场</w:t>
      </w:r>
      <w:r>
        <w:rPr>
          <w:rFonts w:ascii="仿宋_GB2312" w:hAnsi="仿宋_GB2312" w:eastAsia="仿宋_GB2312" w:cs="仿宋_GB2312"/>
        </w:rPr>
        <w:t>t时段机组i所在节点的节点电价；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日前统一,t</w:t>
      </w:r>
      <w:r>
        <w:rPr>
          <w:rFonts w:ascii="仿宋_GB2312" w:hAnsi="仿宋_GB2312" w:eastAsia="仿宋_GB2312" w:cs="仿宋_GB2312"/>
        </w:rPr>
        <w:t>为</w:t>
      </w:r>
      <w:r>
        <w:rPr>
          <w:rFonts w:hint="eastAsia" w:ascii="仿宋_GB2312" w:hAnsi="仿宋_GB2312" w:eastAsia="仿宋_GB2312" w:cs="仿宋_GB2312"/>
          <w:lang w:eastAsia="zh-CN"/>
        </w:rPr>
        <w:t>日前市场</w:t>
      </w:r>
      <w:r>
        <w:rPr>
          <w:rFonts w:ascii="仿宋_GB2312" w:hAnsi="仿宋_GB2312" w:eastAsia="仿宋_GB2312" w:cs="仿宋_GB2312"/>
        </w:rPr>
        <w:t>t时段的用户侧统一结算点电价；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Q</w:t>
      </w:r>
      <w:r>
        <w:rPr>
          <w:rFonts w:hint="eastAsia" w:ascii="仿宋_GB2312" w:hAnsi="仿宋_GB2312" w:cs="仿宋_GB2312"/>
          <w:vertAlign w:val="subscript"/>
          <w:lang w:val="en-US" w:eastAsia="zh-CN"/>
        </w:rPr>
        <w:t>市场机组日前出清,i,t</w:t>
      </w:r>
      <w:r>
        <w:rPr>
          <w:rFonts w:ascii="仿宋_GB2312" w:hAnsi="仿宋_GB2312" w:eastAsia="仿宋_GB2312" w:cs="仿宋_GB2312"/>
        </w:rPr>
        <w:t>为</w:t>
      </w:r>
      <w:r>
        <w:rPr>
          <w:rFonts w:hint="eastAsia" w:ascii="仿宋_GB2312" w:hAnsi="仿宋_GB2312" w:eastAsia="仿宋_GB2312" w:cs="仿宋_GB2312"/>
          <w:lang w:eastAsia="zh-CN"/>
        </w:rPr>
        <w:t>日前市场</w:t>
      </w:r>
      <w:r>
        <w:rPr>
          <w:rFonts w:ascii="仿宋_GB2312" w:hAnsi="仿宋_GB2312" w:eastAsia="仿宋_GB2312" w:cs="仿宋_GB2312"/>
        </w:rPr>
        <w:t>t时段机组i出清电量；</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实时,i,t</w:t>
      </w:r>
      <w:r>
        <w:rPr>
          <w:rFonts w:ascii="仿宋_GB2312" w:hAnsi="仿宋_GB2312" w:eastAsia="仿宋_GB2312" w:cs="仿宋_GB2312"/>
        </w:rPr>
        <w:t>为</w:t>
      </w:r>
      <w:r>
        <w:rPr>
          <w:rFonts w:hint="eastAsia" w:ascii="仿宋_GB2312" w:hAnsi="仿宋_GB2312" w:eastAsia="仿宋_GB2312" w:cs="仿宋_GB2312"/>
          <w:lang w:eastAsia="zh-CN"/>
        </w:rPr>
        <w:t>实时市场</w:t>
      </w:r>
      <w:r>
        <w:rPr>
          <w:rFonts w:ascii="仿宋_GB2312" w:hAnsi="仿宋_GB2312" w:eastAsia="仿宋_GB2312" w:cs="仿宋_GB2312"/>
        </w:rPr>
        <w:t>t时段机组i所在节点的节点电价；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实时统一,t</w:t>
      </w:r>
      <w:r>
        <w:rPr>
          <w:rFonts w:ascii="仿宋_GB2312" w:hAnsi="仿宋_GB2312" w:eastAsia="仿宋_GB2312" w:cs="仿宋_GB2312"/>
        </w:rPr>
        <w:t>为</w:t>
      </w:r>
      <w:r>
        <w:rPr>
          <w:rFonts w:hint="eastAsia" w:ascii="仿宋_GB2312" w:hAnsi="仿宋_GB2312" w:eastAsia="仿宋_GB2312" w:cs="仿宋_GB2312"/>
          <w:lang w:eastAsia="zh-CN"/>
        </w:rPr>
        <w:t>实时市场</w:t>
      </w:r>
      <w:r>
        <w:rPr>
          <w:rFonts w:ascii="仿宋_GB2312" w:hAnsi="仿宋_GB2312" w:eastAsia="仿宋_GB2312" w:cs="仿宋_GB2312"/>
        </w:rPr>
        <w:t>t时段的用户侧统一结算点电价。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position w:val="-14"/>
          <w:szCs w:val="32"/>
        </w:rPr>
      </w:pPr>
      <w:r>
        <w:rPr>
          <w:rFonts w:hint="eastAsia" w:ascii="仿宋_GB2312" w:hAnsi="仿宋_GB2312" w:eastAsia="仿宋_GB2312" w:cs="仿宋_GB2312"/>
        </w:rPr>
        <w:t>（2）</w:t>
      </w:r>
      <w:r>
        <w:rPr>
          <w:rFonts w:hint="eastAsia" w:ascii="仿宋_GB2312" w:hAnsi="仿宋_GB2312" w:eastAsia="仿宋_GB2312" w:cs="仿宋_GB2312"/>
          <w:szCs w:val="32"/>
        </w:rPr>
        <w:t>分摊或返还</w:t>
      </w:r>
      <w:r>
        <w:rPr>
          <w:rFonts w:hint="eastAsia" w:ascii="仿宋_GB2312" w:hAnsi="仿宋_GB2312" w:eastAsia="仿宋_GB2312" w:cs="仿宋_GB2312"/>
        </w:rPr>
        <w:t>方式</w:t>
      </w:r>
    </w:p>
    <w:p>
      <w:pPr>
        <w:pStyle w:val="29"/>
        <w:numPr>
          <w:ilvl w:val="255"/>
          <w:numId w:val="0"/>
        </w:numPr>
        <w:tabs>
          <w:tab w:val="left" w:pos="567"/>
          <w:tab w:val="left" w:pos="1417"/>
          <w:tab w:val="left" w:pos="2127"/>
          <w:tab w:val="clear" w:pos="1986"/>
        </w:tabs>
        <w:ind w:firstLine="640" w:firstLineChars="200"/>
        <w:rPr>
          <w:rFonts w:hint="eastAsia" w:ascii="仿宋_GB2312" w:hAnsi="仿宋_GB2312" w:eastAsia="仿宋_GB2312" w:cs="仿宋_GB2312"/>
        </w:rPr>
      </w:pPr>
      <w:r>
        <w:rPr>
          <w:rFonts w:hint="eastAsia" w:ascii="仿宋_GB2312" w:hAnsi="仿宋_GB2312" w:eastAsia="仿宋_GB2312" w:cs="仿宋_GB2312"/>
        </w:rPr>
        <w:t>现货市场运行初期，市场阻塞不平衡费用</w:t>
      </w:r>
      <w:r>
        <w:rPr>
          <w:rFonts w:hint="eastAsia" w:ascii="仿宋_GB2312" w:hAnsi="仿宋_GB2312" w:eastAsia="仿宋_GB2312" w:cs="仿宋_GB2312"/>
          <w:lang w:val="en-US" w:eastAsia="zh-CN"/>
        </w:rPr>
        <w:t>按当月发电侧经营主体上网电量、工商业用户下网电量占比分摊或者返还给所有经营主体。</w:t>
      </w:r>
    </w:p>
    <w:p>
      <w:pPr>
        <w:pStyle w:val="107"/>
        <w:spacing w:before="156" w:after="156"/>
        <w:ind w:left="0" w:firstLine="643"/>
      </w:pPr>
      <w:bookmarkStart w:id="745" w:name="_Toc20494"/>
      <w:bookmarkStart w:id="746" w:name="_Toc17077"/>
      <w:bookmarkStart w:id="747" w:name="_Toc110914562"/>
      <w:bookmarkStart w:id="748" w:name="_Toc17698"/>
      <w:bookmarkStart w:id="749" w:name="_Toc2630"/>
      <w:bookmarkStart w:id="750" w:name="_Toc28490"/>
      <w:bookmarkStart w:id="751" w:name="_Toc13501"/>
      <w:r>
        <w:rPr>
          <w:rFonts w:hint="eastAsia"/>
        </w:rPr>
        <w:t>市场发用电量不平衡费用</w:t>
      </w:r>
      <w:bookmarkEnd w:id="745"/>
      <w:bookmarkEnd w:id="746"/>
      <w:bookmarkEnd w:id="747"/>
      <w:bookmarkEnd w:id="748"/>
      <w:bookmarkEnd w:id="749"/>
      <w:bookmarkEnd w:id="750"/>
      <w:bookmarkEnd w:id="751"/>
    </w:p>
    <w:p>
      <w:pPr>
        <w:pStyle w:val="29"/>
        <w:numPr>
          <w:ilvl w:val="255"/>
          <w:numId w:val="0"/>
        </w:numPr>
        <w:tabs>
          <w:tab w:val="left" w:pos="567"/>
          <w:tab w:val="left" w:pos="1417"/>
          <w:tab w:val="left" w:pos="2127"/>
          <w:tab w:val="left" w:pos="4395"/>
          <w:tab w:val="clear" w:pos="1986"/>
        </w:tabs>
        <w:ind w:firstLine="641"/>
        <w:textAlignment w:val="center"/>
        <w:rPr>
          <w:rFonts w:ascii="仿宋_GB2312" w:hAnsi="仿宋_GB2312" w:eastAsia="仿宋_GB2312" w:cs="仿宋_GB2312"/>
        </w:rPr>
      </w:pPr>
      <w:r>
        <w:rPr>
          <w:rFonts w:hint="eastAsia" w:ascii="仿宋_GB2312" w:hAnsi="仿宋_GB2312" w:eastAsia="仿宋_GB2312" w:cs="仿宋_GB2312"/>
        </w:rPr>
        <w:t>市场发用电量不平衡偏差费用是指现货模式下市场发电侧按</w:t>
      </w:r>
      <w:r>
        <w:rPr>
          <w:rFonts w:hint="eastAsia" w:ascii="仿宋_GB2312" w:hAnsi="仿宋_GB2312" w:eastAsia="仿宋_GB2312" w:cs="仿宋_GB2312"/>
          <w:lang w:eastAsia="zh-CN"/>
        </w:rPr>
        <w:t>日前市场</w:t>
      </w:r>
      <w:r>
        <w:rPr>
          <w:rFonts w:hint="eastAsia" w:ascii="仿宋_GB2312" w:hAnsi="仿宋_GB2312" w:eastAsia="仿宋_GB2312" w:cs="仿宋_GB2312"/>
        </w:rPr>
        <w:t>出清电量结算，用户侧按日前申报电量结算，发用两侧结算电量存在不平衡导致的不平衡费用。</w:t>
      </w:r>
    </w:p>
    <w:p>
      <w:pPr>
        <w:pStyle w:val="29"/>
        <w:numPr>
          <w:ilvl w:val="255"/>
          <w:numId w:val="0"/>
        </w:numPr>
        <w:tabs>
          <w:tab w:val="left" w:pos="567"/>
          <w:tab w:val="left" w:pos="1417"/>
          <w:tab w:val="left" w:pos="2127"/>
          <w:tab w:val="left" w:pos="4395"/>
          <w:tab w:val="clear" w:pos="1986"/>
        </w:tabs>
        <w:ind w:firstLine="640" w:firstLineChars="200"/>
        <w:textAlignment w:val="center"/>
        <w:rPr>
          <w:rFonts w:ascii="仿宋_GB2312" w:hAnsi="仿宋_GB2312" w:eastAsia="仿宋_GB2312" w:cs="仿宋_GB2312"/>
        </w:rPr>
      </w:pPr>
      <w:r>
        <w:rPr>
          <w:rFonts w:hint="eastAsia" w:ascii="仿宋_GB2312" w:hAnsi="仿宋_GB2312" w:eastAsia="仿宋_GB2312" w:cs="仿宋_GB2312"/>
        </w:rPr>
        <w:t>（1）计算公式</w:t>
      </w:r>
    </w:p>
    <w:p>
      <w:pPr>
        <w:pStyle w:val="29"/>
        <w:numPr>
          <w:ilvl w:val="255"/>
          <w:numId w:val="0"/>
        </w:numPr>
        <w:tabs>
          <w:tab w:val="left" w:pos="567"/>
          <w:tab w:val="left" w:pos="1417"/>
          <w:tab w:val="left" w:pos="2127"/>
          <w:tab w:val="clear" w:pos="1986"/>
        </w:tabs>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rPr>
        <w:t>R</w:t>
      </w:r>
      <w:r>
        <w:rPr>
          <w:rFonts w:hint="eastAsia" w:ascii="仿宋_GB2312" w:hAnsi="仿宋_GB2312" w:eastAsia="仿宋_GB2312" w:cs="仿宋_GB2312"/>
          <w:vertAlign w:val="subscript"/>
          <w:lang w:val="en-US" w:eastAsia="zh-CN"/>
        </w:rPr>
        <w:t>市场发用电量不平衡费用</w:t>
      </w:r>
      <w:r>
        <w:rPr>
          <w:rFonts w:hint="eastAsia" w:ascii="仿宋_GB2312" w:hAnsi="仿宋_GB2312" w:eastAsia="仿宋_GB2312" w:cs="仿宋_GB2312"/>
          <w:lang w:val="en-US" w:eastAsia="zh-CN"/>
        </w:rPr>
        <w:t>=Σ[(Q</w:t>
      </w:r>
      <w:r>
        <w:rPr>
          <w:rFonts w:hint="eastAsia" w:ascii="仿宋_GB2312" w:hAnsi="仿宋_GB2312" w:eastAsia="仿宋_GB2312" w:cs="仿宋_GB2312"/>
          <w:vertAlign w:val="subscript"/>
          <w:lang w:val="en-US" w:eastAsia="zh-CN"/>
        </w:rPr>
        <w:t>市场用户日前申报,t</w:t>
      </w:r>
      <w:r>
        <w:rPr>
          <w:rFonts w:hint="eastAsia" w:ascii="仿宋_GB2312" w:hAnsi="仿宋_GB2312" w:eastAsia="仿宋_GB2312" w:cs="仿宋_GB2312"/>
          <w:vertAlign w:val="baseline"/>
          <w:lang w:val="en-US" w:eastAsia="zh-CN"/>
        </w:rPr>
        <w:t>-</w:t>
      </w:r>
      <w:r>
        <w:rPr>
          <w:rFonts w:hint="eastAsia" w:ascii="仿宋_GB2312" w:hAnsi="仿宋_GB2312" w:eastAsia="仿宋_GB2312" w:cs="仿宋_GB2312"/>
          <w:lang w:val="en-US" w:eastAsia="zh-CN"/>
        </w:rPr>
        <w:t>Q</w:t>
      </w:r>
      <w:r>
        <w:rPr>
          <w:rFonts w:hint="eastAsia" w:ascii="仿宋_GB2312" w:hAnsi="仿宋_GB2312" w:eastAsia="仿宋_GB2312" w:cs="仿宋_GB2312"/>
          <w:vertAlign w:val="subscript"/>
          <w:lang w:val="en-US" w:eastAsia="zh-CN"/>
        </w:rPr>
        <w:t>市场机组日前出清,t</w:t>
      </w:r>
      <w:r>
        <w:rPr>
          <w:rFonts w:hint="eastAsia" w:ascii="仿宋_GB2312" w:hAnsi="仿宋_GB2312" w:eastAsia="仿宋_GB2312" w:cs="仿宋_GB2312"/>
          <w:vertAlign w:val="baseline"/>
          <w:lang w:val="en-US" w:eastAsia="zh-CN"/>
        </w:rPr>
        <w:t>)</w:t>
      </w:r>
    </w:p>
    <w:p>
      <w:pPr>
        <w:pStyle w:val="29"/>
        <w:numPr>
          <w:ilvl w:val="255"/>
          <w:numId w:val="0"/>
        </w:numPr>
        <w:tabs>
          <w:tab w:val="left" w:pos="567"/>
          <w:tab w:val="left" w:pos="1417"/>
          <w:tab w:val="left" w:pos="2127"/>
          <w:tab w:val="clear" w:pos="1986"/>
        </w:tabs>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日前统一,t</w:t>
      </w:r>
      <w:r>
        <w:rPr>
          <w:rFonts w:hint="eastAsia" w:ascii="仿宋_GB2312" w:hAnsi="仿宋_GB2312" w:eastAsia="仿宋_GB2312" w:cs="仿宋_GB2312"/>
          <w:lang w:val="en-US" w:eastAsia="zh-CN"/>
        </w:rPr>
        <w:t>-P</w:t>
      </w:r>
      <w:r>
        <w:rPr>
          <w:rFonts w:hint="eastAsia" w:ascii="仿宋_GB2312" w:hAnsi="仿宋_GB2312" w:eastAsia="仿宋_GB2312" w:cs="仿宋_GB2312"/>
          <w:vertAlign w:val="subscript"/>
          <w:lang w:val="en-US" w:eastAsia="zh-CN"/>
        </w:rPr>
        <w:t>实时统一,t</w:t>
      </w:r>
      <w:r>
        <w:rPr>
          <w:rFonts w:hint="eastAsia" w:ascii="仿宋_GB2312" w:hAnsi="仿宋_GB2312" w:eastAsia="仿宋_GB2312" w:cs="仿宋_GB2312"/>
          <w:lang w:val="en-US" w:eastAsia="zh-CN"/>
        </w:rPr>
        <w:t>)]</w:t>
      </w:r>
    </w:p>
    <w:p>
      <w:pPr>
        <w:pStyle w:val="29"/>
        <w:numPr>
          <w:ilvl w:val="255"/>
          <w:numId w:val="0"/>
        </w:numPr>
        <w:tabs>
          <w:tab w:val="left" w:pos="567"/>
          <w:tab w:val="left" w:pos="1417"/>
          <w:tab w:val="left" w:pos="2127"/>
          <w:tab w:val="clear" w:pos="1986"/>
        </w:tabs>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其中</w:t>
      </w:r>
      <w:r>
        <w:rPr>
          <w:rFonts w:hint="eastAsia" w:ascii="仿宋_GB2312" w:hAnsi="仿宋_GB2312" w:eastAsia="仿宋_GB2312" w:cs="仿宋_GB2312"/>
          <w:szCs w:val="32"/>
          <w:lang w:eastAsia="zh-CN"/>
        </w:rPr>
        <w:t>，</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position w:val="-14"/>
          <w:szCs w:val="32"/>
        </w:rPr>
      </w:pPr>
      <w:r>
        <w:rPr>
          <w:rFonts w:hint="eastAsia" w:ascii="仿宋_GB2312" w:hAnsi="仿宋_GB2312" w:cs="仿宋_GB2312"/>
        </w:rPr>
        <w:t>R</w:t>
      </w:r>
      <w:r>
        <w:rPr>
          <w:rFonts w:hint="eastAsia" w:ascii="仿宋_GB2312" w:hAnsi="仿宋_GB2312" w:cs="仿宋_GB2312"/>
          <w:vertAlign w:val="subscript"/>
          <w:lang w:val="en-US" w:eastAsia="zh-CN"/>
        </w:rPr>
        <w:t>市场发用电量不平衡费用</w:t>
      </w:r>
      <w:r>
        <w:rPr>
          <w:rFonts w:hint="eastAsia" w:ascii="仿宋_GB2312" w:hAnsi="仿宋_GB2312" w:eastAsia="仿宋_GB2312" w:cs="仿宋_GB2312"/>
          <w:position w:val="-14"/>
          <w:szCs w:val="32"/>
        </w:rPr>
        <w:t>为总的市场发用电量不平衡费用；</w:t>
      </w:r>
    </w:p>
    <w:p>
      <w:pPr>
        <w:pStyle w:val="29"/>
        <w:numPr>
          <w:ilvl w:val="255"/>
          <w:numId w:val="0"/>
        </w:numPr>
        <w:tabs>
          <w:tab w:val="left" w:pos="567"/>
          <w:tab w:val="left" w:pos="1417"/>
          <w:tab w:val="left" w:pos="2127"/>
          <w:tab w:val="clear" w:pos="1986"/>
        </w:tabs>
        <w:ind w:firstLine="640" w:firstLineChars="200"/>
        <w:rPr>
          <w:rFonts w:ascii="Times New Roman" w:hAnsi="Times New Roman" w:eastAsia="仿宋_GB2312" w:cs="Times New Roman"/>
        </w:rPr>
      </w:pPr>
      <w:r>
        <w:rPr>
          <w:rFonts w:hint="eastAsia" w:ascii="仿宋_GB2312" w:hAnsi="仿宋_GB2312" w:cs="仿宋_GB2312"/>
          <w:lang w:val="en-US" w:eastAsia="zh-CN"/>
        </w:rPr>
        <w:t>Q</w:t>
      </w:r>
      <w:r>
        <w:rPr>
          <w:rFonts w:hint="eastAsia" w:ascii="仿宋_GB2312" w:hAnsi="仿宋_GB2312" w:cs="仿宋_GB2312"/>
          <w:vertAlign w:val="subscript"/>
          <w:lang w:val="en-US" w:eastAsia="zh-CN"/>
        </w:rPr>
        <w:t>市场用户日前申报,t</w:t>
      </w:r>
      <w:r>
        <w:rPr>
          <w:rFonts w:ascii="Times New Roman" w:hAnsi="Times New Roman" w:eastAsia="仿宋_GB2312" w:cs="Times New Roman"/>
        </w:rPr>
        <w:t>为</w:t>
      </w:r>
      <w:r>
        <w:rPr>
          <w:rFonts w:hint="eastAsia" w:ascii="Times New Roman" w:hAnsi="Times New Roman" w:eastAsia="仿宋_GB2312" w:cs="Times New Roman"/>
          <w:lang w:eastAsia="zh-CN"/>
        </w:rPr>
        <w:t>日前市场</w:t>
      </w:r>
      <w:r>
        <w:rPr>
          <w:rFonts w:ascii="Times New Roman" w:hAnsi="Times New Roman" w:eastAsia="仿宋_GB2312" w:cs="Times New Roman"/>
        </w:rPr>
        <w:t>用户t时段</w:t>
      </w:r>
      <w:r>
        <w:rPr>
          <w:rFonts w:hint="eastAsia" w:ascii="Times New Roman" w:hAnsi="Times New Roman" w:eastAsia="仿宋_GB2312" w:cs="Times New Roman"/>
        </w:rPr>
        <w:t>总</w:t>
      </w:r>
      <w:r>
        <w:rPr>
          <w:rFonts w:ascii="Times New Roman" w:hAnsi="Times New Roman" w:eastAsia="仿宋_GB2312" w:cs="Times New Roman"/>
        </w:rPr>
        <w:t>申报电量；</w:t>
      </w:r>
    </w:p>
    <w:p>
      <w:pPr>
        <w:pStyle w:val="29"/>
        <w:numPr>
          <w:ilvl w:val="255"/>
          <w:numId w:val="0"/>
        </w:numPr>
        <w:tabs>
          <w:tab w:val="left" w:pos="567"/>
          <w:tab w:val="left" w:pos="1417"/>
          <w:tab w:val="left" w:pos="2127"/>
          <w:tab w:val="clear" w:pos="1986"/>
        </w:tabs>
        <w:ind w:firstLine="640" w:firstLineChars="200"/>
        <w:rPr>
          <w:rFonts w:ascii="Times New Roman" w:hAnsi="Times New Roman" w:eastAsia="仿宋_GB2312" w:cs="Times New Roman"/>
        </w:rPr>
      </w:pPr>
      <w:r>
        <w:rPr>
          <w:rFonts w:hint="eastAsia" w:ascii="仿宋_GB2312" w:hAnsi="仿宋_GB2312" w:cs="仿宋_GB2312"/>
          <w:lang w:val="en-US" w:eastAsia="zh-CN"/>
        </w:rPr>
        <w:t>Q</w:t>
      </w:r>
      <w:r>
        <w:rPr>
          <w:rFonts w:hint="eastAsia" w:ascii="仿宋_GB2312" w:hAnsi="仿宋_GB2312" w:cs="仿宋_GB2312"/>
          <w:vertAlign w:val="subscript"/>
          <w:lang w:val="en-US" w:eastAsia="zh-CN"/>
        </w:rPr>
        <w:t>市场机组日前出清,t</w:t>
      </w:r>
      <w:r>
        <w:rPr>
          <w:rFonts w:ascii="Times New Roman" w:hAnsi="Times New Roman" w:eastAsia="仿宋_GB2312" w:cs="Times New Roman"/>
        </w:rPr>
        <w:t>为</w:t>
      </w:r>
      <w:r>
        <w:rPr>
          <w:rFonts w:hint="eastAsia" w:ascii="Times New Roman" w:hAnsi="Times New Roman" w:eastAsia="仿宋_GB2312" w:cs="Times New Roman"/>
          <w:lang w:eastAsia="zh-CN"/>
        </w:rPr>
        <w:t>日前市场</w:t>
      </w:r>
      <w:r>
        <w:rPr>
          <w:rFonts w:ascii="Times New Roman" w:hAnsi="Times New Roman" w:eastAsia="仿宋_GB2312" w:cs="Times New Roman"/>
        </w:rPr>
        <w:t>机组t时段</w:t>
      </w:r>
      <w:r>
        <w:rPr>
          <w:rFonts w:hint="eastAsia" w:ascii="Times New Roman" w:hAnsi="Times New Roman" w:eastAsia="仿宋_GB2312" w:cs="Times New Roman"/>
        </w:rPr>
        <w:t>总</w:t>
      </w:r>
      <w:r>
        <w:rPr>
          <w:rFonts w:ascii="Times New Roman" w:hAnsi="Times New Roman" w:eastAsia="仿宋_GB2312" w:cs="Times New Roman"/>
        </w:rPr>
        <w:t>出清电量；</w:t>
      </w:r>
    </w:p>
    <w:p>
      <w:pPr>
        <w:pStyle w:val="29"/>
        <w:numPr>
          <w:ilvl w:val="255"/>
          <w:numId w:val="0"/>
        </w:numPr>
        <w:tabs>
          <w:tab w:val="left" w:pos="567"/>
          <w:tab w:val="left" w:pos="1417"/>
          <w:tab w:val="left" w:pos="2127"/>
          <w:tab w:val="clear" w:pos="1986"/>
        </w:tabs>
        <w:ind w:firstLine="640" w:firstLineChars="200"/>
        <w:rPr>
          <w:rFonts w:ascii="Times New Roman" w:hAnsi="Times New Roman" w:eastAsia="仿宋_GB2312" w:cs="Times New Roman"/>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日前统一,t</w:t>
      </w:r>
      <w:r>
        <w:rPr>
          <w:rFonts w:ascii="Times New Roman" w:hAnsi="Times New Roman" w:eastAsia="仿宋_GB2312" w:cs="Times New Roman"/>
        </w:rPr>
        <w:t>为</w:t>
      </w:r>
      <w:r>
        <w:rPr>
          <w:rFonts w:hint="eastAsia" w:ascii="Times New Roman" w:hAnsi="Times New Roman" w:eastAsia="仿宋_GB2312" w:cs="Times New Roman"/>
          <w:lang w:eastAsia="zh-CN"/>
        </w:rPr>
        <w:t>日前市场</w:t>
      </w:r>
      <w:r>
        <w:rPr>
          <w:rFonts w:ascii="Times New Roman" w:hAnsi="Times New Roman" w:eastAsia="仿宋_GB2312" w:cs="Times New Roman"/>
        </w:rPr>
        <w:t>t时段的用户侧统一结算点电价；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rPr>
      </w:pPr>
      <w:r>
        <w:rPr>
          <w:rFonts w:hint="eastAsia" w:ascii="仿宋_GB2312" w:hAnsi="仿宋_GB2312" w:cs="仿宋_GB2312"/>
          <w:lang w:val="en-US" w:eastAsia="zh-CN"/>
        </w:rPr>
        <w:t>P</w:t>
      </w:r>
      <w:r>
        <w:rPr>
          <w:rFonts w:hint="eastAsia" w:ascii="仿宋_GB2312" w:hAnsi="仿宋_GB2312" w:cs="仿宋_GB2312"/>
          <w:vertAlign w:val="subscript"/>
          <w:lang w:val="en-US" w:eastAsia="zh-CN"/>
        </w:rPr>
        <w:t>实时统一,t</w:t>
      </w:r>
      <w:r>
        <w:rPr>
          <w:rFonts w:ascii="Times New Roman" w:hAnsi="Times New Roman" w:eastAsia="仿宋_GB2312" w:cs="Times New Roman"/>
        </w:rPr>
        <w:t>为</w:t>
      </w:r>
      <w:r>
        <w:rPr>
          <w:rFonts w:hint="eastAsia" w:ascii="Times New Roman" w:hAnsi="Times New Roman" w:eastAsia="仿宋_GB2312" w:cs="Times New Roman"/>
          <w:lang w:eastAsia="zh-CN"/>
        </w:rPr>
        <w:t>实时市场</w:t>
      </w:r>
      <w:r>
        <w:rPr>
          <w:rFonts w:ascii="Times New Roman" w:hAnsi="Times New Roman" w:eastAsia="仿宋_GB2312" w:cs="Times New Roman"/>
        </w:rPr>
        <w:t>t时段的用户侧统一结算点电价。</w:t>
      </w:r>
    </w:p>
    <w:p>
      <w:pPr>
        <w:pStyle w:val="29"/>
        <w:numPr>
          <w:ilvl w:val="255"/>
          <w:numId w:val="0"/>
        </w:numPr>
        <w:tabs>
          <w:tab w:val="left" w:pos="567"/>
          <w:tab w:val="left" w:pos="1417"/>
          <w:tab w:val="left" w:pos="2127"/>
          <w:tab w:val="clear" w:pos="1986"/>
        </w:tabs>
        <w:ind w:firstLine="640" w:firstLineChars="200"/>
        <w:rPr>
          <w:rFonts w:ascii="仿宋_GB2312" w:hAnsi="仿宋_GB2312" w:eastAsia="仿宋_GB2312" w:cs="仿宋_GB2312"/>
          <w:position w:val="-14"/>
          <w:szCs w:val="32"/>
        </w:rPr>
      </w:pPr>
      <w:r>
        <w:rPr>
          <w:rFonts w:hint="eastAsia" w:ascii="仿宋_GB2312" w:hAnsi="仿宋_GB2312" w:eastAsia="仿宋_GB2312" w:cs="仿宋_GB2312"/>
        </w:rPr>
        <w:t>（2）</w:t>
      </w:r>
      <w:r>
        <w:rPr>
          <w:rFonts w:hint="eastAsia" w:ascii="仿宋_GB2312" w:hAnsi="仿宋_GB2312" w:eastAsia="仿宋_GB2312" w:cs="仿宋_GB2312"/>
          <w:szCs w:val="32"/>
        </w:rPr>
        <w:t>分摊或返还</w:t>
      </w:r>
      <w:r>
        <w:rPr>
          <w:rFonts w:hint="eastAsia" w:ascii="仿宋_GB2312" w:hAnsi="仿宋_GB2312" w:eastAsia="仿宋_GB2312" w:cs="仿宋_GB2312"/>
        </w:rPr>
        <w:t>方式</w:t>
      </w:r>
    </w:p>
    <w:p>
      <w:pPr>
        <w:pStyle w:val="29"/>
        <w:numPr>
          <w:ilvl w:val="255"/>
          <w:numId w:val="0"/>
        </w:numPr>
        <w:tabs>
          <w:tab w:val="left" w:pos="567"/>
          <w:tab w:val="left" w:pos="1417"/>
          <w:tab w:val="left" w:pos="2127"/>
          <w:tab w:val="clear" w:pos="1986"/>
        </w:tabs>
        <w:ind w:firstLine="640" w:firstLineChars="200"/>
        <w:rPr>
          <w:rFonts w:hint="eastAsia" w:ascii="仿宋_GB2312" w:hAnsi="仿宋_GB2312" w:eastAsia="仿宋_GB2312" w:cstheme="minorBidi"/>
          <w:kern w:val="2"/>
          <w:sz w:val="32"/>
          <w:szCs w:val="22"/>
          <w:highlight w:val="none"/>
          <w:lang w:val="en-US" w:eastAsia="zh-CN" w:bidi="ar-SA"/>
        </w:rPr>
      </w:pPr>
      <w:r>
        <w:rPr>
          <w:rFonts w:hint="eastAsia" w:ascii="仿宋_GB2312" w:hAnsi="仿宋_GB2312" w:eastAsia="仿宋_GB2312" w:cstheme="minorBidi"/>
          <w:kern w:val="2"/>
          <w:sz w:val="32"/>
          <w:szCs w:val="22"/>
          <w:highlight w:val="none"/>
          <w:lang w:val="en-US" w:eastAsia="zh-CN" w:bidi="ar-SA"/>
        </w:rPr>
        <w:t>市场发用电量不平衡费用按当月发电侧经营主体上网电量、工商业用户下网电量占比分摊或者返还给所有经营主体。</w:t>
      </w:r>
    </w:p>
    <w:p>
      <w:pPr>
        <w:pStyle w:val="107"/>
        <w:spacing w:before="156" w:after="156"/>
        <w:ind w:left="0" w:firstLine="643"/>
      </w:pPr>
      <w:bookmarkStart w:id="752" w:name="_Toc22249"/>
      <w:bookmarkStart w:id="753" w:name="_Toc14147"/>
      <w:bookmarkStart w:id="754" w:name="_Toc110914564"/>
      <w:bookmarkStart w:id="755" w:name="_Toc30953"/>
      <w:bookmarkStart w:id="756" w:name="_Toc9257"/>
      <w:bookmarkStart w:id="757" w:name="_Toc32397"/>
      <w:bookmarkStart w:id="758" w:name="_Toc14822"/>
      <w:r>
        <w:rPr>
          <w:rFonts w:hint="eastAsia"/>
        </w:rPr>
        <w:t>市场结构类不平衡费用</w:t>
      </w:r>
      <w:bookmarkEnd w:id="752"/>
      <w:bookmarkEnd w:id="753"/>
      <w:bookmarkEnd w:id="754"/>
      <w:bookmarkEnd w:id="755"/>
      <w:bookmarkEnd w:id="756"/>
      <w:bookmarkEnd w:id="757"/>
      <w:bookmarkEnd w:id="758"/>
    </w:p>
    <w:p>
      <w:pPr>
        <w:numPr>
          <w:ilvl w:val="255"/>
          <w:numId w:val="0"/>
        </w:numPr>
        <w:ind w:firstLine="641" w:firstLineChars="0"/>
        <w:textAlignment w:val="center"/>
        <w:rPr>
          <w:rFonts w:cs="仿宋_GB2312"/>
        </w:rPr>
      </w:pPr>
      <w:r>
        <w:rPr>
          <w:rFonts w:hint="eastAsia"/>
        </w:rPr>
        <w:t>市场结构类不平衡费用主要指由于计划与市场双轨制等原因，导致出现的偏差费用。</w:t>
      </w:r>
    </w:p>
    <w:p>
      <w:pPr>
        <w:pStyle w:val="29"/>
        <w:numPr>
          <w:ilvl w:val="255"/>
          <w:numId w:val="0"/>
        </w:numPr>
        <w:tabs>
          <w:tab w:val="left" w:pos="567"/>
          <w:tab w:val="left" w:pos="1417"/>
          <w:tab w:val="left" w:pos="2127"/>
          <w:tab w:val="left" w:pos="4395"/>
          <w:tab w:val="clear" w:pos="1986"/>
        </w:tabs>
        <w:ind w:firstLine="640" w:firstLineChars="200"/>
        <w:textAlignment w:val="center"/>
        <w:rPr>
          <w:rFonts w:ascii="仿宋_GB2312" w:hAnsi="仿宋_GB2312" w:eastAsia="仿宋_GB2312" w:cs="仿宋_GB2312"/>
          <w:highlight w:val="none"/>
        </w:rPr>
      </w:pPr>
      <w:r>
        <w:rPr>
          <w:rFonts w:hint="eastAsia" w:ascii="仿宋_GB2312" w:hAnsi="仿宋_GB2312" w:eastAsia="仿宋_GB2312" w:cs="仿宋_GB2312"/>
          <w:highlight w:val="none"/>
        </w:rPr>
        <w:t>（1）计算公式</w:t>
      </w:r>
    </w:p>
    <w:p>
      <w:pPr>
        <w:pStyle w:val="95"/>
        <w:spacing w:line="240" w:lineRule="auto"/>
        <w:jc w:val="center"/>
        <w:rPr>
          <w:rFonts w:hint="eastAsia" w:ascii="仿宋_GB2312" w:hAnsi="仿宋_GB2312" w:eastAsia="仿宋_GB2312" w:cs="仿宋_GB2312"/>
          <w:sz w:val="32"/>
          <w:szCs w:val="32"/>
          <w:vertAlign w:val="subscript"/>
          <w:lang w:val="en-US" w:eastAsia="zh-CN"/>
        </w:rPr>
      </w:pP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市场结构类不平衡费用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总不平衡费用</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市场发用电量不平衡费用</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阻塞不平衡费用</w:t>
      </w:r>
    </w:p>
    <w:p>
      <w:pPr>
        <w:pStyle w:val="95"/>
        <w:spacing w:line="240" w:lineRule="auto"/>
        <w:jc w:val="center"/>
        <w:rPr>
          <w:rFonts w:hint="eastAsia" w:ascii="仿宋_GB2312" w:hAnsi="仿宋_GB2312" w:eastAsia="仿宋_GB2312" w:cs="仿宋_GB2312"/>
          <w:sz w:val="32"/>
          <w:szCs w:val="32"/>
          <w:vertAlign w:val="subscript"/>
          <w:lang w:val="en-US" w:eastAsia="zh-CN"/>
        </w:rPr>
      </w:pP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总不平衡费用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用户侧电能量电费支出</w:t>
      </w:r>
      <w:r>
        <w:rPr>
          <w:rFonts w:hint="eastAsia" w:ascii="仿宋_GB2312" w:hAnsi="仿宋_GB2312" w:eastAsia="仿宋_GB2312" w:cs="仿宋_GB2312"/>
          <w:sz w:val="32"/>
          <w:szCs w:val="32"/>
          <w:vertAlign w:val="baseline"/>
          <w:lang w:val="en-US" w:eastAsia="zh-CN"/>
        </w:rPr>
        <w:t>-R</w:t>
      </w:r>
      <w:r>
        <w:rPr>
          <w:rFonts w:hint="eastAsia" w:ascii="仿宋_GB2312" w:hAnsi="仿宋_GB2312" w:eastAsia="仿宋_GB2312" w:cs="仿宋_GB2312"/>
          <w:sz w:val="32"/>
          <w:szCs w:val="32"/>
          <w:vertAlign w:val="subscript"/>
          <w:lang w:val="en-US" w:eastAsia="zh-CN"/>
        </w:rPr>
        <w:t>售电公司电能量电费收入</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rPr>
        <w:t>R</w:t>
      </w:r>
      <w:r>
        <w:rPr>
          <w:rFonts w:hint="eastAsia" w:ascii="仿宋_GB2312" w:hAnsi="仿宋_GB2312" w:eastAsia="仿宋_GB2312" w:cs="仿宋_GB2312"/>
          <w:sz w:val="32"/>
          <w:szCs w:val="32"/>
          <w:vertAlign w:val="subscript"/>
          <w:lang w:val="en-US" w:eastAsia="zh-CN"/>
        </w:rPr>
        <w:t>发电侧电能量电费收入</w:t>
      </w:r>
    </w:p>
    <w:p>
      <w:pPr>
        <w:pStyle w:val="29"/>
        <w:numPr>
          <w:ilvl w:val="255"/>
          <w:numId w:val="0"/>
        </w:numPr>
        <w:tabs>
          <w:tab w:val="left" w:pos="567"/>
          <w:tab w:val="left" w:pos="1417"/>
          <w:tab w:val="left" w:pos="2127"/>
          <w:tab w:val="clear" w:pos="1986"/>
        </w:tabs>
        <w:ind w:firstLine="640" w:firstLineChars="20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其中</w:t>
      </w:r>
      <w:r>
        <w:rPr>
          <w:rFonts w:hint="eastAsia" w:ascii="仿宋_GB2312" w:hAnsi="仿宋_GB2312" w:eastAsia="仿宋_GB2312" w:cs="仿宋_GB2312"/>
          <w:szCs w:val="32"/>
          <w:highlight w:val="none"/>
          <w:lang w:eastAsia="zh-CN"/>
        </w:rPr>
        <w:t>，</w:t>
      </w:r>
    </w:p>
    <w:p>
      <w:pPr>
        <w:numPr>
          <w:ilvl w:val="255"/>
          <w:numId w:val="0"/>
        </w:numPr>
        <w:ind w:firstLine="641" w:firstLineChars="0"/>
        <w:jc w:val="left"/>
        <w:textAlignment w:val="center"/>
        <w:rPr>
          <w:rFonts w:hint="eastAsia" w:ascii="仿宋_GB2312" w:hAnsi="仿宋_GB2312" w:eastAsia="仿宋_GB2312" w:cstheme="minorBidi"/>
          <w:szCs w:val="22"/>
          <w:highlight w:val="none"/>
        </w:rPr>
      </w:pPr>
      <w:r>
        <w:rPr>
          <w:rFonts w:hint="eastAsia" w:ascii="仿宋_GB2312" w:hAnsi="仿宋_GB2312" w:cstheme="minorBidi"/>
        </w:rPr>
        <w:t>R</w:t>
      </w:r>
      <w:r>
        <w:rPr>
          <w:rFonts w:hint="eastAsia" w:ascii="仿宋_GB2312" w:hAnsi="仿宋_GB2312" w:cstheme="minorBidi"/>
          <w:vertAlign w:val="subscript"/>
          <w:lang w:val="en-US" w:eastAsia="zh-CN"/>
        </w:rPr>
        <w:t>市场结构类不平衡费用</w:t>
      </w:r>
      <w:r>
        <w:rPr>
          <w:rFonts w:hint="eastAsia" w:ascii="仿宋_GB2312" w:hAnsi="仿宋_GB2312" w:eastAsia="仿宋_GB2312" w:cstheme="minorBidi"/>
          <w:position w:val="0"/>
          <w:szCs w:val="22"/>
          <w:highlight w:val="none"/>
        </w:rPr>
        <w:t>为总的市场结构类不平衡费用；</w:t>
      </w:r>
    </w:p>
    <w:p>
      <w:pPr>
        <w:numPr>
          <w:ilvl w:val="255"/>
          <w:numId w:val="0"/>
        </w:numPr>
        <w:ind w:firstLine="641" w:firstLineChars="0"/>
        <w:jc w:val="left"/>
        <w:textAlignment w:val="center"/>
        <w:rPr>
          <w:rFonts w:hint="eastAsia" w:ascii="仿宋_GB2312" w:hAnsi="仿宋_GB2312" w:eastAsia="仿宋_GB2312" w:cstheme="minorBidi"/>
          <w:kern w:val="2"/>
          <w:szCs w:val="22"/>
          <w:highlight w:val="none"/>
        </w:rPr>
      </w:pPr>
      <w:r>
        <w:rPr>
          <w:rFonts w:hint="eastAsia" w:ascii="仿宋_GB2312" w:hAnsi="仿宋_GB2312" w:cstheme="minorBidi"/>
        </w:rPr>
        <w:t>R</w:t>
      </w:r>
      <w:r>
        <w:rPr>
          <w:rFonts w:hint="eastAsia" w:ascii="仿宋_GB2312" w:hAnsi="仿宋_GB2312" w:cstheme="minorBidi"/>
          <w:vertAlign w:val="subscript"/>
          <w:lang w:val="en-US" w:eastAsia="zh-CN"/>
        </w:rPr>
        <w:t>总不平衡费用</w:t>
      </w:r>
      <w:r>
        <w:rPr>
          <w:rFonts w:hint="eastAsia" w:ascii="仿宋_GB2312" w:hAnsi="仿宋_GB2312" w:eastAsia="仿宋_GB2312" w:cstheme="minorBidi"/>
          <w:kern w:val="2"/>
          <w:szCs w:val="22"/>
          <w:highlight w:val="none"/>
        </w:rPr>
        <w:t>为现货市场总不平衡费用；</w:t>
      </w:r>
    </w:p>
    <w:p>
      <w:pPr>
        <w:numPr>
          <w:ilvl w:val="255"/>
          <w:numId w:val="0"/>
        </w:numPr>
        <w:ind w:firstLine="641" w:firstLineChars="0"/>
        <w:jc w:val="left"/>
        <w:textAlignment w:val="center"/>
        <w:rPr>
          <w:rFonts w:hint="eastAsia" w:ascii="仿宋_GB2312" w:hAnsi="仿宋_GB2312" w:eastAsia="仿宋_GB2312" w:cstheme="minorBidi"/>
          <w:kern w:val="2"/>
          <w:szCs w:val="22"/>
          <w:highlight w:val="none"/>
        </w:rPr>
      </w:pPr>
      <w:r>
        <w:rPr>
          <w:rFonts w:hint="eastAsia" w:ascii="仿宋_GB2312" w:hAnsi="仿宋_GB2312" w:cstheme="minorBidi"/>
        </w:rPr>
        <w:t>R</w:t>
      </w:r>
      <w:r>
        <w:rPr>
          <w:rFonts w:hint="eastAsia" w:ascii="仿宋_GB2312" w:hAnsi="仿宋_GB2312" w:cstheme="minorBidi"/>
          <w:vertAlign w:val="subscript"/>
          <w:lang w:val="en-US" w:eastAsia="zh-CN"/>
        </w:rPr>
        <w:t>用户侧电能量电费支出</w:t>
      </w:r>
      <w:r>
        <w:rPr>
          <w:rFonts w:hint="eastAsia" w:ascii="仿宋_GB2312" w:hAnsi="仿宋_GB2312" w:eastAsia="仿宋_GB2312" w:cstheme="minorBidi"/>
          <w:kern w:val="2"/>
          <w:szCs w:val="22"/>
          <w:highlight w:val="none"/>
        </w:rPr>
        <w:t>为用户侧所有主体（包括市场化用户和非市场化用户）电能量费用支出之和；</w:t>
      </w:r>
    </w:p>
    <w:p>
      <w:pPr>
        <w:numPr>
          <w:ilvl w:val="255"/>
          <w:numId w:val="0"/>
        </w:numPr>
        <w:ind w:firstLine="641" w:firstLineChars="0"/>
        <w:jc w:val="left"/>
        <w:textAlignment w:val="center"/>
        <w:rPr>
          <w:rFonts w:hint="eastAsia" w:ascii="仿宋_GB2312" w:hAnsi="仿宋_GB2312" w:eastAsia="仿宋_GB2312" w:cstheme="minorBidi"/>
          <w:szCs w:val="22"/>
          <w:highlight w:val="none"/>
        </w:rPr>
      </w:pPr>
      <w:r>
        <w:rPr>
          <w:rFonts w:hint="eastAsia" w:ascii="仿宋_GB2312" w:hAnsi="仿宋_GB2312" w:cstheme="minorBidi"/>
        </w:rPr>
        <w:t>R</w:t>
      </w:r>
      <w:r>
        <w:rPr>
          <w:rFonts w:hint="eastAsia" w:ascii="仿宋_GB2312" w:hAnsi="仿宋_GB2312" w:cstheme="minorBidi"/>
          <w:vertAlign w:val="subscript"/>
          <w:lang w:val="en-US" w:eastAsia="zh-CN"/>
        </w:rPr>
        <w:t>发电侧电能量电费收入</w:t>
      </w:r>
      <w:r>
        <w:rPr>
          <w:rFonts w:hint="eastAsia" w:ascii="仿宋_GB2312" w:hAnsi="仿宋_GB2312" w:eastAsia="仿宋_GB2312" w:cstheme="minorBidi"/>
          <w:kern w:val="2"/>
          <w:szCs w:val="22"/>
          <w:highlight w:val="none"/>
        </w:rPr>
        <w:t>为发电侧所有主体（包括市场化机组、非市场化机组及外来电）电能量费用收</w:t>
      </w:r>
      <w:r>
        <w:rPr>
          <w:rFonts w:hint="eastAsia" w:ascii="仿宋_GB2312" w:hAnsi="仿宋_GB2312" w:cstheme="minorBidi"/>
          <w:kern w:val="2"/>
          <w:szCs w:val="22"/>
          <w:highlight w:val="none"/>
        </w:rPr>
        <w:t>入</w:t>
      </w:r>
      <w:r>
        <w:rPr>
          <w:rFonts w:hint="eastAsia" w:ascii="仿宋_GB2312" w:hAnsi="仿宋_GB2312" w:eastAsia="仿宋_GB2312" w:cstheme="minorBidi"/>
          <w:kern w:val="2"/>
          <w:szCs w:val="22"/>
          <w:highlight w:val="none"/>
        </w:rPr>
        <w:t>之和</w:t>
      </w:r>
      <w:r>
        <w:rPr>
          <w:rFonts w:hint="eastAsia" w:ascii="仿宋_GB2312" w:hAnsi="仿宋_GB2312" w:eastAsia="仿宋_GB2312" w:cstheme="minorBidi"/>
          <w:szCs w:val="22"/>
          <w:highlight w:val="none"/>
        </w:rPr>
        <w:t>。</w:t>
      </w:r>
    </w:p>
    <w:p>
      <w:pPr>
        <w:numPr>
          <w:ilvl w:val="255"/>
          <w:numId w:val="0"/>
        </w:numPr>
        <w:ind w:firstLine="641" w:firstLineChars="0"/>
        <w:jc w:val="both"/>
        <w:textAlignment w:val="center"/>
        <w:rPr>
          <w:rFonts w:hint="default"/>
          <w:vertAlign w:val="baseline"/>
          <w:lang w:val="en-US" w:eastAsia="zh-CN"/>
        </w:rPr>
      </w:pPr>
      <w:r>
        <w:rPr>
          <w:rFonts w:hint="eastAsia"/>
        </w:rPr>
        <w:t>R</w:t>
      </w:r>
      <w:r>
        <w:rPr>
          <w:rFonts w:hint="eastAsia"/>
          <w:vertAlign w:val="subscript"/>
          <w:lang w:val="en-US" w:eastAsia="zh-CN"/>
        </w:rPr>
        <w:t>售电公司</w:t>
      </w:r>
      <w:r>
        <w:rPr>
          <w:rFonts w:hint="eastAsia"/>
          <w:vertAlign w:val="subscript"/>
        </w:rPr>
        <w:t>电</w:t>
      </w:r>
      <w:r>
        <w:rPr>
          <w:rFonts w:hint="eastAsia"/>
          <w:vertAlign w:val="subscript"/>
          <w:lang w:val="en-US" w:eastAsia="zh-CN"/>
        </w:rPr>
        <w:t>能量电</w:t>
      </w:r>
      <w:r>
        <w:rPr>
          <w:rFonts w:hint="eastAsia"/>
          <w:vertAlign w:val="subscript"/>
        </w:rPr>
        <w:t>费</w:t>
      </w:r>
      <w:r>
        <w:rPr>
          <w:rFonts w:hint="eastAsia"/>
          <w:vertAlign w:val="subscript"/>
          <w:lang w:val="en-US" w:eastAsia="zh-CN"/>
        </w:rPr>
        <w:t>收入</w:t>
      </w:r>
      <w:r>
        <w:rPr>
          <w:rFonts w:hint="eastAsia"/>
          <w:vertAlign w:val="baseline"/>
          <w:lang w:val="en-US" w:eastAsia="zh-CN"/>
        </w:rPr>
        <w:t>为所有售电公司按照零售合同规定的合理收入之和。</w:t>
      </w:r>
    </w:p>
    <w:p>
      <w:pPr>
        <w:ind w:firstLine="641" w:firstLineChars="0"/>
        <w:jc w:val="left"/>
        <w:textAlignment w:val="center"/>
        <w:rPr>
          <w:rFonts w:ascii="仿宋_GB2312" w:hAnsi="仿宋_GB2312" w:eastAsia="仿宋_GB2312" w:cs="仿宋_GB2312"/>
          <w:position w:val="-14"/>
          <w:szCs w:val="3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szCs w:val="32"/>
          <w:highlight w:val="none"/>
        </w:rPr>
        <w:t>分摊或返还</w:t>
      </w:r>
      <w:r>
        <w:rPr>
          <w:rFonts w:hint="eastAsia" w:ascii="仿宋_GB2312" w:hAnsi="仿宋_GB2312" w:eastAsia="仿宋_GB2312" w:cs="仿宋_GB2312"/>
          <w:highlight w:val="none"/>
        </w:rPr>
        <w:t>方式</w:t>
      </w:r>
    </w:p>
    <w:p>
      <w:pPr>
        <w:pStyle w:val="29"/>
        <w:numPr>
          <w:ilvl w:val="255"/>
          <w:numId w:val="0"/>
        </w:numPr>
        <w:tabs>
          <w:tab w:val="left" w:pos="567"/>
          <w:tab w:val="left" w:pos="1417"/>
          <w:tab w:val="left" w:pos="2127"/>
          <w:tab w:val="clear" w:pos="1986"/>
        </w:tabs>
        <w:ind w:firstLine="640" w:firstLineChars="200"/>
        <w:rPr>
          <w:rFonts w:hint="eastAsia" w:ascii="仿宋_GB2312" w:hAnsi="仿宋_GB2312" w:eastAsia="仿宋_GB2312" w:cstheme="minorBidi"/>
          <w:kern w:val="2"/>
          <w:sz w:val="32"/>
          <w:szCs w:val="22"/>
          <w:lang w:val="en-US" w:eastAsia="zh-CN" w:bidi="ar-SA"/>
        </w:rPr>
      </w:pPr>
      <w:r>
        <w:rPr>
          <w:rFonts w:hint="eastAsia" w:ascii="仿宋_GB2312" w:hAnsi="仿宋_GB2312" w:eastAsia="仿宋_GB2312" w:cstheme="minorBidi"/>
          <w:kern w:val="2"/>
          <w:sz w:val="32"/>
          <w:szCs w:val="22"/>
          <w:lang w:val="en-US" w:eastAsia="zh-CN" w:bidi="ar-SA"/>
        </w:rPr>
        <w:t>现货市场运行初期，市场结构类不平衡费用按当月发电侧经营主体上网电量、工商业用户下网电量占比分摊或者返还给所有经营主体。</w:t>
      </w:r>
      <w:bookmarkStart w:id="759" w:name="_Toc23563"/>
      <w:bookmarkStart w:id="760" w:name="_Toc28783"/>
      <w:bookmarkStart w:id="761" w:name="_Toc9137"/>
      <w:bookmarkStart w:id="762" w:name="_Toc8938"/>
      <w:bookmarkStart w:id="763" w:name="_Toc3077"/>
      <w:bookmarkStart w:id="764" w:name="_Toc19995"/>
      <w:bookmarkStart w:id="765" w:name="_Toc11053"/>
      <w:bookmarkStart w:id="766" w:name="_Toc1056"/>
      <w:bookmarkStart w:id="767" w:name="_Toc110914565"/>
      <w:bookmarkStart w:id="768" w:name="_Toc22495"/>
      <w:bookmarkStart w:id="769" w:name="_Toc17310"/>
    </w:p>
    <w:p>
      <w:pPr>
        <w:pStyle w:val="106"/>
        <w:spacing w:before="156" w:after="156"/>
        <w:ind w:left="0" w:firstLine="643"/>
      </w:pPr>
      <w:bookmarkStart w:id="770" w:name="_Toc5298"/>
      <w:bookmarkStart w:id="771" w:name="_Toc14940"/>
      <w:bookmarkStart w:id="772" w:name="_Toc29457"/>
      <w:bookmarkStart w:id="773" w:name="_Toc19406"/>
      <w:bookmarkStart w:id="774" w:name="_Toc9347"/>
      <w:r>
        <w:rPr>
          <w:rFonts w:hint="eastAsia"/>
        </w:rPr>
        <w:t>两个细则考核</w:t>
      </w:r>
      <w:bookmarkEnd w:id="667"/>
      <w:bookmarkEnd w:id="66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
        <w:rPr>
          <w:rFonts w:hint="eastAsia"/>
        </w:rPr>
        <w:t>机组临时非计划停运及实时发电计划执行偏差详见</w:t>
      </w:r>
      <w:r>
        <w:rPr>
          <w:rFonts w:hint="eastAsia"/>
          <w:highlight w:val="none"/>
        </w:rPr>
        <w:t>《华中区域并网发电厂辅助服务管理实施细则》、《华中区域发电厂并网运行管理实施细则》</w:t>
      </w:r>
      <w:r>
        <w:rPr>
          <w:rFonts w:hint="eastAsia"/>
        </w:rPr>
        <w:t>以及</w:t>
      </w:r>
      <w:r>
        <w:rPr>
          <w:rFonts w:hint="eastAsia"/>
          <w:highlight w:val="none"/>
        </w:rPr>
        <w:t>湖南</w:t>
      </w:r>
      <w:r>
        <w:rPr>
          <w:rFonts w:hint="eastAsia"/>
          <w:highlight w:val="none"/>
          <w:lang w:val="en-US" w:eastAsia="zh-CN"/>
        </w:rPr>
        <w:t>能源监管办</w:t>
      </w:r>
      <w:r>
        <w:rPr>
          <w:rFonts w:hint="eastAsia"/>
        </w:rPr>
        <w:t>相关规定。</w:t>
      </w:r>
    </w:p>
    <w:p>
      <w:pPr>
        <w:pStyle w:val="106"/>
        <w:spacing w:before="156" w:after="156"/>
        <w:ind w:left="0" w:firstLine="643"/>
        <w:rPr>
          <w:highlight w:val="none"/>
        </w:rPr>
      </w:pPr>
      <w:bookmarkStart w:id="775" w:name="_Toc30724"/>
      <w:bookmarkStart w:id="776" w:name="_Toc1150"/>
      <w:bookmarkStart w:id="777" w:name="_Toc21133"/>
      <w:bookmarkStart w:id="778" w:name="_Toc27023"/>
      <w:bookmarkStart w:id="779" w:name="_Toc11303"/>
      <w:r>
        <w:rPr>
          <w:rFonts w:hint="eastAsia"/>
          <w:highlight w:val="none"/>
          <w:lang w:val="en-US" w:eastAsia="zh-CN"/>
        </w:rPr>
        <w:t>市场运营</w:t>
      </w:r>
      <w:r>
        <w:rPr>
          <w:rFonts w:hint="eastAsia"/>
          <w:highlight w:val="none"/>
        </w:rPr>
        <w:t>费用分摊及返还方式</w:t>
      </w:r>
      <w:bookmarkEnd w:id="775"/>
      <w:bookmarkEnd w:id="776"/>
      <w:bookmarkEnd w:id="777"/>
      <w:bookmarkEnd w:id="778"/>
      <w:bookmarkEnd w:id="779"/>
    </w:p>
    <w:p>
      <w:pPr>
        <w:rPr>
          <w:rFonts w:hint="eastAsia"/>
          <w:highlight w:val="none"/>
        </w:rPr>
      </w:pPr>
      <w:r>
        <w:rPr>
          <w:rFonts w:hint="eastAsia"/>
          <w:highlight w:val="none"/>
        </w:rPr>
        <w:t>市场运营费用分摊及返还按照费用计算、费用执行、费用清算三个步骤开展。</w:t>
      </w:r>
    </w:p>
    <w:p>
      <w:pPr>
        <w:rPr>
          <w:rFonts w:hint="eastAsia"/>
          <w:highlight w:val="none"/>
        </w:rPr>
      </w:pPr>
      <w:r>
        <w:rPr>
          <w:rFonts w:hint="eastAsia"/>
          <w:highlight w:val="none"/>
        </w:rPr>
        <w:t xml:space="preserve">12.5.1 </w:t>
      </w:r>
      <w:r>
        <w:rPr>
          <w:rFonts w:hint="eastAsia"/>
          <w:color w:val="auto"/>
          <w:highlight w:val="none"/>
        </w:rPr>
        <w:t>市场运营费用计算。</w:t>
      </w:r>
      <w:r>
        <w:rPr>
          <w:rFonts w:hint="eastAsia"/>
          <w:color w:val="auto"/>
          <w:highlight w:val="none"/>
          <w:lang w:val="en-US" w:eastAsia="zh-CN"/>
        </w:rPr>
        <w:t>运行月下一月（M+1）</w:t>
      </w:r>
      <w:r>
        <w:rPr>
          <w:rFonts w:hint="eastAsia"/>
          <w:color w:val="auto"/>
          <w:highlight w:val="none"/>
        </w:rPr>
        <w:t>10</w:t>
      </w:r>
      <w:r>
        <w:rPr>
          <w:rFonts w:hint="eastAsia"/>
          <w:color w:val="auto"/>
          <w:highlight w:val="none"/>
          <w:lang w:eastAsia="zh-CN"/>
        </w:rPr>
        <w:t>个工作</w:t>
      </w:r>
      <w:r>
        <w:rPr>
          <w:rFonts w:hint="eastAsia"/>
          <w:color w:val="auto"/>
          <w:highlight w:val="none"/>
        </w:rPr>
        <w:t>日前，按照</w:t>
      </w:r>
      <w:r>
        <w:rPr>
          <w:rFonts w:hint="eastAsia"/>
          <w:color w:val="auto"/>
          <w:highlight w:val="none"/>
          <w:lang w:val="en-US" w:eastAsia="zh-CN"/>
        </w:rPr>
        <w:t>运行月（M）</w:t>
      </w:r>
      <w:r>
        <w:rPr>
          <w:rFonts w:hint="eastAsia"/>
          <w:color w:val="auto"/>
          <w:highlight w:val="none"/>
        </w:rPr>
        <w:t>现货市场实际运行情况分别计算成本补偿类费用、市场调节类费用、市场不平衡类费用等各类市场运营费用总额，</w:t>
      </w:r>
      <w:r>
        <w:rPr>
          <w:rFonts w:hint="eastAsia"/>
          <w:color w:val="auto"/>
          <w:sz w:val="32"/>
          <w:szCs w:val="32"/>
          <w:highlight w:val="none"/>
          <w:lang w:eastAsia="zh-CN"/>
        </w:rPr>
        <w:t>通过</w:t>
      </w:r>
      <w:r>
        <w:rPr>
          <w:rFonts w:hint="eastAsia"/>
          <w:color w:val="auto"/>
          <w:sz w:val="32"/>
          <w:szCs w:val="32"/>
          <w:highlight w:val="none"/>
        </w:rPr>
        <w:t>交易网站</w:t>
      </w:r>
      <w:r>
        <w:rPr>
          <w:rFonts w:hint="eastAsia"/>
          <w:color w:val="auto"/>
          <w:sz w:val="32"/>
          <w:szCs w:val="32"/>
          <w:highlight w:val="none"/>
          <w:lang w:eastAsia="zh-CN"/>
        </w:rPr>
        <w:t>向经营主体发布</w:t>
      </w:r>
      <w:r>
        <w:rPr>
          <w:rFonts w:hint="eastAsia"/>
          <w:highlight w:val="none"/>
        </w:rPr>
        <w:t>。</w:t>
      </w:r>
    </w:p>
    <w:p>
      <w:pPr>
        <w:rPr>
          <w:rFonts w:hint="eastAsia"/>
          <w:highlight w:val="none"/>
        </w:rPr>
      </w:pPr>
      <w:r>
        <w:rPr>
          <w:rFonts w:hint="eastAsia"/>
          <w:highlight w:val="none"/>
        </w:rPr>
        <w:t>12.5.2 市场运营费用执行。市场运营费用中应向市场化用户分摊、返还的，按</w:t>
      </w:r>
      <w:r>
        <w:rPr>
          <w:rFonts w:hint="eastAsia"/>
          <w:color w:val="auto"/>
          <w:highlight w:val="none"/>
          <w:lang w:val="en-US" w:eastAsia="zh-CN"/>
        </w:rPr>
        <w:t>运行月下一月（M+1）</w:t>
      </w:r>
      <w:r>
        <w:rPr>
          <w:rFonts w:hint="eastAsia"/>
          <w:highlight w:val="none"/>
        </w:rPr>
        <w:t>市场化用户预计用电总量计算度电标准，并予结算；市场运营费用中应向市场化机组分摊、返还的，按</w:t>
      </w:r>
      <w:r>
        <w:rPr>
          <w:rFonts w:hint="eastAsia"/>
          <w:color w:val="auto"/>
          <w:highlight w:val="none"/>
          <w:lang w:val="en-US" w:eastAsia="zh-CN"/>
        </w:rPr>
        <w:t>运行月（M）</w:t>
      </w:r>
      <w:r>
        <w:rPr>
          <w:rFonts w:hint="eastAsia"/>
          <w:highlight w:val="none"/>
        </w:rPr>
        <w:t>实际发电量</w:t>
      </w:r>
      <w:r>
        <w:rPr>
          <w:rFonts w:hint="eastAsia" w:ascii="仿宋_GB2312" w:hAnsi="仿宋_GB2312" w:cs="仿宋_GB2312"/>
          <w:highlight w:val="none"/>
          <w:lang w:val="en-US" w:eastAsia="zh-CN"/>
        </w:rPr>
        <w:t>（包含省间交易售出电量）</w:t>
      </w:r>
      <w:r>
        <w:rPr>
          <w:rFonts w:hint="eastAsia"/>
          <w:highlight w:val="none"/>
        </w:rPr>
        <w:t>计算度电标准，并予结算。</w:t>
      </w:r>
    </w:p>
    <w:p>
      <w:pPr>
        <w:ind w:firstLine="640" w:firstLineChars="200"/>
        <w:rPr>
          <w:rFonts w:hint="eastAsia"/>
        </w:rPr>
      </w:pPr>
      <w:r>
        <w:rPr>
          <w:rFonts w:hint="eastAsia"/>
          <w:highlight w:val="none"/>
        </w:rPr>
        <w:t>12.5.3 市场运营费用清算。</w:t>
      </w:r>
      <w:r>
        <w:rPr>
          <w:rFonts w:hint="eastAsia"/>
          <w:highlight w:val="none"/>
          <w:lang w:eastAsia="zh-CN"/>
        </w:rPr>
        <w:t>每月</w:t>
      </w:r>
      <w:r>
        <w:rPr>
          <w:rFonts w:hint="eastAsia"/>
          <w:highlight w:val="none"/>
        </w:rPr>
        <w:t>市场化用户预计用电量与实际用电差异产生的偏差费用，次月清算。</w:t>
      </w:r>
    </w:p>
    <w:bookmarkEnd w:id="669"/>
    <w:bookmarkEnd w:id="670"/>
    <w:bookmarkEnd w:id="671"/>
    <w:bookmarkEnd w:id="672"/>
    <w:bookmarkEnd w:id="673"/>
    <w:p>
      <w:pPr>
        <w:pStyle w:val="105"/>
        <w:spacing w:before="156" w:after="156"/>
        <w:ind w:firstLine="643"/>
      </w:pPr>
      <w:bookmarkStart w:id="780" w:name="_Toc76370893"/>
      <w:bookmarkEnd w:id="780"/>
      <w:bookmarkStart w:id="781" w:name="_Toc80957435"/>
      <w:bookmarkEnd w:id="781"/>
      <w:bookmarkStart w:id="782" w:name="_Toc80991875"/>
      <w:bookmarkEnd w:id="782"/>
      <w:bookmarkStart w:id="783" w:name="_Toc80957433"/>
      <w:bookmarkEnd w:id="783"/>
      <w:bookmarkStart w:id="784" w:name="_Toc80957133"/>
      <w:bookmarkEnd w:id="784"/>
      <w:bookmarkStart w:id="785" w:name="_Toc80991910"/>
      <w:bookmarkEnd w:id="785"/>
      <w:bookmarkStart w:id="786" w:name="_Toc76045024"/>
      <w:bookmarkEnd w:id="786"/>
      <w:bookmarkStart w:id="787" w:name="_Toc80957132"/>
      <w:bookmarkEnd w:id="787"/>
      <w:bookmarkStart w:id="788" w:name="_Toc76370891"/>
      <w:bookmarkEnd w:id="788"/>
      <w:bookmarkStart w:id="789" w:name="_Toc80957532"/>
      <w:bookmarkEnd w:id="789"/>
      <w:bookmarkStart w:id="790" w:name="_Toc80957387"/>
      <w:bookmarkEnd w:id="790"/>
      <w:bookmarkStart w:id="791" w:name="_Toc80957135"/>
      <w:bookmarkEnd w:id="791"/>
      <w:bookmarkStart w:id="792" w:name="_Toc76370889"/>
      <w:bookmarkEnd w:id="792"/>
      <w:bookmarkStart w:id="793" w:name="_Toc80957096"/>
      <w:bookmarkEnd w:id="793"/>
      <w:bookmarkStart w:id="794" w:name="_Toc76035503"/>
      <w:bookmarkEnd w:id="794"/>
      <w:bookmarkStart w:id="795" w:name="_Toc80957429"/>
      <w:bookmarkEnd w:id="795"/>
      <w:bookmarkStart w:id="796" w:name="_Toc80957602"/>
      <w:bookmarkEnd w:id="796"/>
      <w:bookmarkStart w:id="797" w:name="_Toc80957565"/>
      <w:bookmarkEnd w:id="797"/>
      <w:bookmarkStart w:id="798" w:name="_Toc80991912"/>
      <w:bookmarkEnd w:id="798"/>
      <w:bookmarkStart w:id="799" w:name="_Toc80957528"/>
      <w:bookmarkEnd w:id="799"/>
      <w:bookmarkStart w:id="800" w:name="_Toc80957557"/>
      <w:bookmarkEnd w:id="800"/>
      <w:bookmarkStart w:id="801" w:name="_Toc80957551"/>
      <w:bookmarkEnd w:id="801"/>
      <w:bookmarkStart w:id="802" w:name="_Toc80957095"/>
      <w:bookmarkEnd w:id="802"/>
      <w:bookmarkStart w:id="803" w:name="_Toc80957090"/>
      <w:bookmarkEnd w:id="803"/>
      <w:bookmarkStart w:id="804" w:name="_Toc80957062"/>
      <w:bookmarkEnd w:id="804"/>
      <w:bookmarkStart w:id="805" w:name="_Toc80957530"/>
      <w:bookmarkEnd w:id="805"/>
      <w:bookmarkStart w:id="806" w:name="_Toc76045026"/>
      <w:bookmarkEnd w:id="806"/>
      <w:bookmarkStart w:id="807" w:name="_Toc80957365"/>
      <w:bookmarkEnd w:id="807"/>
      <w:bookmarkStart w:id="808" w:name="_Toc80957092"/>
      <w:bookmarkEnd w:id="808"/>
      <w:bookmarkStart w:id="809" w:name="_Toc80957086"/>
      <w:bookmarkEnd w:id="809"/>
      <w:bookmarkStart w:id="810" w:name="_Toc76045020"/>
      <w:bookmarkEnd w:id="810"/>
      <w:bookmarkStart w:id="811" w:name="_Toc80957559"/>
      <w:bookmarkEnd w:id="811"/>
      <w:bookmarkStart w:id="812" w:name="_Toc80957437"/>
      <w:bookmarkEnd w:id="812"/>
      <w:bookmarkStart w:id="813" w:name="_Toc80957368"/>
      <w:bookmarkEnd w:id="813"/>
      <w:bookmarkStart w:id="814" w:name="_Toc80957555"/>
      <w:bookmarkEnd w:id="814"/>
      <w:bookmarkStart w:id="815" w:name="_Toc80957366"/>
      <w:bookmarkEnd w:id="815"/>
      <w:bookmarkStart w:id="816" w:name="_Toc80957601"/>
      <w:bookmarkEnd w:id="816"/>
      <w:bookmarkStart w:id="817" w:name="_Toc80957554"/>
      <w:bookmarkEnd w:id="817"/>
      <w:bookmarkStart w:id="818" w:name="_Toc80957533"/>
      <w:bookmarkEnd w:id="818"/>
      <w:bookmarkStart w:id="819" w:name="_Toc80991844"/>
      <w:bookmarkEnd w:id="819"/>
      <w:bookmarkStart w:id="820" w:name="_Toc76035511"/>
      <w:bookmarkEnd w:id="820"/>
      <w:bookmarkStart w:id="821" w:name="_Toc80957597"/>
      <w:bookmarkEnd w:id="821"/>
      <w:bookmarkStart w:id="822" w:name="_Toc80957550"/>
      <w:bookmarkEnd w:id="822"/>
      <w:bookmarkStart w:id="823" w:name="_Toc80957367"/>
      <w:bookmarkEnd w:id="823"/>
      <w:bookmarkStart w:id="824" w:name="_Toc80991918"/>
      <w:bookmarkEnd w:id="824"/>
      <w:bookmarkStart w:id="825" w:name="_Toc76045019"/>
      <w:bookmarkEnd w:id="825"/>
      <w:bookmarkStart w:id="826" w:name="_Toc80957388"/>
      <w:bookmarkEnd w:id="826"/>
      <w:bookmarkStart w:id="827" w:name="_Toc80957434"/>
      <w:bookmarkEnd w:id="827"/>
      <w:bookmarkStart w:id="828" w:name="_Toc80957131"/>
      <w:bookmarkEnd w:id="828"/>
      <w:bookmarkStart w:id="829" w:name="_Toc76370886"/>
      <w:bookmarkEnd w:id="829"/>
      <w:bookmarkStart w:id="830" w:name="_Toc80957130"/>
      <w:bookmarkEnd w:id="830"/>
      <w:bookmarkStart w:id="831" w:name="_Toc80957549"/>
      <w:bookmarkEnd w:id="831"/>
      <w:bookmarkStart w:id="832" w:name="_Toc80957100"/>
      <w:bookmarkEnd w:id="832"/>
      <w:bookmarkStart w:id="833" w:name="_Toc80991881"/>
      <w:bookmarkEnd w:id="833"/>
      <w:bookmarkStart w:id="834" w:name="_Toc80957430"/>
      <w:bookmarkEnd w:id="834"/>
      <w:bookmarkStart w:id="835" w:name="_Toc80957535"/>
      <w:bookmarkEnd w:id="835"/>
      <w:bookmarkStart w:id="836" w:name="_Toc80957563"/>
      <w:bookmarkEnd w:id="836"/>
      <w:bookmarkStart w:id="837" w:name="_Toc80957398"/>
      <w:bookmarkEnd w:id="837"/>
      <w:bookmarkStart w:id="838" w:name="_Toc80957067"/>
      <w:bookmarkEnd w:id="838"/>
      <w:bookmarkStart w:id="839" w:name="_Toc80991866"/>
      <w:bookmarkEnd w:id="839"/>
      <w:bookmarkStart w:id="840" w:name="_Toc80991850"/>
      <w:bookmarkEnd w:id="840"/>
      <w:bookmarkStart w:id="841" w:name="_Toc80957595"/>
      <w:bookmarkEnd w:id="841"/>
      <w:bookmarkStart w:id="842" w:name="_Toc80957593"/>
      <w:bookmarkEnd w:id="842"/>
      <w:bookmarkStart w:id="843" w:name="_Toc76045025"/>
      <w:bookmarkEnd w:id="843"/>
      <w:bookmarkStart w:id="844" w:name="_Toc80957098"/>
      <w:bookmarkEnd w:id="844"/>
      <w:bookmarkStart w:id="845" w:name="_Toc80957065"/>
      <w:bookmarkEnd w:id="845"/>
      <w:bookmarkStart w:id="846" w:name="_Toc80957600"/>
      <w:bookmarkEnd w:id="846"/>
      <w:bookmarkStart w:id="847" w:name="_Toc80957138"/>
      <w:bookmarkEnd w:id="847"/>
      <w:bookmarkStart w:id="848" w:name="_Toc80957401"/>
      <w:bookmarkEnd w:id="848"/>
      <w:bookmarkStart w:id="849" w:name="_Toc80957099"/>
      <w:bookmarkEnd w:id="849"/>
      <w:bookmarkStart w:id="850" w:name="_Toc80957363"/>
      <w:bookmarkEnd w:id="850"/>
      <w:bookmarkStart w:id="851" w:name="_Toc80957063"/>
      <w:bookmarkEnd w:id="851"/>
      <w:bookmarkStart w:id="852" w:name="_Toc76035508"/>
      <w:bookmarkEnd w:id="852"/>
      <w:bookmarkStart w:id="853" w:name="_Toc80957596"/>
      <w:bookmarkEnd w:id="853"/>
      <w:bookmarkStart w:id="854" w:name="_Toc80991877"/>
      <w:bookmarkEnd w:id="854"/>
      <w:bookmarkStart w:id="855" w:name="_Toc76035510"/>
      <w:bookmarkEnd w:id="855"/>
      <w:bookmarkStart w:id="856" w:name="_Toc80957562"/>
      <w:bookmarkEnd w:id="856"/>
      <w:bookmarkStart w:id="857" w:name="_Toc80991845"/>
      <w:bookmarkEnd w:id="857"/>
      <w:bookmarkStart w:id="858" w:name="_Toc80991843"/>
      <w:bookmarkEnd w:id="858"/>
      <w:bookmarkStart w:id="859" w:name="_Toc76045021"/>
      <w:bookmarkEnd w:id="859"/>
      <w:bookmarkStart w:id="860" w:name="_Toc80957564"/>
      <w:bookmarkEnd w:id="860"/>
      <w:bookmarkStart w:id="861" w:name="_Toc80957558"/>
      <w:bookmarkEnd w:id="861"/>
      <w:bookmarkStart w:id="862" w:name="_Toc80991848"/>
      <w:bookmarkEnd w:id="862"/>
      <w:bookmarkStart w:id="863" w:name="_Toc80991879"/>
      <w:bookmarkEnd w:id="863"/>
      <w:bookmarkStart w:id="864" w:name="_Toc80957088"/>
      <w:bookmarkEnd w:id="864"/>
      <w:bookmarkStart w:id="865" w:name="_Toc80991847"/>
      <w:bookmarkEnd w:id="865"/>
      <w:bookmarkStart w:id="866" w:name="_Toc80957134"/>
      <w:bookmarkEnd w:id="866"/>
      <w:bookmarkStart w:id="867" w:name="_Toc80957399"/>
      <w:bookmarkEnd w:id="867"/>
      <w:bookmarkStart w:id="868" w:name="_Toc80957084"/>
      <w:bookmarkEnd w:id="868"/>
      <w:bookmarkStart w:id="869" w:name="_Toc80957393"/>
      <w:bookmarkEnd w:id="869"/>
      <w:bookmarkStart w:id="870" w:name="_Toc80957369"/>
      <w:bookmarkEnd w:id="870"/>
      <w:bookmarkStart w:id="871" w:name="_Toc76035506"/>
      <w:bookmarkEnd w:id="871"/>
      <w:bookmarkStart w:id="872" w:name="_Toc80957066"/>
      <w:bookmarkEnd w:id="872"/>
      <w:bookmarkStart w:id="873" w:name="_Toc80991849"/>
      <w:bookmarkEnd w:id="873"/>
      <w:bookmarkStart w:id="874" w:name="_Toc76035501"/>
      <w:bookmarkEnd w:id="874"/>
      <w:bookmarkStart w:id="875" w:name="_Toc80957097"/>
      <w:bookmarkEnd w:id="875"/>
      <w:bookmarkStart w:id="876" w:name="_Toc80991880"/>
      <w:bookmarkEnd w:id="876"/>
      <w:bookmarkStart w:id="877" w:name="_Toc80957137"/>
      <w:bookmarkEnd w:id="877"/>
      <w:bookmarkStart w:id="878" w:name="_Toc80991919"/>
      <w:bookmarkEnd w:id="878"/>
      <w:bookmarkStart w:id="879" w:name="_Toc80957560"/>
      <w:bookmarkEnd w:id="879"/>
      <w:bookmarkStart w:id="880" w:name="_Toc76370894"/>
      <w:bookmarkEnd w:id="880"/>
      <w:bookmarkStart w:id="881" w:name="_Toc80991873"/>
      <w:bookmarkEnd w:id="881"/>
      <w:bookmarkStart w:id="882" w:name="_Toc76035502"/>
      <w:bookmarkEnd w:id="882"/>
      <w:bookmarkStart w:id="883" w:name="_Toc80957128"/>
      <w:bookmarkEnd w:id="883"/>
      <w:bookmarkStart w:id="884" w:name="_Toc80957599"/>
      <w:bookmarkEnd w:id="884"/>
      <w:bookmarkStart w:id="885" w:name="_Toc80957371"/>
      <w:bookmarkEnd w:id="885"/>
      <w:bookmarkStart w:id="886" w:name="_Toc76035504"/>
      <w:bookmarkEnd w:id="886"/>
      <w:bookmarkStart w:id="887" w:name="_Toc76370888"/>
      <w:bookmarkEnd w:id="887"/>
      <w:bookmarkStart w:id="888" w:name="_Toc80957390"/>
      <w:bookmarkEnd w:id="888"/>
      <w:bookmarkStart w:id="889" w:name="_Toc76045028"/>
      <w:bookmarkEnd w:id="889"/>
      <w:bookmarkStart w:id="890" w:name="_Toc80957561"/>
      <w:bookmarkEnd w:id="890"/>
      <w:bookmarkStart w:id="891" w:name="_Toc80957598"/>
      <w:bookmarkEnd w:id="891"/>
      <w:bookmarkStart w:id="892" w:name="_Toc80991874"/>
      <w:bookmarkEnd w:id="892"/>
      <w:bookmarkStart w:id="893" w:name="_Toc76370895"/>
      <w:bookmarkEnd w:id="893"/>
      <w:bookmarkStart w:id="894" w:name="_Toc80957603"/>
      <w:bookmarkEnd w:id="894"/>
      <w:bookmarkStart w:id="895" w:name="_Toc80991914"/>
      <w:bookmarkEnd w:id="895"/>
      <w:bookmarkStart w:id="896" w:name="_Toc80957552"/>
      <w:bookmarkEnd w:id="896"/>
      <w:bookmarkStart w:id="897" w:name="_Toc80957556"/>
      <w:bookmarkEnd w:id="897"/>
      <w:bookmarkStart w:id="898" w:name="_Toc80957396"/>
      <w:bookmarkEnd w:id="898"/>
      <w:bookmarkStart w:id="899" w:name="_Toc80957085"/>
      <w:bookmarkEnd w:id="899"/>
      <w:bookmarkStart w:id="900" w:name="_Toc80957531"/>
      <w:bookmarkEnd w:id="900"/>
      <w:bookmarkStart w:id="901" w:name="_Toc80991917"/>
      <w:bookmarkEnd w:id="901"/>
      <w:bookmarkStart w:id="902" w:name="_Toc80991872"/>
      <w:bookmarkEnd w:id="902"/>
      <w:bookmarkStart w:id="903" w:name="_Toc80957394"/>
      <w:bookmarkEnd w:id="903"/>
      <w:bookmarkStart w:id="904" w:name="_Toc80957089"/>
      <w:bookmarkEnd w:id="904"/>
      <w:bookmarkStart w:id="905" w:name="_Toc76035509"/>
      <w:bookmarkEnd w:id="905"/>
      <w:bookmarkStart w:id="906" w:name="_Toc76370890"/>
      <w:bookmarkEnd w:id="906"/>
      <w:bookmarkStart w:id="907" w:name="_Toc76045023"/>
      <w:bookmarkEnd w:id="907"/>
      <w:bookmarkStart w:id="908" w:name="_Toc80957093"/>
      <w:bookmarkEnd w:id="908"/>
      <w:bookmarkStart w:id="909" w:name="_Toc76045029"/>
      <w:bookmarkEnd w:id="909"/>
      <w:bookmarkStart w:id="910" w:name="_Toc80991851"/>
      <w:bookmarkEnd w:id="910"/>
      <w:bookmarkStart w:id="911" w:name="_Toc80957070"/>
      <w:bookmarkEnd w:id="911"/>
      <w:bookmarkStart w:id="912" w:name="_Toc76370892"/>
      <w:bookmarkEnd w:id="912"/>
      <w:bookmarkStart w:id="913" w:name="_Toc80957553"/>
      <w:bookmarkEnd w:id="913"/>
      <w:bookmarkStart w:id="914" w:name="_Toc80957385"/>
      <w:bookmarkEnd w:id="914"/>
      <w:bookmarkStart w:id="915" w:name="_Toc80957087"/>
      <w:bookmarkEnd w:id="915"/>
      <w:bookmarkStart w:id="916" w:name="_Toc80957438"/>
      <w:bookmarkEnd w:id="916"/>
      <w:bookmarkStart w:id="917" w:name="_Toc76045022"/>
      <w:bookmarkEnd w:id="917"/>
      <w:bookmarkStart w:id="918" w:name="_Toc76035505"/>
      <w:bookmarkEnd w:id="918"/>
      <w:bookmarkStart w:id="919" w:name="_Toc80957439"/>
      <w:bookmarkEnd w:id="919"/>
      <w:bookmarkStart w:id="920" w:name="_Toc80991915"/>
      <w:bookmarkEnd w:id="920"/>
      <w:bookmarkStart w:id="921" w:name="_Toc80957392"/>
      <w:bookmarkEnd w:id="921"/>
      <w:bookmarkStart w:id="922" w:name="_Toc80957094"/>
      <w:bookmarkEnd w:id="922"/>
      <w:bookmarkStart w:id="923" w:name="_Toc76370896"/>
      <w:bookmarkEnd w:id="923"/>
      <w:bookmarkStart w:id="924" w:name="_Toc80957431"/>
      <w:bookmarkEnd w:id="924"/>
      <w:bookmarkStart w:id="925" w:name="_Toc80991909"/>
      <w:bookmarkEnd w:id="925"/>
      <w:bookmarkStart w:id="926" w:name="_Toc80957364"/>
      <w:bookmarkEnd w:id="926"/>
      <w:bookmarkStart w:id="927" w:name="_Toc80957091"/>
      <w:bookmarkEnd w:id="927"/>
      <w:bookmarkStart w:id="928" w:name="_Toc80991876"/>
      <w:bookmarkEnd w:id="928"/>
      <w:bookmarkStart w:id="929" w:name="_Toc76035512"/>
      <w:bookmarkEnd w:id="929"/>
      <w:bookmarkStart w:id="930" w:name="_Toc80957391"/>
      <w:bookmarkEnd w:id="930"/>
      <w:bookmarkStart w:id="931" w:name="_Toc80957064"/>
      <w:bookmarkEnd w:id="931"/>
      <w:bookmarkStart w:id="932" w:name="_Toc80957534"/>
      <w:bookmarkEnd w:id="932"/>
      <w:bookmarkStart w:id="933" w:name="_Toc76370897"/>
      <w:bookmarkEnd w:id="933"/>
      <w:bookmarkStart w:id="934" w:name="_Toc80991846"/>
      <w:bookmarkEnd w:id="934"/>
      <w:bookmarkStart w:id="935" w:name="_Toc80957436"/>
      <w:bookmarkEnd w:id="935"/>
      <w:bookmarkStart w:id="936" w:name="_Toc80991868"/>
      <w:bookmarkEnd w:id="936"/>
      <w:bookmarkStart w:id="937" w:name="_Toc80957395"/>
      <w:bookmarkEnd w:id="937"/>
      <w:bookmarkStart w:id="938" w:name="_Toc80991870"/>
      <w:bookmarkEnd w:id="938"/>
      <w:bookmarkStart w:id="939" w:name="_Toc80957370"/>
      <w:bookmarkEnd w:id="939"/>
      <w:bookmarkStart w:id="940" w:name="_Toc80957529"/>
      <w:bookmarkEnd w:id="940"/>
      <w:bookmarkStart w:id="941" w:name="_Toc76045027"/>
      <w:bookmarkEnd w:id="941"/>
      <w:bookmarkStart w:id="942" w:name="_Toc80957129"/>
      <w:bookmarkEnd w:id="942"/>
      <w:bookmarkStart w:id="943" w:name="_Toc80991913"/>
      <w:bookmarkEnd w:id="943"/>
      <w:bookmarkStart w:id="944" w:name="_Toc80957527"/>
      <w:bookmarkEnd w:id="944"/>
      <w:bookmarkStart w:id="945" w:name="_Toc80957400"/>
      <w:bookmarkEnd w:id="945"/>
      <w:bookmarkStart w:id="946" w:name="_Toc80957386"/>
      <w:bookmarkEnd w:id="946"/>
      <w:bookmarkStart w:id="947" w:name="_Toc76045030"/>
      <w:bookmarkEnd w:id="947"/>
      <w:bookmarkStart w:id="948" w:name="_Toc80957594"/>
      <w:bookmarkEnd w:id="948"/>
      <w:bookmarkStart w:id="949" w:name="_Toc80991865"/>
      <w:bookmarkEnd w:id="949"/>
      <w:bookmarkStart w:id="950" w:name="_Toc76045018"/>
      <w:bookmarkEnd w:id="950"/>
      <w:bookmarkStart w:id="951" w:name="_Toc80957397"/>
      <w:bookmarkEnd w:id="951"/>
      <w:bookmarkStart w:id="952" w:name="_Toc80957389"/>
      <w:bookmarkEnd w:id="952"/>
      <w:bookmarkStart w:id="953" w:name="_Toc80991911"/>
      <w:bookmarkEnd w:id="953"/>
      <w:bookmarkStart w:id="954" w:name="_Toc80957136"/>
      <w:bookmarkEnd w:id="954"/>
      <w:bookmarkStart w:id="955" w:name="_Toc80957432"/>
      <w:bookmarkEnd w:id="955"/>
      <w:bookmarkStart w:id="956" w:name="_Toc76035507"/>
      <w:bookmarkEnd w:id="956"/>
      <w:bookmarkStart w:id="957" w:name="_Toc80991871"/>
      <w:bookmarkEnd w:id="957"/>
      <w:bookmarkStart w:id="958" w:name="_Toc80957069"/>
      <w:bookmarkEnd w:id="958"/>
      <w:bookmarkStart w:id="959" w:name="_Toc80991916"/>
      <w:bookmarkEnd w:id="959"/>
      <w:bookmarkStart w:id="960" w:name="_Toc80991869"/>
      <w:bookmarkEnd w:id="960"/>
      <w:bookmarkStart w:id="961" w:name="_Toc80991878"/>
      <w:bookmarkEnd w:id="961"/>
      <w:bookmarkStart w:id="962" w:name="_Toc80991867"/>
      <w:bookmarkEnd w:id="962"/>
      <w:bookmarkStart w:id="963" w:name="_Toc76370885"/>
      <w:bookmarkEnd w:id="963"/>
      <w:bookmarkStart w:id="964" w:name="_Toc80957068"/>
      <w:bookmarkEnd w:id="964"/>
      <w:bookmarkStart w:id="965" w:name="_Toc76370887"/>
      <w:bookmarkEnd w:id="965"/>
      <w:bookmarkStart w:id="966" w:name="_Toc31634"/>
      <w:bookmarkStart w:id="967" w:name="_Toc14694"/>
      <w:bookmarkStart w:id="968" w:name="_Toc31173"/>
      <w:bookmarkStart w:id="969" w:name="_Toc15774"/>
      <w:bookmarkStart w:id="970" w:name="_Toc9535"/>
      <w:bookmarkStart w:id="971" w:name="_Toc31023"/>
      <w:bookmarkStart w:id="972" w:name="_Toc3726"/>
      <w:bookmarkStart w:id="973" w:name="_Toc22526"/>
      <w:bookmarkStart w:id="974" w:name="_Toc8939"/>
      <w:bookmarkStart w:id="975" w:name="_Toc12378"/>
      <w:bookmarkStart w:id="976" w:name="_Toc2342"/>
      <w:bookmarkStart w:id="977" w:name="_Toc18066"/>
      <w:bookmarkStart w:id="978" w:name="_Toc24357682"/>
      <w:bookmarkStart w:id="979" w:name="_Toc6202"/>
      <w:bookmarkStart w:id="980" w:name="_Toc6869"/>
      <w:bookmarkStart w:id="981" w:name="_Toc11720"/>
      <w:bookmarkStart w:id="982" w:name="_Toc91164002"/>
      <w:bookmarkStart w:id="983" w:name="_Toc1983"/>
      <w:bookmarkStart w:id="984" w:name="_Toc11175"/>
      <w:bookmarkStart w:id="985" w:name="_Toc28461"/>
      <w:bookmarkStart w:id="986" w:name="_Toc7188"/>
      <w:bookmarkStart w:id="987" w:name="_Toc962"/>
      <w:bookmarkStart w:id="988" w:name="_Toc52046780"/>
      <w:bookmarkStart w:id="989" w:name="_Toc14828"/>
      <w:bookmarkStart w:id="990" w:name="_Toc26721"/>
      <w:r>
        <w:rPr>
          <w:rFonts w:hint="eastAsia"/>
        </w:rPr>
        <w:t>电费差错处理</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r>
        <w:rPr>
          <w:rFonts w:hint="eastAsia"/>
        </w:rPr>
        <w:t>对于交易机构月度结算依据发布前发现的当月差错退补事项，重新计算有关</w:t>
      </w:r>
      <w:r>
        <w:rPr>
          <w:rFonts w:hint="eastAsia"/>
          <w:lang w:eastAsia="zh-CN"/>
        </w:rPr>
        <w:t>经营主体</w:t>
      </w:r>
      <w:r>
        <w:rPr>
          <w:rFonts w:hint="eastAsia"/>
        </w:rPr>
        <w:t>的结算电费；对结算依据发布后发现的当月差错退补事项，按</w:t>
      </w:r>
      <w:r>
        <w:rPr>
          <w:rFonts w:hint="eastAsia"/>
          <w:lang w:eastAsia="zh-CN"/>
        </w:rPr>
        <w:t>经营主体</w:t>
      </w:r>
      <w:r>
        <w:rPr>
          <w:rFonts w:hint="eastAsia"/>
        </w:rPr>
        <w:t>该结算周期加权价格进行偏差结算，原则上不联动影响其他</w:t>
      </w:r>
      <w:r>
        <w:rPr>
          <w:rFonts w:hint="eastAsia"/>
          <w:lang w:eastAsia="zh-CN"/>
        </w:rPr>
        <w:t>经营主体</w:t>
      </w:r>
      <w:r>
        <w:rPr>
          <w:rFonts w:hint="eastAsia"/>
        </w:rPr>
        <w:t>；单个批发电力用户差错电量大于100兆瓦时或单个零售电力用户差错电量大于10兆瓦时等影响较大的差错退补事项可由交易机构评估后组织联动退补。差错退补调整追溯期原则上不超过3个月。</w:t>
      </w:r>
    </w:p>
    <w:p>
      <w:pPr>
        <w:pStyle w:val="105"/>
        <w:spacing w:before="156" w:after="156"/>
        <w:ind w:firstLine="643"/>
      </w:pPr>
      <w:bookmarkStart w:id="991" w:name="_Toc76035515"/>
      <w:bookmarkEnd w:id="991"/>
      <w:bookmarkStart w:id="992" w:name="_Toc76045034"/>
      <w:bookmarkEnd w:id="992"/>
      <w:bookmarkStart w:id="993" w:name="_Toc76035520"/>
      <w:bookmarkEnd w:id="993"/>
      <w:bookmarkStart w:id="994" w:name="_Toc76370902"/>
      <w:bookmarkEnd w:id="994"/>
      <w:bookmarkStart w:id="995" w:name="_Toc76035516"/>
      <w:bookmarkEnd w:id="995"/>
      <w:bookmarkStart w:id="996" w:name="_Toc76035517"/>
      <w:bookmarkEnd w:id="996"/>
      <w:bookmarkStart w:id="997" w:name="_Toc76045032"/>
      <w:bookmarkEnd w:id="997"/>
      <w:bookmarkStart w:id="998" w:name="_Toc76045035"/>
      <w:bookmarkEnd w:id="998"/>
      <w:bookmarkStart w:id="999" w:name="_Toc76370901"/>
      <w:bookmarkEnd w:id="999"/>
      <w:bookmarkStart w:id="1000" w:name="_Toc76370899"/>
      <w:bookmarkEnd w:id="1000"/>
      <w:bookmarkStart w:id="1001" w:name="_Toc76045033"/>
      <w:bookmarkEnd w:id="1001"/>
      <w:bookmarkStart w:id="1002" w:name="_Toc76370905"/>
      <w:bookmarkEnd w:id="1002"/>
      <w:bookmarkStart w:id="1003" w:name="_Toc76035514"/>
      <w:bookmarkEnd w:id="1003"/>
      <w:bookmarkStart w:id="1004" w:name="_Toc76370900"/>
      <w:bookmarkEnd w:id="1004"/>
      <w:bookmarkStart w:id="1005" w:name="_Toc76045037"/>
      <w:bookmarkEnd w:id="1005"/>
      <w:bookmarkStart w:id="1006" w:name="_Toc76370903"/>
      <w:bookmarkEnd w:id="1006"/>
      <w:bookmarkStart w:id="1007" w:name="_Toc76035518"/>
      <w:bookmarkEnd w:id="1007"/>
      <w:bookmarkStart w:id="1008" w:name="_Toc76370904"/>
      <w:bookmarkEnd w:id="1008"/>
      <w:bookmarkStart w:id="1009" w:name="_Toc76045036"/>
      <w:bookmarkEnd w:id="1009"/>
      <w:bookmarkStart w:id="1010" w:name="_Toc76045038"/>
      <w:bookmarkEnd w:id="1010"/>
      <w:bookmarkStart w:id="1011" w:name="_Toc76035519"/>
      <w:bookmarkEnd w:id="1011"/>
      <w:bookmarkStart w:id="1012" w:name="_Toc27082"/>
      <w:bookmarkStart w:id="1013" w:name="_Toc23902"/>
      <w:bookmarkStart w:id="1014" w:name="_Toc28201"/>
      <w:bookmarkStart w:id="1015" w:name="_Toc3795"/>
      <w:bookmarkStart w:id="1016" w:name="_Toc3247"/>
      <w:bookmarkStart w:id="1017" w:name="_Toc16469"/>
      <w:bookmarkStart w:id="1018" w:name="_Toc4428"/>
      <w:bookmarkStart w:id="1019" w:name="_Toc15676"/>
      <w:bookmarkStart w:id="1020" w:name="_Toc10552"/>
      <w:bookmarkStart w:id="1021" w:name="_Toc91164003"/>
      <w:bookmarkStart w:id="1022" w:name="_Toc1307"/>
      <w:bookmarkStart w:id="1023" w:name="_Toc1622"/>
      <w:bookmarkStart w:id="1024" w:name="_Toc2510"/>
      <w:bookmarkStart w:id="1025" w:name="_Toc11026"/>
      <w:bookmarkStart w:id="1026" w:name="_Toc3559"/>
      <w:bookmarkStart w:id="1027" w:name="_Toc16877"/>
      <w:bookmarkStart w:id="1028" w:name="_Toc3102"/>
      <w:bookmarkStart w:id="1029" w:name="_Toc17500"/>
      <w:bookmarkStart w:id="1030" w:name="_Toc13521"/>
      <w:bookmarkStart w:id="1031" w:name="_Toc16395"/>
      <w:r>
        <w:rPr>
          <w:rFonts w:hint="eastAsia"/>
        </w:rPr>
        <w:t>收付款管理</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r>
        <w:rPr>
          <w:rFonts w:hint="eastAsia"/>
        </w:rPr>
        <w:t>发电侧电费结算由电网企业按月支付。</w:t>
      </w:r>
    </w:p>
    <w:p>
      <w:r>
        <w:rPr>
          <w:rFonts w:hint="eastAsia"/>
        </w:rPr>
        <w:t>批发市场用户、零售市场用户及增量配电网所辖用户，结算电费按照电网企业相关收费规定执行，由电网企业收取，地方电网及增量配电网所辖用户可由地方电网及拥有该增量配电网运营权的售电公司收取。</w:t>
      </w:r>
    </w:p>
    <w:p>
      <w:r>
        <w:rPr>
          <w:rFonts w:hint="eastAsia"/>
        </w:rPr>
        <w:t>各</w:t>
      </w:r>
      <w:r>
        <w:rPr>
          <w:rFonts w:hint="eastAsia"/>
          <w:lang w:eastAsia="zh-CN"/>
        </w:rPr>
        <w:t>经营主体</w:t>
      </w:r>
      <w:r>
        <w:rPr>
          <w:rFonts w:hint="eastAsia"/>
        </w:rPr>
        <w:t>应根据法规、政策文件、合同等，在约定期限内完成电费收付，约定期限内未足额或未缴纳电费的</w:t>
      </w:r>
      <w:r>
        <w:rPr>
          <w:rFonts w:hint="eastAsia"/>
          <w:lang w:eastAsia="zh-CN"/>
        </w:rPr>
        <w:t>经营主体</w:t>
      </w:r>
      <w:r>
        <w:rPr>
          <w:rFonts w:hint="eastAsia"/>
        </w:rPr>
        <w:t>，由电网企业将欠费信息反馈给交易机构，由交易机构按照履约保函等相关规定执行。</w:t>
      </w:r>
    </w:p>
    <w:p>
      <w:pPr>
        <w:pStyle w:val="105"/>
        <w:spacing w:before="156" w:after="156"/>
        <w:ind w:firstLine="643"/>
      </w:pPr>
      <w:bookmarkStart w:id="1032" w:name="_Toc235"/>
      <w:bookmarkStart w:id="1033" w:name="_Toc9303"/>
      <w:bookmarkStart w:id="1034" w:name="_Toc3179"/>
      <w:bookmarkStart w:id="1035" w:name="_Toc1583"/>
      <w:bookmarkStart w:id="1036" w:name="_Toc13327"/>
      <w:bookmarkStart w:id="1037" w:name="_Toc24357684"/>
      <w:bookmarkStart w:id="1038" w:name="_Toc16779022"/>
      <w:bookmarkStart w:id="1039" w:name="_Toc19174"/>
      <w:bookmarkStart w:id="1040" w:name="_Toc14715"/>
      <w:bookmarkStart w:id="1041" w:name="_Toc17214"/>
      <w:bookmarkStart w:id="1042" w:name="_Toc24259"/>
      <w:bookmarkStart w:id="1043" w:name="_Toc689"/>
      <w:bookmarkStart w:id="1044" w:name="_Toc24206"/>
      <w:bookmarkStart w:id="1045" w:name="_Toc22196"/>
      <w:bookmarkStart w:id="1046" w:name="_Toc29497"/>
      <w:bookmarkStart w:id="1047" w:name="_Toc91164004"/>
      <w:bookmarkStart w:id="1048" w:name="_Toc11294"/>
      <w:bookmarkStart w:id="1049" w:name="_Toc17075"/>
      <w:bookmarkStart w:id="1050" w:name="_Toc2005"/>
      <w:bookmarkStart w:id="1051" w:name="_Toc25520"/>
      <w:bookmarkStart w:id="1052" w:name="_Toc23365"/>
      <w:bookmarkStart w:id="1053" w:name="_Toc26217"/>
      <w:bookmarkStart w:id="1054" w:name="_Toc18452"/>
      <w:bookmarkStart w:id="1055" w:name="_Toc27453"/>
      <w:bookmarkStart w:id="1056" w:name="_Toc12932"/>
      <w:bookmarkStart w:id="1057" w:name="_Toc52046782"/>
      <w:r>
        <w:rPr>
          <w:rFonts w:hint="eastAsia"/>
        </w:rPr>
        <w:t>其他结算事项</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r>
        <w:rPr>
          <w:rFonts w:hint="eastAsia"/>
        </w:rPr>
        <w:t>市场中止和价格管制时段时，根据《湖南省电力现货市场交易实施细则》以及市场运营机构向政府部门报备的市场中止和管制措施开展结算。</w:t>
      </w:r>
    </w:p>
    <w:p>
      <w:r>
        <w:rPr>
          <w:rFonts w:hint="eastAsia"/>
        </w:rPr>
        <w:t>电力市场结算过程中涉及各类型电源的电价由电网企业提供，中长期市场化交易价格等数据由交易机构提供。</w:t>
      </w:r>
    </w:p>
    <w:p>
      <w:pPr>
        <w:ind w:firstLine="0" w:firstLineChars="0"/>
      </w:pPr>
      <w:r>
        <w:rPr>
          <w:rFonts w:hint="eastAsia"/>
        </w:rPr>
        <w:t>新能源扶贫场站等政府批准的特殊发电项目，不参与现货市场结算和各项不平衡资金分摊，其结算按照原有中长期结算方式执行。</w:t>
      </w:r>
    </w:p>
    <w:sectPr>
      <w:footerReference r:id="rId12" w:type="first"/>
      <w:footerReference r:id="rId11" w:type="default"/>
      <w:pgSz w:w="11906" w:h="16838"/>
      <w:pgMar w:top="1440" w:right="1800" w:bottom="1440" w:left="1800"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545D61-51C6-43AF-91A2-7D3FB5C10F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4079532-E346-4922-A4BA-F37EFE4C6903}"/>
  </w:font>
  <w:font w:name="仿宋">
    <w:panose1 w:val="02010609060101010101"/>
    <w:charset w:val="86"/>
    <w:family w:val="modern"/>
    <w:pitch w:val="default"/>
    <w:sig w:usb0="800002BF" w:usb1="38CF7CFA" w:usb2="00000016" w:usb3="00000000" w:csb0="00040001" w:csb1="00000000"/>
    <w:embedRegular r:id="rId3" w:fontKey="{FA94013D-8248-45C9-A3B4-8F65C5102247}"/>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FZFSK--GBK1-0">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embedRegular r:id="rId4" w:fontKey="{141B0F0F-0587-47DE-BECE-FF52BF61073B}"/>
  </w:font>
  <w:font w:name="方正小标宋_GBK">
    <w:panose1 w:val="03000509000000000000"/>
    <w:charset w:val="86"/>
    <w:family w:val="script"/>
    <w:pitch w:val="default"/>
    <w:sig w:usb0="00000001" w:usb1="080E0000" w:usb2="00000000" w:usb3="00000000" w:csb0="00040000" w:csb1="00000000"/>
    <w:embedRegular r:id="rId5" w:fontKey="{6FB1CD0F-89F8-4115-8A8A-9DF36F427A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494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2pt;width:9.05pt;mso-position-horizontal:center;mso-position-horizontal-relative:margin;mso-wrap-style:none;z-index:251661312;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Wx2pjRAAAAAwEAAA8AAAAAAAAAAQAgAAAAIgAAAGRycy9kb3ducmV2Lnht&#10;bFBLAQIUABQAAAAIAIdO4kB3HjWROQIAAGIEAAAOAAAAAAAAAAEAIAAAACABAABkcnMvZTJvRG9j&#10;LnhtbFBLBQYAAAAABgAGAFkBAADLBQAAAAA=&#10;">
              <v:fill on="f" focussize="0,0"/>
              <v:stroke on="f" weight="0.5pt"/>
              <v:imagedata o:title=""/>
              <o:lock v:ext="edit" aspectratio="f"/>
              <v:textbox inset="0mm,0mm,0mm,0mm" style="mso-fit-shape-to-text:t;">
                <w:txbxContent>
                  <w:p>
                    <w:pPr>
                      <w:pStyle w:val="2"/>
                      <w:ind w:firstLine="36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494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2pt;width:9.05pt;mso-position-horizontal:center;mso-position-horizontal-relative:margin;mso-wrap-style:none;z-index:251660288;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sdqY0QAAAAMBAAAPAAAAAAAAAAEAIAAAACIAAABkcnMvZG93bnJldi54bWxQ&#10;SwECFAAUAAAACACHTuJAGBC1UTcCAABiBAAADgAAAAAAAAABACAAAAAgAQAAZHJzL2Uyb0RvYy54&#10;bWxQSwUGAAAAAAYABgBZAQAAyQUAAAAA&#10;">
              <v:fill on="f" focussize="0,0"/>
              <v:stroke on="f" weight="0.5pt"/>
              <v:imagedata o:title=""/>
              <o:lock v:ext="edit" aspectratio="f"/>
              <v:textbox inset="0mm,0mm,0mm,0mm" style="mso-fit-shape-to-text:t;">
                <w:txbxContent>
                  <w:p>
                    <w:pPr>
                      <w:pStyle w:val="2"/>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sdt>
      <w:sdtPr>
        <w:id w:val="1466313404"/>
      </w:sdtPr>
      <w:sdtContent/>
    </w:sdt>
  </w:p>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0325" cy="15494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a:effectLst/>
                    </wps:spPr>
                    <wps:txbx>
                      <w:txbxContent>
                        <w:p>
                          <w:pPr>
                            <w:pStyle w:val="2"/>
                            <w:ind w:firstLine="36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2.2pt;width:4.75pt;mso-position-horizontal:center;mso-position-horizontal-relative:margin;mso-wrap-style:none;z-index:251664384;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66+tTRAAAAAgEAAA8AAAAAAAAAAQAgAAAAIgAAAGRycy9kb3ducmV2LnhtbFBL&#10;AQIUABQAAAAIAIdO4kAdpMQLNgIAAGEEAAAOAAAAAAAAAAEAIAAAACABAABkcnMvZTJvRG9jLnht&#10;bFBLBQYAAAAABgAGAFkBAADIBQAAAAA=&#10;">
              <v:fill on="f" focussize="0,0"/>
              <v:stroke on="f" weight="0.5pt"/>
              <v:imagedata o:title=""/>
              <o:lock v:ext="edit" aspectratio="f"/>
              <v:textbox inset="0mm,0mm,0mm,0mm" style="mso-fit-shape-to-text:t;">
                <w:txbxContent>
                  <w:p>
                    <w:pPr>
                      <w:pStyle w:val="2"/>
                      <w:ind w:firstLine="360"/>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494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2.2pt;width:9.05pt;mso-position-horizontal:center;mso-position-horizontal-relative:margin;mso-wrap-style:none;z-index:251663360;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bHamNEAAAADAQAADwAAAAAAAAABACAAAAAiAAAAZHJzL2Rvd25yZXYueG1s&#10;UEsBAhQAFAAAAAgAh07iQPDg/Ho4AgAAYgQAAA4AAAAAAAAAAQAgAAAAIAEAAGRycy9lMm9Eb2Mu&#10;eG1sUEsFBgAAAAAGAAYAWQEAAMoFAAAAAA==&#10;">
              <v:fill on="f" focussize="0,0"/>
              <v:stroke on="f" weight="0.5pt"/>
              <v:imagedata o:title=""/>
              <o:lock v:ext="edit" aspectratio="f"/>
              <v:textbox inset="0mm,0mm,0mm,0mm" style="mso-fit-shape-to-text:t;">
                <w:txbxContent>
                  <w:p>
                    <w:pPr>
                      <w:pStyle w:val="2"/>
                      <w:ind w:firstLine="36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494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2.2pt;width:9.05pt;mso-position-horizontal:center;mso-position-horizontal-relative:margin;mso-wrap-style:none;z-index:251662336;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bHamNEAAAADAQAADwAAAAAAAAABACAAAAAiAAAAZHJzL2Rvd25yZXYueG1s&#10;UEsBAhQAFAAAAAgAh07iQJfgb6Q4AgAAYgQAAA4AAAAAAAAAAQAgAAAAIAEAAGRycy9lMm9Eb2Mu&#10;eG1sUEsFBgAAAAAGAAYAWQEAAMoFAAAAAA==&#10;">
              <v:fill on="f" focussize="0,0"/>
              <v:stroke on="f" weight="0.5pt"/>
              <v:imagedata o:title=""/>
              <o:lock v:ext="edit" aspectratio="f"/>
              <v:textbox inset="0mm,0mm,0mm,0mm" style="mso-fit-shape-to-text:t;">
                <w:txbxContent>
                  <w:p>
                    <w:pPr>
                      <w:pStyle w:val="2"/>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0325" cy="154940"/>
              <wp:effectExtent l="0" t="0" r="0" b="0"/>
              <wp:wrapNone/>
              <wp:docPr id="22" name="文本框 9"/>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a:effectLst/>
                    </wps:spPr>
                    <wps:txbx>
                      <w:txbxContent>
                        <w:p>
                          <w:pPr>
                            <w:pStyle w:val="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2.2pt;width:4.75pt;mso-position-horizontal:center;mso-position-horizontal-relative:margin;mso-wrap-style:none;z-index:251665408;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uvrU0QAAAAIBAAAPAAAAAAAAAAEAIAAAACIAAABkcnMvZG93bnJldi54bWxQ&#10;SwECFAAUAAAACACHTuJAlqNnhDcCAABhBAAADgAAAAAAAAABACAAAAAgAQAAZHJzL2Uyb0RvYy54&#10;bWxQSwUGAAAAAAYABgBZAQAAyQUAAAAA&#10;">
              <v:fill on="f" focussize="0,0"/>
              <v:stroke on="f" weight="0.5pt"/>
              <v:imagedata o:title=""/>
              <o:lock v:ext="edit" aspectratio="f"/>
              <v:textbox inset="0mm,0mm,0mm,0mm" style="mso-fit-shape-to-text:t;">
                <w:txbxContent>
                  <w:p>
                    <w:pPr>
                      <w:pStyle w:val="2"/>
                      <w:ind w:firstLine="360"/>
                    </w:pPr>
                    <w:r>
                      <w:fldChar w:fldCharType="begin"/>
                    </w:r>
                    <w:r>
                      <w:instrText xml:space="preserve"> PAGE  \* MERGEFORMAT </w:instrText>
                    </w:r>
                    <w:r>
                      <w:fldChar w:fldCharType="separate"/>
                    </w:r>
                    <w:r>
                      <w:t>1</w:t>
                    </w:r>
                    <w:r>
                      <w:fldChar w:fldCharType="end"/>
                    </w:r>
                  </w:p>
                </w:txbxContent>
              </v:textbox>
            </v:shape>
          </w:pict>
        </mc:Fallback>
      </mc:AlternateContent>
    </w:r>
    <w:sdt>
      <w:sdtPr>
        <w:id w:val="1337573652"/>
      </w:sdtPr>
      <w:sdtContent/>
    </w:sdt>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46549"/>
    <w:multiLevelType w:val="singleLevel"/>
    <w:tmpl w:val="DE546549"/>
    <w:lvl w:ilvl="0" w:tentative="0">
      <w:start w:val="2"/>
      <w:numFmt w:val="decimal"/>
      <w:suff w:val="nothing"/>
      <w:lvlText w:val="（%1）"/>
      <w:lvlJc w:val="left"/>
    </w:lvl>
  </w:abstractNum>
  <w:abstractNum w:abstractNumId="1">
    <w:nsid w:val="14038789"/>
    <w:multiLevelType w:val="singleLevel"/>
    <w:tmpl w:val="14038789"/>
    <w:lvl w:ilvl="0" w:tentative="0">
      <w:start w:val="1"/>
      <w:numFmt w:val="decimal"/>
      <w:suff w:val="nothing"/>
      <w:lvlText w:val="（%1）"/>
      <w:lvlJc w:val="left"/>
    </w:lvl>
  </w:abstractNum>
  <w:abstractNum w:abstractNumId="2">
    <w:nsid w:val="16EB57C2"/>
    <w:multiLevelType w:val="multilevel"/>
    <w:tmpl w:val="16EB57C2"/>
    <w:lvl w:ilvl="0" w:tentative="0">
      <w:start w:val="1"/>
      <w:numFmt w:val="decimal"/>
      <w:suff w:val="space"/>
      <w:lvlText w:val="%1"/>
      <w:lvlJc w:val="left"/>
      <w:pPr>
        <w:ind w:left="432" w:hanging="432"/>
      </w:pPr>
      <w:rPr>
        <w:rFonts w:hint="eastAsia"/>
      </w:rPr>
    </w:lvl>
    <w:lvl w:ilvl="1" w:tentative="0">
      <w:start w:val="1"/>
      <w:numFmt w:val="decimal"/>
      <w:pStyle w:val="4"/>
      <w:suff w:val="space"/>
      <w:lvlText w:val="%1.%2"/>
      <w:lvlJc w:val="left"/>
      <w:pPr>
        <w:ind w:left="576" w:hanging="576"/>
      </w:pPr>
      <w:rPr>
        <w:rFonts w:hint="default" w:ascii="Times New Roman" w:hAnsi="Times New Roman" w:cs="Times New Roman"/>
        <w:b w:val="0"/>
        <w:color w:val="auto"/>
        <w:sz w:val="24"/>
        <w:szCs w:val="21"/>
      </w:rPr>
    </w:lvl>
    <w:lvl w:ilvl="2" w:tentative="0">
      <w:start w:val="1"/>
      <w:numFmt w:val="decimal"/>
      <w:pStyle w:val="5"/>
      <w:suff w:val="space"/>
      <w:lvlText w:val="%1.%2.%3"/>
      <w:lvlJc w:val="left"/>
      <w:pPr>
        <w:ind w:left="720" w:hanging="720"/>
      </w:pPr>
      <w:rPr>
        <w:rFonts w:hint="default" w:ascii="Times New Roman" w:hAnsi="Times New Roman" w:eastAsia="黑体" w:cs="Times New Roman"/>
        <w:b w:val="0"/>
      </w:rPr>
    </w:lvl>
    <w:lvl w:ilvl="3" w:tentative="0">
      <w:start w:val="1"/>
      <w:numFmt w:val="decimal"/>
      <w:pStyle w:val="89"/>
      <w:suff w:val="space"/>
      <w:lvlText w:val="%1.%2.%3.%4"/>
      <w:lvlJc w:val="left"/>
      <w:pPr>
        <w:ind w:left="864" w:hanging="864"/>
      </w:pPr>
      <w:rPr>
        <w:rFonts w:hint="default" w:ascii="Times New Roman" w:hAnsi="Times New Roman" w:cs="Times New Roman"/>
        <w:b w:val="0"/>
        <w:sz w:val="21"/>
        <w:szCs w:val="21"/>
      </w:rPr>
    </w:lvl>
    <w:lvl w:ilvl="4" w:tentative="0">
      <w:start w:val="1"/>
      <w:numFmt w:val="decimal"/>
      <w:lvlText w:val="%1.%2.%3.%4.%5"/>
      <w:lvlJc w:val="left"/>
      <w:pPr>
        <w:tabs>
          <w:tab w:val="left" w:pos="1008"/>
        </w:tabs>
        <w:ind w:left="1008" w:hanging="1008"/>
      </w:pPr>
      <w:rPr>
        <w:rFonts w:hint="eastAsia"/>
        <w:sz w:val="21"/>
        <w:szCs w:val="21"/>
      </w:rPr>
    </w:lvl>
    <w:lvl w:ilvl="5" w:tentative="0">
      <w:start w:val="1"/>
      <w:numFmt w:val="decimal"/>
      <w:lvlText w:val="%1.%2.%3.%4.%5.%6"/>
      <w:lvlJc w:val="left"/>
      <w:pPr>
        <w:tabs>
          <w:tab w:val="left" w:pos="1152"/>
        </w:tabs>
        <w:ind w:left="1152" w:hanging="1152"/>
      </w:pPr>
      <w:rPr>
        <w:rFonts w:hint="eastAsia"/>
        <w:b w:val="0"/>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3EE5D3F"/>
    <w:multiLevelType w:val="singleLevel"/>
    <w:tmpl w:val="33EE5D3F"/>
    <w:lvl w:ilvl="0" w:tentative="0">
      <w:start w:val="1"/>
      <w:numFmt w:val="decimal"/>
      <w:suff w:val="nothing"/>
      <w:lvlText w:val="（%1）"/>
      <w:lvlJc w:val="left"/>
    </w:lvl>
  </w:abstractNum>
  <w:abstractNum w:abstractNumId="4">
    <w:nsid w:val="470F46E3"/>
    <w:multiLevelType w:val="multilevel"/>
    <w:tmpl w:val="470F46E3"/>
    <w:lvl w:ilvl="0" w:tentative="0">
      <w:start w:val="1"/>
      <w:numFmt w:val="decimal"/>
      <w:pStyle w:val="105"/>
      <w:lvlText w:val="%1."/>
      <w:lvlJc w:val="left"/>
      <w:pPr>
        <w:ind w:left="425" w:hanging="425"/>
      </w:pPr>
      <w:rPr>
        <w:rFonts w:hint="default" w:ascii="仿宋_GB2312" w:hAnsi="仿宋_GB2312" w:eastAsia="仿宋_GB2312" w:cs="仿宋_GB2312"/>
        <w:sz w:val="32"/>
        <w:szCs w:val="32"/>
      </w:rPr>
    </w:lvl>
    <w:lvl w:ilvl="1" w:tentative="0">
      <w:start w:val="1"/>
      <w:numFmt w:val="decimal"/>
      <w:pStyle w:val="106"/>
      <w:lvlText w:val="%1.%2"/>
      <w:lvlJc w:val="left"/>
      <w:pPr>
        <w:ind w:left="992" w:hanging="567"/>
      </w:pPr>
      <w:rPr>
        <w:rFonts w:hint="default" w:ascii="仿宋_GB2312" w:hAnsi="仿宋_GB2312" w:eastAsia="仿宋_GB2312" w:cs="仿宋_GB2312"/>
        <w:sz w:val="32"/>
        <w:szCs w:val="32"/>
      </w:rPr>
    </w:lvl>
    <w:lvl w:ilvl="2" w:tentative="0">
      <w:start w:val="1"/>
      <w:numFmt w:val="decimal"/>
      <w:pStyle w:val="107"/>
      <w:lvlText w:val="%1.%2.%3"/>
      <w:lvlJc w:val="left"/>
      <w:pPr>
        <w:ind w:left="1418" w:hanging="567"/>
      </w:pPr>
      <w:rPr>
        <w:rFonts w:hint="default" w:ascii="仿宋_GB2312" w:hAnsi="仿宋_GB2312" w:eastAsia="仿宋_GB2312" w:cs="仿宋_GB2312"/>
        <w:sz w:val="32"/>
        <w:szCs w:val="32"/>
      </w:rPr>
    </w:lvl>
    <w:lvl w:ilvl="3" w:tentative="0">
      <w:start w:val="1"/>
      <w:numFmt w:val="decimal"/>
      <w:lvlText w:val="%1.%2.%3.%4"/>
      <w:lvlJc w:val="left"/>
      <w:pPr>
        <w:ind w:left="1984" w:hanging="708"/>
      </w:pPr>
      <w:rPr>
        <w:rFonts w:hint="default" w:ascii="仿宋_GB2312" w:hAnsi="仿宋_GB2312" w:eastAsia="仿宋_GB2312" w:cs="仿宋_GB2312"/>
        <w:b/>
        <w:bCs/>
        <w:sz w:val="32"/>
        <w:szCs w:val="32"/>
      </w:rPr>
    </w:lvl>
    <w:lvl w:ilvl="4" w:tentative="0">
      <w:start w:val="1"/>
      <w:numFmt w:val="decimal"/>
      <w:lvlText w:val="%1.%2.%3.%4.%5"/>
      <w:lvlJc w:val="left"/>
      <w:pPr>
        <w:ind w:left="2551" w:hanging="850"/>
      </w:pPr>
      <w:rPr>
        <w:rFonts w:hint="default" w:ascii="仿宋_GB2312" w:hAnsi="仿宋_GB2312" w:eastAsia="仿宋_GB2312" w:cs="仿宋_GB2312"/>
        <w:sz w:val="32"/>
        <w:szCs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E0A1ABA"/>
    <w:multiLevelType w:val="multilevel"/>
    <w:tmpl w:val="4E0A1ABA"/>
    <w:lvl w:ilvl="0" w:tentative="0">
      <w:start w:val="1"/>
      <w:numFmt w:val="bullet"/>
      <w:pStyle w:val="48"/>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260"/>
        </w:tabs>
        <w:ind w:left="1260" w:hanging="36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84C15"/>
    <w:rsid w:val="00001B05"/>
    <w:rsid w:val="0000210C"/>
    <w:rsid w:val="00002337"/>
    <w:rsid w:val="00002342"/>
    <w:rsid w:val="00002F5A"/>
    <w:rsid w:val="00003542"/>
    <w:rsid w:val="000036DB"/>
    <w:rsid w:val="00003B4A"/>
    <w:rsid w:val="00003F23"/>
    <w:rsid w:val="00005862"/>
    <w:rsid w:val="00005F7C"/>
    <w:rsid w:val="000065AC"/>
    <w:rsid w:val="000065F2"/>
    <w:rsid w:val="00006A22"/>
    <w:rsid w:val="000070C6"/>
    <w:rsid w:val="00007CAA"/>
    <w:rsid w:val="000102F6"/>
    <w:rsid w:val="00010D4C"/>
    <w:rsid w:val="00011BDF"/>
    <w:rsid w:val="00011CE3"/>
    <w:rsid w:val="000120D7"/>
    <w:rsid w:val="000124E0"/>
    <w:rsid w:val="000130B2"/>
    <w:rsid w:val="0001463A"/>
    <w:rsid w:val="0001488D"/>
    <w:rsid w:val="00015D50"/>
    <w:rsid w:val="00020A95"/>
    <w:rsid w:val="00021E2F"/>
    <w:rsid w:val="000223C6"/>
    <w:rsid w:val="0002281A"/>
    <w:rsid w:val="00023E43"/>
    <w:rsid w:val="0002523B"/>
    <w:rsid w:val="000279F7"/>
    <w:rsid w:val="00030016"/>
    <w:rsid w:val="00030AEC"/>
    <w:rsid w:val="0003107C"/>
    <w:rsid w:val="00031258"/>
    <w:rsid w:val="000313DF"/>
    <w:rsid w:val="0003309B"/>
    <w:rsid w:val="00033351"/>
    <w:rsid w:val="00034335"/>
    <w:rsid w:val="000344F9"/>
    <w:rsid w:val="00036644"/>
    <w:rsid w:val="00036B37"/>
    <w:rsid w:val="00037B35"/>
    <w:rsid w:val="00040079"/>
    <w:rsid w:val="00041816"/>
    <w:rsid w:val="00042573"/>
    <w:rsid w:val="000426B3"/>
    <w:rsid w:val="000434A7"/>
    <w:rsid w:val="00046257"/>
    <w:rsid w:val="00046A5B"/>
    <w:rsid w:val="00051DD8"/>
    <w:rsid w:val="000523DA"/>
    <w:rsid w:val="00052AC0"/>
    <w:rsid w:val="00052F0C"/>
    <w:rsid w:val="0005309C"/>
    <w:rsid w:val="000531CE"/>
    <w:rsid w:val="0005331E"/>
    <w:rsid w:val="000535B7"/>
    <w:rsid w:val="000546E0"/>
    <w:rsid w:val="000559EF"/>
    <w:rsid w:val="0005699E"/>
    <w:rsid w:val="00057247"/>
    <w:rsid w:val="00057A37"/>
    <w:rsid w:val="000603E8"/>
    <w:rsid w:val="00060DEB"/>
    <w:rsid w:val="0006241F"/>
    <w:rsid w:val="00064849"/>
    <w:rsid w:val="00065754"/>
    <w:rsid w:val="00066505"/>
    <w:rsid w:val="00070560"/>
    <w:rsid w:val="00070A02"/>
    <w:rsid w:val="00071E9A"/>
    <w:rsid w:val="000731BA"/>
    <w:rsid w:val="00073BB4"/>
    <w:rsid w:val="000742F3"/>
    <w:rsid w:val="00074984"/>
    <w:rsid w:val="00074FFC"/>
    <w:rsid w:val="0007638C"/>
    <w:rsid w:val="00076A82"/>
    <w:rsid w:val="00077F96"/>
    <w:rsid w:val="000821FF"/>
    <w:rsid w:val="00082CEA"/>
    <w:rsid w:val="000844D2"/>
    <w:rsid w:val="00085AB7"/>
    <w:rsid w:val="000865CD"/>
    <w:rsid w:val="00086BF4"/>
    <w:rsid w:val="0008729D"/>
    <w:rsid w:val="00090FE1"/>
    <w:rsid w:val="00091A1E"/>
    <w:rsid w:val="00095E37"/>
    <w:rsid w:val="000974BA"/>
    <w:rsid w:val="00097BB0"/>
    <w:rsid w:val="000A01C4"/>
    <w:rsid w:val="000A1AEA"/>
    <w:rsid w:val="000A1C40"/>
    <w:rsid w:val="000A2265"/>
    <w:rsid w:val="000A2FD2"/>
    <w:rsid w:val="000A35AD"/>
    <w:rsid w:val="000A366F"/>
    <w:rsid w:val="000A3842"/>
    <w:rsid w:val="000A3960"/>
    <w:rsid w:val="000A4209"/>
    <w:rsid w:val="000A49FC"/>
    <w:rsid w:val="000A6871"/>
    <w:rsid w:val="000A70DE"/>
    <w:rsid w:val="000A77CD"/>
    <w:rsid w:val="000B0073"/>
    <w:rsid w:val="000B093E"/>
    <w:rsid w:val="000B21B6"/>
    <w:rsid w:val="000B29B5"/>
    <w:rsid w:val="000B3AFF"/>
    <w:rsid w:val="000B6419"/>
    <w:rsid w:val="000B7C55"/>
    <w:rsid w:val="000C0844"/>
    <w:rsid w:val="000C1367"/>
    <w:rsid w:val="000C1B2E"/>
    <w:rsid w:val="000C23DB"/>
    <w:rsid w:val="000C2610"/>
    <w:rsid w:val="000C290B"/>
    <w:rsid w:val="000C2C48"/>
    <w:rsid w:val="000C326A"/>
    <w:rsid w:val="000C3A2D"/>
    <w:rsid w:val="000D0EB8"/>
    <w:rsid w:val="000D224D"/>
    <w:rsid w:val="000D28BA"/>
    <w:rsid w:val="000D2A2C"/>
    <w:rsid w:val="000D2D34"/>
    <w:rsid w:val="000D3B28"/>
    <w:rsid w:val="000D3E4C"/>
    <w:rsid w:val="000D4188"/>
    <w:rsid w:val="000D7DC2"/>
    <w:rsid w:val="000E13A3"/>
    <w:rsid w:val="000E38A7"/>
    <w:rsid w:val="000E3E32"/>
    <w:rsid w:val="000E593F"/>
    <w:rsid w:val="000E61D8"/>
    <w:rsid w:val="000E714F"/>
    <w:rsid w:val="000E72AD"/>
    <w:rsid w:val="000F08EC"/>
    <w:rsid w:val="000F0E91"/>
    <w:rsid w:val="000F168B"/>
    <w:rsid w:val="000F418F"/>
    <w:rsid w:val="000F42E7"/>
    <w:rsid w:val="000F5269"/>
    <w:rsid w:val="000F6808"/>
    <w:rsid w:val="00100A94"/>
    <w:rsid w:val="00101826"/>
    <w:rsid w:val="00101A59"/>
    <w:rsid w:val="00104629"/>
    <w:rsid w:val="00104ABC"/>
    <w:rsid w:val="001052F8"/>
    <w:rsid w:val="00105DBC"/>
    <w:rsid w:val="001077A2"/>
    <w:rsid w:val="0011142E"/>
    <w:rsid w:val="001118CA"/>
    <w:rsid w:val="00112A8E"/>
    <w:rsid w:val="00112AF0"/>
    <w:rsid w:val="00113A98"/>
    <w:rsid w:val="00114886"/>
    <w:rsid w:val="00114A6D"/>
    <w:rsid w:val="00114CFF"/>
    <w:rsid w:val="0011567C"/>
    <w:rsid w:val="001158FE"/>
    <w:rsid w:val="00115CD7"/>
    <w:rsid w:val="00116D64"/>
    <w:rsid w:val="0011784B"/>
    <w:rsid w:val="001178AE"/>
    <w:rsid w:val="00120A16"/>
    <w:rsid w:val="0012144E"/>
    <w:rsid w:val="001231CF"/>
    <w:rsid w:val="00123F81"/>
    <w:rsid w:val="001244F4"/>
    <w:rsid w:val="001249D0"/>
    <w:rsid w:val="00126909"/>
    <w:rsid w:val="00126DBD"/>
    <w:rsid w:val="00126FE2"/>
    <w:rsid w:val="0012759A"/>
    <w:rsid w:val="00127D71"/>
    <w:rsid w:val="00131B0A"/>
    <w:rsid w:val="00131B81"/>
    <w:rsid w:val="00131CB1"/>
    <w:rsid w:val="00135333"/>
    <w:rsid w:val="00135646"/>
    <w:rsid w:val="00136341"/>
    <w:rsid w:val="001366CA"/>
    <w:rsid w:val="00137AAB"/>
    <w:rsid w:val="001402DD"/>
    <w:rsid w:val="00140E64"/>
    <w:rsid w:val="00142AA3"/>
    <w:rsid w:val="00143410"/>
    <w:rsid w:val="00143800"/>
    <w:rsid w:val="001448C8"/>
    <w:rsid w:val="00144D86"/>
    <w:rsid w:val="00145468"/>
    <w:rsid w:val="001457D5"/>
    <w:rsid w:val="00146048"/>
    <w:rsid w:val="0014655D"/>
    <w:rsid w:val="00146886"/>
    <w:rsid w:val="001468DE"/>
    <w:rsid w:val="00146E57"/>
    <w:rsid w:val="00150599"/>
    <w:rsid w:val="00150D0E"/>
    <w:rsid w:val="00152426"/>
    <w:rsid w:val="0015306D"/>
    <w:rsid w:val="00153841"/>
    <w:rsid w:val="0015428E"/>
    <w:rsid w:val="00156820"/>
    <w:rsid w:val="001570DE"/>
    <w:rsid w:val="00157DB2"/>
    <w:rsid w:val="00162D87"/>
    <w:rsid w:val="00165B96"/>
    <w:rsid w:val="00166B90"/>
    <w:rsid w:val="001676BF"/>
    <w:rsid w:val="0017038E"/>
    <w:rsid w:val="00170979"/>
    <w:rsid w:val="0017184D"/>
    <w:rsid w:val="00171F74"/>
    <w:rsid w:val="001720B3"/>
    <w:rsid w:val="00172F70"/>
    <w:rsid w:val="00172F84"/>
    <w:rsid w:val="0017381B"/>
    <w:rsid w:val="001741F8"/>
    <w:rsid w:val="00174751"/>
    <w:rsid w:val="00177D91"/>
    <w:rsid w:val="00177E3C"/>
    <w:rsid w:val="00180123"/>
    <w:rsid w:val="001845CF"/>
    <w:rsid w:val="001856F7"/>
    <w:rsid w:val="0018638D"/>
    <w:rsid w:val="001870DE"/>
    <w:rsid w:val="0018722E"/>
    <w:rsid w:val="0018765C"/>
    <w:rsid w:val="00187B20"/>
    <w:rsid w:val="00190C81"/>
    <w:rsid w:val="001920A6"/>
    <w:rsid w:val="001938C6"/>
    <w:rsid w:val="00193AD6"/>
    <w:rsid w:val="00195912"/>
    <w:rsid w:val="00195F2D"/>
    <w:rsid w:val="001964D5"/>
    <w:rsid w:val="00196838"/>
    <w:rsid w:val="0019795E"/>
    <w:rsid w:val="001A0A78"/>
    <w:rsid w:val="001A0FD9"/>
    <w:rsid w:val="001A1B79"/>
    <w:rsid w:val="001A1CEC"/>
    <w:rsid w:val="001A216D"/>
    <w:rsid w:val="001A3195"/>
    <w:rsid w:val="001A6894"/>
    <w:rsid w:val="001B0AF3"/>
    <w:rsid w:val="001B11B4"/>
    <w:rsid w:val="001B2187"/>
    <w:rsid w:val="001B2A4A"/>
    <w:rsid w:val="001B2D38"/>
    <w:rsid w:val="001B4FCB"/>
    <w:rsid w:val="001C0CD7"/>
    <w:rsid w:val="001C1CF7"/>
    <w:rsid w:val="001C1FFE"/>
    <w:rsid w:val="001C232F"/>
    <w:rsid w:val="001C3654"/>
    <w:rsid w:val="001C3F56"/>
    <w:rsid w:val="001C49B8"/>
    <w:rsid w:val="001C6734"/>
    <w:rsid w:val="001C6E88"/>
    <w:rsid w:val="001D1776"/>
    <w:rsid w:val="001D41DF"/>
    <w:rsid w:val="001D5ADD"/>
    <w:rsid w:val="001D628B"/>
    <w:rsid w:val="001D667C"/>
    <w:rsid w:val="001D7235"/>
    <w:rsid w:val="001E0772"/>
    <w:rsid w:val="001E14BB"/>
    <w:rsid w:val="001E3600"/>
    <w:rsid w:val="001E523E"/>
    <w:rsid w:val="001E6BA7"/>
    <w:rsid w:val="001E772B"/>
    <w:rsid w:val="001E7E4C"/>
    <w:rsid w:val="001F128C"/>
    <w:rsid w:val="001F3426"/>
    <w:rsid w:val="001F3500"/>
    <w:rsid w:val="001F4CB2"/>
    <w:rsid w:val="001F52A5"/>
    <w:rsid w:val="001F5AC8"/>
    <w:rsid w:val="001F6D83"/>
    <w:rsid w:val="001F7445"/>
    <w:rsid w:val="002003F0"/>
    <w:rsid w:val="002006A0"/>
    <w:rsid w:val="0020300B"/>
    <w:rsid w:val="002037AC"/>
    <w:rsid w:val="0020395B"/>
    <w:rsid w:val="00205E9D"/>
    <w:rsid w:val="0021269B"/>
    <w:rsid w:val="00213933"/>
    <w:rsid w:val="00215172"/>
    <w:rsid w:val="002157F7"/>
    <w:rsid w:val="00217412"/>
    <w:rsid w:val="00220079"/>
    <w:rsid w:val="0022033C"/>
    <w:rsid w:val="00220780"/>
    <w:rsid w:val="002229EF"/>
    <w:rsid w:val="00224E7D"/>
    <w:rsid w:val="0022687D"/>
    <w:rsid w:val="00227050"/>
    <w:rsid w:val="0023006E"/>
    <w:rsid w:val="0023072E"/>
    <w:rsid w:val="002322DA"/>
    <w:rsid w:val="0023262C"/>
    <w:rsid w:val="00232991"/>
    <w:rsid w:val="00232EDF"/>
    <w:rsid w:val="002340E7"/>
    <w:rsid w:val="00234ED6"/>
    <w:rsid w:val="00234F7E"/>
    <w:rsid w:val="0023635A"/>
    <w:rsid w:val="00237359"/>
    <w:rsid w:val="00237A15"/>
    <w:rsid w:val="002404CE"/>
    <w:rsid w:val="00240F27"/>
    <w:rsid w:val="0024199E"/>
    <w:rsid w:val="00242AC1"/>
    <w:rsid w:val="002438F9"/>
    <w:rsid w:val="00243BDE"/>
    <w:rsid w:val="00244831"/>
    <w:rsid w:val="00245B5B"/>
    <w:rsid w:val="0024740D"/>
    <w:rsid w:val="00247695"/>
    <w:rsid w:val="00247F96"/>
    <w:rsid w:val="00250991"/>
    <w:rsid w:val="00251BB0"/>
    <w:rsid w:val="00251F02"/>
    <w:rsid w:val="002521B2"/>
    <w:rsid w:val="00252D8B"/>
    <w:rsid w:val="002530B3"/>
    <w:rsid w:val="002536A1"/>
    <w:rsid w:val="0025428B"/>
    <w:rsid w:val="0025495C"/>
    <w:rsid w:val="002556C7"/>
    <w:rsid w:val="00255C17"/>
    <w:rsid w:val="0025633D"/>
    <w:rsid w:val="00257978"/>
    <w:rsid w:val="002579E5"/>
    <w:rsid w:val="00257D34"/>
    <w:rsid w:val="002611F0"/>
    <w:rsid w:val="0026190E"/>
    <w:rsid w:val="00262BE4"/>
    <w:rsid w:val="002644ED"/>
    <w:rsid w:val="00264FBC"/>
    <w:rsid w:val="002662D9"/>
    <w:rsid w:val="00266BD8"/>
    <w:rsid w:val="0026733E"/>
    <w:rsid w:val="0027236C"/>
    <w:rsid w:val="002728E9"/>
    <w:rsid w:val="00272CC9"/>
    <w:rsid w:val="00273960"/>
    <w:rsid w:val="00273E5F"/>
    <w:rsid w:val="00275453"/>
    <w:rsid w:val="00275C3D"/>
    <w:rsid w:val="00276258"/>
    <w:rsid w:val="00280338"/>
    <w:rsid w:val="00281198"/>
    <w:rsid w:val="00281F59"/>
    <w:rsid w:val="002826F8"/>
    <w:rsid w:val="00283112"/>
    <w:rsid w:val="002836F2"/>
    <w:rsid w:val="002847C1"/>
    <w:rsid w:val="00284C15"/>
    <w:rsid w:val="00286705"/>
    <w:rsid w:val="00290B30"/>
    <w:rsid w:val="002910AC"/>
    <w:rsid w:val="002912A4"/>
    <w:rsid w:val="0029197F"/>
    <w:rsid w:val="00293A67"/>
    <w:rsid w:val="00293D0D"/>
    <w:rsid w:val="002950A4"/>
    <w:rsid w:val="00296328"/>
    <w:rsid w:val="00296494"/>
    <w:rsid w:val="002A068C"/>
    <w:rsid w:val="002A195E"/>
    <w:rsid w:val="002A560B"/>
    <w:rsid w:val="002A5FE6"/>
    <w:rsid w:val="002A629E"/>
    <w:rsid w:val="002B0B2F"/>
    <w:rsid w:val="002B289B"/>
    <w:rsid w:val="002B3A68"/>
    <w:rsid w:val="002B4F4B"/>
    <w:rsid w:val="002B506C"/>
    <w:rsid w:val="002B7BCC"/>
    <w:rsid w:val="002C1016"/>
    <w:rsid w:val="002C1713"/>
    <w:rsid w:val="002C3FAA"/>
    <w:rsid w:val="002C4406"/>
    <w:rsid w:val="002C44D3"/>
    <w:rsid w:val="002C4B43"/>
    <w:rsid w:val="002C6BF2"/>
    <w:rsid w:val="002C6FFE"/>
    <w:rsid w:val="002C74C2"/>
    <w:rsid w:val="002D0714"/>
    <w:rsid w:val="002D1326"/>
    <w:rsid w:val="002D153A"/>
    <w:rsid w:val="002D15EB"/>
    <w:rsid w:val="002D2C0A"/>
    <w:rsid w:val="002D4691"/>
    <w:rsid w:val="002D59B1"/>
    <w:rsid w:val="002D6817"/>
    <w:rsid w:val="002D70C3"/>
    <w:rsid w:val="002D7F26"/>
    <w:rsid w:val="002E08D0"/>
    <w:rsid w:val="002E0A9E"/>
    <w:rsid w:val="002E0C0A"/>
    <w:rsid w:val="002E11BF"/>
    <w:rsid w:val="002E17D9"/>
    <w:rsid w:val="002E226D"/>
    <w:rsid w:val="002E2539"/>
    <w:rsid w:val="002E2A8F"/>
    <w:rsid w:val="002E310C"/>
    <w:rsid w:val="002E359D"/>
    <w:rsid w:val="002E4168"/>
    <w:rsid w:val="002E45CE"/>
    <w:rsid w:val="002E5565"/>
    <w:rsid w:val="002E56C2"/>
    <w:rsid w:val="002E64F1"/>
    <w:rsid w:val="002E7727"/>
    <w:rsid w:val="002E77A8"/>
    <w:rsid w:val="002E7A3A"/>
    <w:rsid w:val="002E7D17"/>
    <w:rsid w:val="002F0076"/>
    <w:rsid w:val="002F3FCF"/>
    <w:rsid w:val="002F59B9"/>
    <w:rsid w:val="002F6903"/>
    <w:rsid w:val="002F6F87"/>
    <w:rsid w:val="003006EC"/>
    <w:rsid w:val="00300C15"/>
    <w:rsid w:val="00301C42"/>
    <w:rsid w:val="00301DB1"/>
    <w:rsid w:val="00302023"/>
    <w:rsid w:val="00302E2C"/>
    <w:rsid w:val="00303A39"/>
    <w:rsid w:val="00303BBE"/>
    <w:rsid w:val="00304C87"/>
    <w:rsid w:val="00305024"/>
    <w:rsid w:val="00305063"/>
    <w:rsid w:val="00305B66"/>
    <w:rsid w:val="00306814"/>
    <w:rsid w:val="0030783A"/>
    <w:rsid w:val="0030796E"/>
    <w:rsid w:val="00307E67"/>
    <w:rsid w:val="00310142"/>
    <w:rsid w:val="00311B8B"/>
    <w:rsid w:val="00311F8E"/>
    <w:rsid w:val="0031226F"/>
    <w:rsid w:val="0031246D"/>
    <w:rsid w:val="003130C8"/>
    <w:rsid w:val="003139EB"/>
    <w:rsid w:val="00315CEA"/>
    <w:rsid w:val="00316D0D"/>
    <w:rsid w:val="003200BB"/>
    <w:rsid w:val="00320320"/>
    <w:rsid w:val="003211C9"/>
    <w:rsid w:val="0032179B"/>
    <w:rsid w:val="00322F55"/>
    <w:rsid w:val="003246F4"/>
    <w:rsid w:val="003269CC"/>
    <w:rsid w:val="00327DF8"/>
    <w:rsid w:val="00330756"/>
    <w:rsid w:val="003336E6"/>
    <w:rsid w:val="003357EF"/>
    <w:rsid w:val="00335D48"/>
    <w:rsid w:val="003378BC"/>
    <w:rsid w:val="00337A66"/>
    <w:rsid w:val="00337AAD"/>
    <w:rsid w:val="00340655"/>
    <w:rsid w:val="00341725"/>
    <w:rsid w:val="00341CA1"/>
    <w:rsid w:val="00342F35"/>
    <w:rsid w:val="00343A53"/>
    <w:rsid w:val="00345631"/>
    <w:rsid w:val="00345D65"/>
    <w:rsid w:val="00347684"/>
    <w:rsid w:val="00347EE0"/>
    <w:rsid w:val="0035222C"/>
    <w:rsid w:val="00352C9D"/>
    <w:rsid w:val="00352DFC"/>
    <w:rsid w:val="0035365C"/>
    <w:rsid w:val="0035513E"/>
    <w:rsid w:val="003559F4"/>
    <w:rsid w:val="003560D8"/>
    <w:rsid w:val="00356976"/>
    <w:rsid w:val="00356A5A"/>
    <w:rsid w:val="003607C6"/>
    <w:rsid w:val="00361EDB"/>
    <w:rsid w:val="00362180"/>
    <w:rsid w:val="00362392"/>
    <w:rsid w:val="003624CD"/>
    <w:rsid w:val="00363AD0"/>
    <w:rsid w:val="00364530"/>
    <w:rsid w:val="00364796"/>
    <w:rsid w:val="00364C4F"/>
    <w:rsid w:val="00365658"/>
    <w:rsid w:val="003671AF"/>
    <w:rsid w:val="00367207"/>
    <w:rsid w:val="00367796"/>
    <w:rsid w:val="00367CDB"/>
    <w:rsid w:val="0037160B"/>
    <w:rsid w:val="003718CA"/>
    <w:rsid w:val="00373C3C"/>
    <w:rsid w:val="00376813"/>
    <w:rsid w:val="00377387"/>
    <w:rsid w:val="00377DDF"/>
    <w:rsid w:val="0038012C"/>
    <w:rsid w:val="00380EA0"/>
    <w:rsid w:val="0038109F"/>
    <w:rsid w:val="00384F99"/>
    <w:rsid w:val="00385DB2"/>
    <w:rsid w:val="00387784"/>
    <w:rsid w:val="0039036A"/>
    <w:rsid w:val="003914A4"/>
    <w:rsid w:val="003922FC"/>
    <w:rsid w:val="00392D9C"/>
    <w:rsid w:val="00392E67"/>
    <w:rsid w:val="00393717"/>
    <w:rsid w:val="0039461B"/>
    <w:rsid w:val="003952F3"/>
    <w:rsid w:val="00395631"/>
    <w:rsid w:val="0039582A"/>
    <w:rsid w:val="00395E24"/>
    <w:rsid w:val="00397DDF"/>
    <w:rsid w:val="003A291F"/>
    <w:rsid w:val="003A55DC"/>
    <w:rsid w:val="003A5966"/>
    <w:rsid w:val="003B3906"/>
    <w:rsid w:val="003B3DC5"/>
    <w:rsid w:val="003B41DC"/>
    <w:rsid w:val="003B4486"/>
    <w:rsid w:val="003B4BA3"/>
    <w:rsid w:val="003B4DF7"/>
    <w:rsid w:val="003B5468"/>
    <w:rsid w:val="003B5E5D"/>
    <w:rsid w:val="003B5F66"/>
    <w:rsid w:val="003B77C2"/>
    <w:rsid w:val="003C1474"/>
    <w:rsid w:val="003C3C81"/>
    <w:rsid w:val="003C3EAE"/>
    <w:rsid w:val="003C512F"/>
    <w:rsid w:val="003C52B7"/>
    <w:rsid w:val="003C5A33"/>
    <w:rsid w:val="003C5D91"/>
    <w:rsid w:val="003C5FA8"/>
    <w:rsid w:val="003C7E77"/>
    <w:rsid w:val="003D024C"/>
    <w:rsid w:val="003D0276"/>
    <w:rsid w:val="003D0B6C"/>
    <w:rsid w:val="003D15A1"/>
    <w:rsid w:val="003D1802"/>
    <w:rsid w:val="003D225C"/>
    <w:rsid w:val="003D2837"/>
    <w:rsid w:val="003D2DF9"/>
    <w:rsid w:val="003D3B40"/>
    <w:rsid w:val="003D4EBD"/>
    <w:rsid w:val="003D5277"/>
    <w:rsid w:val="003D5589"/>
    <w:rsid w:val="003D7153"/>
    <w:rsid w:val="003D7EDB"/>
    <w:rsid w:val="003E0503"/>
    <w:rsid w:val="003E0B27"/>
    <w:rsid w:val="003E0F6E"/>
    <w:rsid w:val="003E351C"/>
    <w:rsid w:val="003E3C0B"/>
    <w:rsid w:val="003E449C"/>
    <w:rsid w:val="003E68D0"/>
    <w:rsid w:val="003E6D0C"/>
    <w:rsid w:val="003E6F5C"/>
    <w:rsid w:val="003E7FCF"/>
    <w:rsid w:val="003F0B68"/>
    <w:rsid w:val="003F0FDA"/>
    <w:rsid w:val="003F2B56"/>
    <w:rsid w:val="003F3656"/>
    <w:rsid w:val="003F3C11"/>
    <w:rsid w:val="003F3D26"/>
    <w:rsid w:val="003F551A"/>
    <w:rsid w:val="003F75BE"/>
    <w:rsid w:val="003F7A05"/>
    <w:rsid w:val="00400294"/>
    <w:rsid w:val="0040293D"/>
    <w:rsid w:val="00402EAB"/>
    <w:rsid w:val="004034A0"/>
    <w:rsid w:val="004039A7"/>
    <w:rsid w:val="00403E98"/>
    <w:rsid w:val="0040529A"/>
    <w:rsid w:val="0040664F"/>
    <w:rsid w:val="004104A9"/>
    <w:rsid w:val="00411DBB"/>
    <w:rsid w:val="0041482A"/>
    <w:rsid w:val="00415496"/>
    <w:rsid w:val="0041568E"/>
    <w:rsid w:val="0041738D"/>
    <w:rsid w:val="00417588"/>
    <w:rsid w:val="00417DE4"/>
    <w:rsid w:val="00421491"/>
    <w:rsid w:val="004217DC"/>
    <w:rsid w:val="0042258A"/>
    <w:rsid w:val="00424049"/>
    <w:rsid w:val="0042615C"/>
    <w:rsid w:val="00426B30"/>
    <w:rsid w:val="0042708B"/>
    <w:rsid w:val="004329E8"/>
    <w:rsid w:val="00433D91"/>
    <w:rsid w:val="00433DA9"/>
    <w:rsid w:val="004346C3"/>
    <w:rsid w:val="0043486C"/>
    <w:rsid w:val="004353D9"/>
    <w:rsid w:val="004357AD"/>
    <w:rsid w:val="00435986"/>
    <w:rsid w:val="004372AD"/>
    <w:rsid w:val="00437535"/>
    <w:rsid w:val="00437A5C"/>
    <w:rsid w:val="00447268"/>
    <w:rsid w:val="00447346"/>
    <w:rsid w:val="00450989"/>
    <w:rsid w:val="00450B72"/>
    <w:rsid w:val="004518E6"/>
    <w:rsid w:val="0045205C"/>
    <w:rsid w:val="00454029"/>
    <w:rsid w:val="00456228"/>
    <w:rsid w:val="004568A3"/>
    <w:rsid w:val="00456BBE"/>
    <w:rsid w:val="00460691"/>
    <w:rsid w:val="00462236"/>
    <w:rsid w:val="004625CE"/>
    <w:rsid w:val="004632C0"/>
    <w:rsid w:val="004707B9"/>
    <w:rsid w:val="00470D02"/>
    <w:rsid w:val="00470D2C"/>
    <w:rsid w:val="00471E26"/>
    <w:rsid w:val="004722D5"/>
    <w:rsid w:val="00472476"/>
    <w:rsid w:val="0047415B"/>
    <w:rsid w:val="00474AE9"/>
    <w:rsid w:val="004755A2"/>
    <w:rsid w:val="00475C20"/>
    <w:rsid w:val="00475F93"/>
    <w:rsid w:val="004769B4"/>
    <w:rsid w:val="00477366"/>
    <w:rsid w:val="00481284"/>
    <w:rsid w:val="00481E0A"/>
    <w:rsid w:val="004830A6"/>
    <w:rsid w:val="00483CF0"/>
    <w:rsid w:val="00483EFA"/>
    <w:rsid w:val="004843E3"/>
    <w:rsid w:val="0048593F"/>
    <w:rsid w:val="00486861"/>
    <w:rsid w:val="00490652"/>
    <w:rsid w:val="0049081B"/>
    <w:rsid w:val="0049099D"/>
    <w:rsid w:val="004914FE"/>
    <w:rsid w:val="004928E7"/>
    <w:rsid w:val="00494A66"/>
    <w:rsid w:val="00494E72"/>
    <w:rsid w:val="00496A5E"/>
    <w:rsid w:val="00497297"/>
    <w:rsid w:val="004A019A"/>
    <w:rsid w:val="004A0A5D"/>
    <w:rsid w:val="004A11D3"/>
    <w:rsid w:val="004A2869"/>
    <w:rsid w:val="004A3910"/>
    <w:rsid w:val="004A6BEB"/>
    <w:rsid w:val="004A6D86"/>
    <w:rsid w:val="004A7D7C"/>
    <w:rsid w:val="004B1131"/>
    <w:rsid w:val="004B1778"/>
    <w:rsid w:val="004B2F3D"/>
    <w:rsid w:val="004B474B"/>
    <w:rsid w:val="004B4BDD"/>
    <w:rsid w:val="004B5326"/>
    <w:rsid w:val="004B5D70"/>
    <w:rsid w:val="004B6329"/>
    <w:rsid w:val="004B6E2E"/>
    <w:rsid w:val="004C1846"/>
    <w:rsid w:val="004C4285"/>
    <w:rsid w:val="004C5328"/>
    <w:rsid w:val="004C5A0D"/>
    <w:rsid w:val="004C5AA2"/>
    <w:rsid w:val="004C6487"/>
    <w:rsid w:val="004C65E1"/>
    <w:rsid w:val="004D0BF0"/>
    <w:rsid w:val="004D497C"/>
    <w:rsid w:val="004D5343"/>
    <w:rsid w:val="004D6FC6"/>
    <w:rsid w:val="004D7F07"/>
    <w:rsid w:val="004E0136"/>
    <w:rsid w:val="004E09B3"/>
    <w:rsid w:val="004E0C0B"/>
    <w:rsid w:val="004E2E39"/>
    <w:rsid w:val="004E4597"/>
    <w:rsid w:val="004E4ED3"/>
    <w:rsid w:val="004E5534"/>
    <w:rsid w:val="004E55D3"/>
    <w:rsid w:val="004E5616"/>
    <w:rsid w:val="004E6951"/>
    <w:rsid w:val="004E7690"/>
    <w:rsid w:val="004F1A24"/>
    <w:rsid w:val="004F2995"/>
    <w:rsid w:val="004F2EA7"/>
    <w:rsid w:val="004F314E"/>
    <w:rsid w:val="004F54EE"/>
    <w:rsid w:val="004F7130"/>
    <w:rsid w:val="00500748"/>
    <w:rsid w:val="00500FB7"/>
    <w:rsid w:val="00501349"/>
    <w:rsid w:val="0050187E"/>
    <w:rsid w:val="005029C2"/>
    <w:rsid w:val="00503D3B"/>
    <w:rsid w:val="0050480C"/>
    <w:rsid w:val="00505CA8"/>
    <w:rsid w:val="005066BB"/>
    <w:rsid w:val="00507931"/>
    <w:rsid w:val="00510A11"/>
    <w:rsid w:val="005115E0"/>
    <w:rsid w:val="00512F9C"/>
    <w:rsid w:val="00513C8B"/>
    <w:rsid w:val="00514801"/>
    <w:rsid w:val="005151CE"/>
    <w:rsid w:val="00516BAF"/>
    <w:rsid w:val="00517CD2"/>
    <w:rsid w:val="00520BA3"/>
    <w:rsid w:val="0052176B"/>
    <w:rsid w:val="00521963"/>
    <w:rsid w:val="0052279A"/>
    <w:rsid w:val="00525097"/>
    <w:rsid w:val="00527947"/>
    <w:rsid w:val="0053096C"/>
    <w:rsid w:val="00532591"/>
    <w:rsid w:val="005325A5"/>
    <w:rsid w:val="00532DCE"/>
    <w:rsid w:val="00532E84"/>
    <w:rsid w:val="00534A05"/>
    <w:rsid w:val="00534F07"/>
    <w:rsid w:val="0053570F"/>
    <w:rsid w:val="00536450"/>
    <w:rsid w:val="00540DAD"/>
    <w:rsid w:val="005411DC"/>
    <w:rsid w:val="00541D87"/>
    <w:rsid w:val="00543536"/>
    <w:rsid w:val="0054432E"/>
    <w:rsid w:val="00544F5F"/>
    <w:rsid w:val="00546622"/>
    <w:rsid w:val="005467FE"/>
    <w:rsid w:val="00546B4F"/>
    <w:rsid w:val="005471D0"/>
    <w:rsid w:val="00547347"/>
    <w:rsid w:val="00547B0D"/>
    <w:rsid w:val="00547E6E"/>
    <w:rsid w:val="00550F75"/>
    <w:rsid w:val="005522AA"/>
    <w:rsid w:val="005529E2"/>
    <w:rsid w:val="00555EFD"/>
    <w:rsid w:val="005572AD"/>
    <w:rsid w:val="00557D42"/>
    <w:rsid w:val="00557DA2"/>
    <w:rsid w:val="00560175"/>
    <w:rsid w:val="00560F37"/>
    <w:rsid w:val="00561A63"/>
    <w:rsid w:val="00563C66"/>
    <w:rsid w:val="0056415C"/>
    <w:rsid w:val="00565770"/>
    <w:rsid w:val="0056665B"/>
    <w:rsid w:val="00571AAC"/>
    <w:rsid w:val="00571B14"/>
    <w:rsid w:val="00573F78"/>
    <w:rsid w:val="0057462D"/>
    <w:rsid w:val="00574BBF"/>
    <w:rsid w:val="0057547F"/>
    <w:rsid w:val="00575679"/>
    <w:rsid w:val="00575F4D"/>
    <w:rsid w:val="0057635B"/>
    <w:rsid w:val="00576CFD"/>
    <w:rsid w:val="005774BD"/>
    <w:rsid w:val="00580AE8"/>
    <w:rsid w:val="00581FAE"/>
    <w:rsid w:val="00582EC1"/>
    <w:rsid w:val="00583268"/>
    <w:rsid w:val="00584604"/>
    <w:rsid w:val="00584BD2"/>
    <w:rsid w:val="00590D4E"/>
    <w:rsid w:val="00591E27"/>
    <w:rsid w:val="00592177"/>
    <w:rsid w:val="005924C7"/>
    <w:rsid w:val="005941C5"/>
    <w:rsid w:val="00597815"/>
    <w:rsid w:val="005978EE"/>
    <w:rsid w:val="005A038B"/>
    <w:rsid w:val="005A09D9"/>
    <w:rsid w:val="005A267F"/>
    <w:rsid w:val="005A38DF"/>
    <w:rsid w:val="005A4A7B"/>
    <w:rsid w:val="005A50D4"/>
    <w:rsid w:val="005A63F1"/>
    <w:rsid w:val="005A64D9"/>
    <w:rsid w:val="005A6F9C"/>
    <w:rsid w:val="005B0D0A"/>
    <w:rsid w:val="005B3F01"/>
    <w:rsid w:val="005B4C6A"/>
    <w:rsid w:val="005B5958"/>
    <w:rsid w:val="005C06CC"/>
    <w:rsid w:val="005C0BD0"/>
    <w:rsid w:val="005C2124"/>
    <w:rsid w:val="005C42A2"/>
    <w:rsid w:val="005C4CC8"/>
    <w:rsid w:val="005C4E9C"/>
    <w:rsid w:val="005D0942"/>
    <w:rsid w:val="005D160A"/>
    <w:rsid w:val="005D187E"/>
    <w:rsid w:val="005D32AA"/>
    <w:rsid w:val="005D39E0"/>
    <w:rsid w:val="005D4D8D"/>
    <w:rsid w:val="005D4EEC"/>
    <w:rsid w:val="005D54CF"/>
    <w:rsid w:val="005D73F9"/>
    <w:rsid w:val="005D76AE"/>
    <w:rsid w:val="005E01E7"/>
    <w:rsid w:val="005E10BF"/>
    <w:rsid w:val="005E4073"/>
    <w:rsid w:val="005E4231"/>
    <w:rsid w:val="005E4501"/>
    <w:rsid w:val="005E504A"/>
    <w:rsid w:val="005E559A"/>
    <w:rsid w:val="005E63B1"/>
    <w:rsid w:val="005E6597"/>
    <w:rsid w:val="005E7B97"/>
    <w:rsid w:val="005F1BDB"/>
    <w:rsid w:val="005F2067"/>
    <w:rsid w:val="005F2405"/>
    <w:rsid w:val="005F6BE7"/>
    <w:rsid w:val="005F7DFD"/>
    <w:rsid w:val="00600150"/>
    <w:rsid w:val="00600E94"/>
    <w:rsid w:val="006019CB"/>
    <w:rsid w:val="00601A77"/>
    <w:rsid w:val="00602493"/>
    <w:rsid w:val="00602BFC"/>
    <w:rsid w:val="00602F37"/>
    <w:rsid w:val="00603049"/>
    <w:rsid w:val="00604884"/>
    <w:rsid w:val="00605DC9"/>
    <w:rsid w:val="006073FB"/>
    <w:rsid w:val="00607C0D"/>
    <w:rsid w:val="00611DB6"/>
    <w:rsid w:val="00613027"/>
    <w:rsid w:val="006133F3"/>
    <w:rsid w:val="006134CC"/>
    <w:rsid w:val="00614C60"/>
    <w:rsid w:val="00614F9B"/>
    <w:rsid w:val="00615535"/>
    <w:rsid w:val="006157C2"/>
    <w:rsid w:val="00616744"/>
    <w:rsid w:val="00616AB3"/>
    <w:rsid w:val="00617BBE"/>
    <w:rsid w:val="006200CE"/>
    <w:rsid w:val="00620276"/>
    <w:rsid w:val="00620351"/>
    <w:rsid w:val="00620AA8"/>
    <w:rsid w:val="006210A6"/>
    <w:rsid w:val="00621577"/>
    <w:rsid w:val="00621903"/>
    <w:rsid w:val="0062274B"/>
    <w:rsid w:val="00622E0D"/>
    <w:rsid w:val="00623B6F"/>
    <w:rsid w:val="00623FBF"/>
    <w:rsid w:val="00624E89"/>
    <w:rsid w:val="00626DA9"/>
    <w:rsid w:val="0063027A"/>
    <w:rsid w:val="006305DA"/>
    <w:rsid w:val="00631301"/>
    <w:rsid w:val="0063172F"/>
    <w:rsid w:val="0063282B"/>
    <w:rsid w:val="00632A0B"/>
    <w:rsid w:val="00633C77"/>
    <w:rsid w:val="006347AE"/>
    <w:rsid w:val="00635CC9"/>
    <w:rsid w:val="0063741F"/>
    <w:rsid w:val="00641773"/>
    <w:rsid w:val="00642137"/>
    <w:rsid w:val="00643C46"/>
    <w:rsid w:val="00643EE1"/>
    <w:rsid w:val="00644001"/>
    <w:rsid w:val="00644871"/>
    <w:rsid w:val="00644C03"/>
    <w:rsid w:val="00645BB3"/>
    <w:rsid w:val="00645DA5"/>
    <w:rsid w:val="00645E2B"/>
    <w:rsid w:val="00645FB5"/>
    <w:rsid w:val="00651559"/>
    <w:rsid w:val="00651E9B"/>
    <w:rsid w:val="006530CB"/>
    <w:rsid w:val="006534EC"/>
    <w:rsid w:val="00654E67"/>
    <w:rsid w:val="00655E47"/>
    <w:rsid w:val="00657650"/>
    <w:rsid w:val="00657E8D"/>
    <w:rsid w:val="00657EF1"/>
    <w:rsid w:val="00663694"/>
    <w:rsid w:val="0066415A"/>
    <w:rsid w:val="00665E6D"/>
    <w:rsid w:val="00666011"/>
    <w:rsid w:val="00667666"/>
    <w:rsid w:val="00670045"/>
    <w:rsid w:val="0067055A"/>
    <w:rsid w:val="00673247"/>
    <w:rsid w:val="006733C1"/>
    <w:rsid w:val="00673BE1"/>
    <w:rsid w:val="006742C9"/>
    <w:rsid w:val="00676984"/>
    <w:rsid w:val="0068050F"/>
    <w:rsid w:val="00682AB1"/>
    <w:rsid w:val="00684149"/>
    <w:rsid w:val="00686D23"/>
    <w:rsid w:val="00686EEB"/>
    <w:rsid w:val="0068714C"/>
    <w:rsid w:val="00687CC9"/>
    <w:rsid w:val="00691279"/>
    <w:rsid w:val="006919CA"/>
    <w:rsid w:val="00692283"/>
    <w:rsid w:val="006928E8"/>
    <w:rsid w:val="0069398C"/>
    <w:rsid w:val="0069520E"/>
    <w:rsid w:val="0069739B"/>
    <w:rsid w:val="00697CFD"/>
    <w:rsid w:val="006A063D"/>
    <w:rsid w:val="006A2B00"/>
    <w:rsid w:val="006A388F"/>
    <w:rsid w:val="006A49B1"/>
    <w:rsid w:val="006A4ADB"/>
    <w:rsid w:val="006A5BA9"/>
    <w:rsid w:val="006A69DF"/>
    <w:rsid w:val="006A6BC2"/>
    <w:rsid w:val="006A78AC"/>
    <w:rsid w:val="006B14DC"/>
    <w:rsid w:val="006B2CA0"/>
    <w:rsid w:val="006B2D70"/>
    <w:rsid w:val="006B46B7"/>
    <w:rsid w:val="006B53E6"/>
    <w:rsid w:val="006B5BE7"/>
    <w:rsid w:val="006B6C50"/>
    <w:rsid w:val="006B723C"/>
    <w:rsid w:val="006B7F47"/>
    <w:rsid w:val="006C0F66"/>
    <w:rsid w:val="006C1329"/>
    <w:rsid w:val="006C1EB8"/>
    <w:rsid w:val="006C307A"/>
    <w:rsid w:val="006C359C"/>
    <w:rsid w:val="006C3CF9"/>
    <w:rsid w:val="006D016D"/>
    <w:rsid w:val="006D0FD2"/>
    <w:rsid w:val="006D10D7"/>
    <w:rsid w:val="006D1D6C"/>
    <w:rsid w:val="006D2D4A"/>
    <w:rsid w:val="006D428A"/>
    <w:rsid w:val="006D65FD"/>
    <w:rsid w:val="006E107C"/>
    <w:rsid w:val="006E2B5B"/>
    <w:rsid w:val="006E3CB3"/>
    <w:rsid w:val="006E4F5E"/>
    <w:rsid w:val="006E586D"/>
    <w:rsid w:val="006E5AA8"/>
    <w:rsid w:val="006E6934"/>
    <w:rsid w:val="006E7DD2"/>
    <w:rsid w:val="006F0BB7"/>
    <w:rsid w:val="006F11B3"/>
    <w:rsid w:val="006F1D0E"/>
    <w:rsid w:val="006F45EF"/>
    <w:rsid w:val="006F49B9"/>
    <w:rsid w:val="006F6215"/>
    <w:rsid w:val="00703F27"/>
    <w:rsid w:val="007041D0"/>
    <w:rsid w:val="007059DF"/>
    <w:rsid w:val="00706729"/>
    <w:rsid w:val="00706D92"/>
    <w:rsid w:val="00707D79"/>
    <w:rsid w:val="00710B6F"/>
    <w:rsid w:val="00711964"/>
    <w:rsid w:val="007136C3"/>
    <w:rsid w:val="00714A2D"/>
    <w:rsid w:val="0071569A"/>
    <w:rsid w:val="00715F77"/>
    <w:rsid w:val="00715FD0"/>
    <w:rsid w:val="00717950"/>
    <w:rsid w:val="00720A0A"/>
    <w:rsid w:val="00721815"/>
    <w:rsid w:val="00721A57"/>
    <w:rsid w:val="00721A5A"/>
    <w:rsid w:val="007231B7"/>
    <w:rsid w:val="0072336D"/>
    <w:rsid w:val="00724120"/>
    <w:rsid w:val="007243F6"/>
    <w:rsid w:val="0072458E"/>
    <w:rsid w:val="00726304"/>
    <w:rsid w:val="0073285E"/>
    <w:rsid w:val="007332AC"/>
    <w:rsid w:val="0073389D"/>
    <w:rsid w:val="00734445"/>
    <w:rsid w:val="007401F3"/>
    <w:rsid w:val="00740B34"/>
    <w:rsid w:val="007431F4"/>
    <w:rsid w:val="0074360D"/>
    <w:rsid w:val="0074458C"/>
    <w:rsid w:val="00744F70"/>
    <w:rsid w:val="00746184"/>
    <w:rsid w:val="00746AE5"/>
    <w:rsid w:val="00747E3A"/>
    <w:rsid w:val="0075030C"/>
    <w:rsid w:val="00750908"/>
    <w:rsid w:val="0075107F"/>
    <w:rsid w:val="007539C1"/>
    <w:rsid w:val="00753A3D"/>
    <w:rsid w:val="007546A6"/>
    <w:rsid w:val="00754A9E"/>
    <w:rsid w:val="00757A03"/>
    <w:rsid w:val="00760B86"/>
    <w:rsid w:val="00760C31"/>
    <w:rsid w:val="007610FE"/>
    <w:rsid w:val="007618FA"/>
    <w:rsid w:val="00761C39"/>
    <w:rsid w:val="00762302"/>
    <w:rsid w:val="0076384E"/>
    <w:rsid w:val="00763F32"/>
    <w:rsid w:val="00765A59"/>
    <w:rsid w:val="00767334"/>
    <w:rsid w:val="00767892"/>
    <w:rsid w:val="007724EF"/>
    <w:rsid w:val="007725C3"/>
    <w:rsid w:val="007750AD"/>
    <w:rsid w:val="007753BD"/>
    <w:rsid w:val="00775FD2"/>
    <w:rsid w:val="007775DF"/>
    <w:rsid w:val="00777749"/>
    <w:rsid w:val="007777BE"/>
    <w:rsid w:val="00777CDD"/>
    <w:rsid w:val="00780828"/>
    <w:rsid w:val="00781061"/>
    <w:rsid w:val="0078127A"/>
    <w:rsid w:val="007818E6"/>
    <w:rsid w:val="007850B4"/>
    <w:rsid w:val="00785A76"/>
    <w:rsid w:val="00790238"/>
    <w:rsid w:val="00790519"/>
    <w:rsid w:val="00790A38"/>
    <w:rsid w:val="0079249D"/>
    <w:rsid w:val="00792E4B"/>
    <w:rsid w:val="00793702"/>
    <w:rsid w:val="00793ADC"/>
    <w:rsid w:val="007947C3"/>
    <w:rsid w:val="00797852"/>
    <w:rsid w:val="007A207B"/>
    <w:rsid w:val="007A20A1"/>
    <w:rsid w:val="007A2C6C"/>
    <w:rsid w:val="007A322E"/>
    <w:rsid w:val="007A4ED2"/>
    <w:rsid w:val="007A5970"/>
    <w:rsid w:val="007A6128"/>
    <w:rsid w:val="007A6537"/>
    <w:rsid w:val="007A6B79"/>
    <w:rsid w:val="007A6C4C"/>
    <w:rsid w:val="007A7159"/>
    <w:rsid w:val="007B03F9"/>
    <w:rsid w:val="007B1EEC"/>
    <w:rsid w:val="007B20B0"/>
    <w:rsid w:val="007B2180"/>
    <w:rsid w:val="007B287E"/>
    <w:rsid w:val="007B2AEA"/>
    <w:rsid w:val="007B2F5D"/>
    <w:rsid w:val="007B3077"/>
    <w:rsid w:val="007B37BA"/>
    <w:rsid w:val="007B5408"/>
    <w:rsid w:val="007B5BF1"/>
    <w:rsid w:val="007B7456"/>
    <w:rsid w:val="007B78F2"/>
    <w:rsid w:val="007C18B2"/>
    <w:rsid w:val="007C2275"/>
    <w:rsid w:val="007C285A"/>
    <w:rsid w:val="007C3BF9"/>
    <w:rsid w:val="007C5A71"/>
    <w:rsid w:val="007C5BB4"/>
    <w:rsid w:val="007C6C99"/>
    <w:rsid w:val="007C705A"/>
    <w:rsid w:val="007D04ED"/>
    <w:rsid w:val="007D06E9"/>
    <w:rsid w:val="007D1625"/>
    <w:rsid w:val="007D1844"/>
    <w:rsid w:val="007D4404"/>
    <w:rsid w:val="007D538A"/>
    <w:rsid w:val="007D616A"/>
    <w:rsid w:val="007D7BC2"/>
    <w:rsid w:val="007E0B60"/>
    <w:rsid w:val="007E14E0"/>
    <w:rsid w:val="007E3D3E"/>
    <w:rsid w:val="007E52F6"/>
    <w:rsid w:val="007E54E4"/>
    <w:rsid w:val="007E5FF0"/>
    <w:rsid w:val="007E775F"/>
    <w:rsid w:val="007F085D"/>
    <w:rsid w:val="007F09B6"/>
    <w:rsid w:val="007F133A"/>
    <w:rsid w:val="007F1440"/>
    <w:rsid w:val="007F44C3"/>
    <w:rsid w:val="007F461D"/>
    <w:rsid w:val="007F491E"/>
    <w:rsid w:val="007F5CEA"/>
    <w:rsid w:val="007F7775"/>
    <w:rsid w:val="007F7F38"/>
    <w:rsid w:val="00800110"/>
    <w:rsid w:val="00801BDB"/>
    <w:rsid w:val="00802E11"/>
    <w:rsid w:val="0080363E"/>
    <w:rsid w:val="00804BC4"/>
    <w:rsid w:val="00806B2E"/>
    <w:rsid w:val="00807407"/>
    <w:rsid w:val="00807BA5"/>
    <w:rsid w:val="008102D5"/>
    <w:rsid w:val="0081086C"/>
    <w:rsid w:val="00810A2F"/>
    <w:rsid w:val="00810DC4"/>
    <w:rsid w:val="00813FF1"/>
    <w:rsid w:val="008150FE"/>
    <w:rsid w:val="008162D7"/>
    <w:rsid w:val="00817C5B"/>
    <w:rsid w:val="008201E1"/>
    <w:rsid w:val="00821808"/>
    <w:rsid w:val="00821A87"/>
    <w:rsid w:val="00822C71"/>
    <w:rsid w:val="008232FD"/>
    <w:rsid w:val="00823BEE"/>
    <w:rsid w:val="008248EA"/>
    <w:rsid w:val="00825572"/>
    <w:rsid w:val="00826740"/>
    <w:rsid w:val="0082755C"/>
    <w:rsid w:val="00827A35"/>
    <w:rsid w:val="00831BD8"/>
    <w:rsid w:val="00834094"/>
    <w:rsid w:val="008345A0"/>
    <w:rsid w:val="00834AA3"/>
    <w:rsid w:val="008359D8"/>
    <w:rsid w:val="00835F9A"/>
    <w:rsid w:val="0083711C"/>
    <w:rsid w:val="008378B6"/>
    <w:rsid w:val="00840CAC"/>
    <w:rsid w:val="00840D6D"/>
    <w:rsid w:val="008413C8"/>
    <w:rsid w:val="008449E0"/>
    <w:rsid w:val="008462C0"/>
    <w:rsid w:val="00846A75"/>
    <w:rsid w:val="008500E4"/>
    <w:rsid w:val="008501D9"/>
    <w:rsid w:val="00850AA0"/>
    <w:rsid w:val="00850AE9"/>
    <w:rsid w:val="00852367"/>
    <w:rsid w:val="00852CAD"/>
    <w:rsid w:val="00853DB6"/>
    <w:rsid w:val="00855747"/>
    <w:rsid w:val="008568FB"/>
    <w:rsid w:val="00856D0A"/>
    <w:rsid w:val="008572DE"/>
    <w:rsid w:val="00857988"/>
    <w:rsid w:val="00857D95"/>
    <w:rsid w:val="00861485"/>
    <w:rsid w:val="0086201C"/>
    <w:rsid w:val="008622C4"/>
    <w:rsid w:val="00864629"/>
    <w:rsid w:val="00867C27"/>
    <w:rsid w:val="00871775"/>
    <w:rsid w:val="00871F73"/>
    <w:rsid w:val="00872769"/>
    <w:rsid w:val="008744CC"/>
    <w:rsid w:val="00874573"/>
    <w:rsid w:val="008745E1"/>
    <w:rsid w:val="00874A94"/>
    <w:rsid w:val="0087540B"/>
    <w:rsid w:val="00875529"/>
    <w:rsid w:val="00875C54"/>
    <w:rsid w:val="00875EDC"/>
    <w:rsid w:val="00876B24"/>
    <w:rsid w:val="00876C2E"/>
    <w:rsid w:val="00877A0A"/>
    <w:rsid w:val="0088044E"/>
    <w:rsid w:val="008849B2"/>
    <w:rsid w:val="00884A5B"/>
    <w:rsid w:val="0088545C"/>
    <w:rsid w:val="00885E42"/>
    <w:rsid w:val="00886A31"/>
    <w:rsid w:val="00890201"/>
    <w:rsid w:val="00890B67"/>
    <w:rsid w:val="00890CB3"/>
    <w:rsid w:val="00891AA4"/>
    <w:rsid w:val="00894535"/>
    <w:rsid w:val="00897FB6"/>
    <w:rsid w:val="008A0724"/>
    <w:rsid w:val="008A111D"/>
    <w:rsid w:val="008A3889"/>
    <w:rsid w:val="008A3DC2"/>
    <w:rsid w:val="008A4432"/>
    <w:rsid w:val="008A65DE"/>
    <w:rsid w:val="008A788F"/>
    <w:rsid w:val="008A7A8C"/>
    <w:rsid w:val="008A7BA0"/>
    <w:rsid w:val="008B07D2"/>
    <w:rsid w:val="008B10C0"/>
    <w:rsid w:val="008B1B70"/>
    <w:rsid w:val="008B2614"/>
    <w:rsid w:val="008B3778"/>
    <w:rsid w:val="008B39E6"/>
    <w:rsid w:val="008B4994"/>
    <w:rsid w:val="008B5044"/>
    <w:rsid w:val="008B52B6"/>
    <w:rsid w:val="008B6BE7"/>
    <w:rsid w:val="008C006A"/>
    <w:rsid w:val="008C138B"/>
    <w:rsid w:val="008C3567"/>
    <w:rsid w:val="008C4A23"/>
    <w:rsid w:val="008C6A50"/>
    <w:rsid w:val="008C77C3"/>
    <w:rsid w:val="008D1EA4"/>
    <w:rsid w:val="008D1FA5"/>
    <w:rsid w:val="008D32BA"/>
    <w:rsid w:val="008D36B7"/>
    <w:rsid w:val="008D3DE0"/>
    <w:rsid w:val="008D4FA7"/>
    <w:rsid w:val="008D514A"/>
    <w:rsid w:val="008E1CEA"/>
    <w:rsid w:val="008E24A2"/>
    <w:rsid w:val="008E4476"/>
    <w:rsid w:val="008E4C76"/>
    <w:rsid w:val="008E5247"/>
    <w:rsid w:val="008E6048"/>
    <w:rsid w:val="008E6283"/>
    <w:rsid w:val="008E7ABA"/>
    <w:rsid w:val="008F09CA"/>
    <w:rsid w:val="008F0F9D"/>
    <w:rsid w:val="008F193C"/>
    <w:rsid w:val="008F2FBC"/>
    <w:rsid w:val="008F405D"/>
    <w:rsid w:val="008F45E4"/>
    <w:rsid w:val="008F4839"/>
    <w:rsid w:val="008F519D"/>
    <w:rsid w:val="008F5F98"/>
    <w:rsid w:val="008F60E8"/>
    <w:rsid w:val="00900BDA"/>
    <w:rsid w:val="00901D00"/>
    <w:rsid w:val="00902D4A"/>
    <w:rsid w:val="0090494E"/>
    <w:rsid w:val="00904C65"/>
    <w:rsid w:val="00905E83"/>
    <w:rsid w:val="009066CA"/>
    <w:rsid w:val="009078A8"/>
    <w:rsid w:val="00907A11"/>
    <w:rsid w:val="00911715"/>
    <w:rsid w:val="00912B65"/>
    <w:rsid w:val="0091303B"/>
    <w:rsid w:val="00913BB1"/>
    <w:rsid w:val="00913F71"/>
    <w:rsid w:val="00915A10"/>
    <w:rsid w:val="00916786"/>
    <w:rsid w:val="00916D95"/>
    <w:rsid w:val="00917A57"/>
    <w:rsid w:val="00917A61"/>
    <w:rsid w:val="009203AB"/>
    <w:rsid w:val="00922294"/>
    <w:rsid w:val="00923101"/>
    <w:rsid w:val="00924A53"/>
    <w:rsid w:val="0092523E"/>
    <w:rsid w:val="00925A20"/>
    <w:rsid w:val="00925A70"/>
    <w:rsid w:val="00926C90"/>
    <w:rsid w:val="00926F28"/>
    <w:rsid w:val="00926FA7"/>
    <w:rsid w:val="00927AD2"/>
    <w:rsid w:val="00927D64"/>
    <w:rsid w:val="00930489"/>
    <w:rsid w:val="00930775"/>
    <w:rsid w:val="00932984"/>
    <w:rsid w:val="00932F34"/>
    <w:rsid w:val="0093379A"/>
    <w:rsid w:val="00933C0C"/>
    <w:rsid w:val="00933CA2"/>
    <w:rsid w:val="00934B6F"/>
    <w:rsid w:val="009351C1"/>
    <w:rsid w:val="00935525"/>
    <w:rsid w:val="009366AA"/>
    <w:rsid w:val="00936D91"/>
    <w:rsid w:val="00936E1D"/>
    <w:rsid w:val="0093718B"/>
    <w:rsid w:val="00937C00"/>
    <w:rsid w:val="00937CEB"/>
    <w:rsid w:val="00940E98"/>
    <w:rsid w:val="009411AA"/>
    <w:rsid w:val="009419C4"/>
    <w:rsid w:val="00943566"/>
    <w:rsid w:val="0094490C"/>
    <w:rsid w:val="00946A00"/>
    <w:rsid w:val="0095013B"/>
    <w:rsid w:val="00951FA2"/>
    <w:rsid w:val="00952D42"/>
    <w:rsid w:val="00953AF2"/>
    <w:rsid w:val="00954168"/>
    <w:rsid w:val="0095449F"/>
    <w:rsid w:val="009546E4"/>
    <w:rsid w:val="009558B0"/>
    <w:rsid w:val="00955AE3"/>
    <w:rsid w:val="00955C3D"/>
    <w:rsid w:val="00956993"/>
    <w:rsid w:val="00956C0F"/>
    <w:rsid w:val="00961112"/>
    <w:rsid w:val="009619F2"/>
    <w:rsid w:val="0096299B"/>
    <w:rsid w:val="00962B9C"/>
    <w:rsid w:val="0096452C"/>
    <w:rsid w:val="009647D6"/>
    <w:rsid w:val="0096482B"/>
    <w:rsid w:val="0096502F"/>
    <w:rsid w:val="00966121"/>
    <w:rsid w:val="00970A13"/>
    <w:rsid w:val="00972417"/>
    <w:rsid w:val="009745CB"/>
    <w:rsid w:val="0097484F"/>
    <w:rsid w:val="00975A89"/>
    <w:rsid w:val="00975B62"/>
    <w:rsid w:val="009765F2"/>
    <w:rsid w:val="00976793"/>
    <w:rsid w:val="00976E45"/>
    <w:rsid w:val="00980F9A"/>
    <w:rsid w:val="00981A12"/>
    <w:rsid w:val="00981C60"/>
    <w:rsid w:val="00981F62"/>
    <w:rsid w:val="009829A9"/>
    <w:rsid w:val="00984EF1"/>
    <w:rsid w:val="009866A8"/>
    <w:rsid w:val="00990073"/>
    <w:rsid w:val="0099176A"/>
    <w:rsid w:val="00991F76"/>
    <w:rsid w:val="00992E83"/>
    <w:rsid w:val="00994ACA"/>
    <w:rsid w:val="00995337"/>
    <w:rsid w:val="0099537D"/>
    <w:rsid w:val="00995ED2"/>
    <w:rsid w:val="00995EE5"/>
    <w:rsid w:val="0099763C"/>
    <w:rsid w:val="00997D30"/>
    <w:rsid w:val="009A08DE"/>
    <w:rsid w:val="009A1CCB"/>
    <w:rsid w:val="009A36BA"/>
    <w:rsid w:val="009A3C0B"/>
    <w:rsid w:val="009A44C4"/>
    <w:rsid w:val="009A4AB7"/>
    <w:rsid w:val="009B09A2"/>
    <w:rsid w:val="009B4BAF"/>
    <w:rsid w:val="009B5BD3"/>
    <w:rsid w:val="009B63D4"/>
    <w:rsid w:val="009B75C7"/>
    <w:rsid w:val="009C0DF3"/>
    <w:rsid w:val="009C2064"/>
    <w:rsid w:val="009C2856"/>
    <w:rsid w:val="009C4CAF"/>
    <w:rsid w:val="009C6D36"/>
    <w:rsid w:val="009C6D8F"/>
    <w:rsid w:val="009C785B"/>
    <w:rsid w:val="009D0010"/>
    <w:rsid w:val="009D2E80"/>
    <w:rsid w:val="009D34E8"/>
    <w:rsid w:val="009D44CA"/>
    <w:rsid w:val="009D45BC"/>
    <w:rsid w:val="009D485B"/>
    <w:rsid w:val="009D55DA"/>
    <w:rsid w:val="009D5661"/>
    <w:rsid w:val="009D568E"/>
    <w:rsid w:val="009D6785"/>
    <w:rsid w:val="009D78EB"/>
    <w:rsid w:val="009E1BCB"/>
    <w:rsid w:val="009E2437"/>
    <w:rsid w:val="009E3C08"/>
    <w:rsid w:val="009E43F2"/>
    <w:rsid w:val="009E4BA4"/>
    <w:rsid w:val="009E4E3B"/>
    <w:rsid w:val="009E5D05"/>
    <w:rsid w:val="009F0319"/>
    <w:rsid w:val="009F06CB"/>
    <w:rsid w:val="009F2890"/>
    <w:rsid w:val="009F3FCD"/>
    <w:rsid w:val="009F646C"/>
    <w:rsid w:val="009F6B4F"/>
    <w:rsid w:val="009F6C08"/>
    <w:rsid w:val="009F7B33"/>
    <w:rsid w:val="00A028C4"/>
    <w:rsid w:val="00A0334E"/>
    <w:rsid w:val="00A0506F"/>
    <w:rsid w:val="00A06A9A"/>
    <w:rsid w:val="00A0723B"/>
    <w:rsid w:val="00A10A7D"/>
    <w:rsid w:val="00A12082"/>
    <w:rsid w:val="00A13D94"/>
    <w:rsid w:val="00A1419A"/>
    <w:rsid w:val="00A14424"/>
    <w:rsid w:val="00A14529"/>
    <w:rsid w:val="00A17010"/>
    <w:rsid w:val="00A17845"/>
    <w:rsid w:val="00A17E52"/>
    <w:rsid w:val="00A20BCC"/>
    <w:rsid w:val="00A25243"/>
    <w:rsid w:val="00A25A65"/>
    <w:rsid w:val="00A26BDC"/>
    <w:rsid w:val="00A27499"/>
    <w:rsid w:val="00A27E93"/>
    <w:rsid w:val="00A30654"/>
    <w:rsid w:val="00A30E97"/>
    <w:rsid w:val="00A31FFF"/>
    <w:rsid w:val="00A32053"/>
    <w:rsid w:val="00A331C4"/>
    <w:rsid w:val="00A33862"/>
    <w:rsid w:val="00A33E18"/>
    <w:rsid w:val="00A41277"/>
    <w:rsid w:val="00A4165C"/>
    <w:rsid w:val="00A41B8E"/>
    <w:rsid w:val="00A41E74"/>
    <w:rsid w:val="00A42D30"/>
    <w:rsid w:val="00A44631"/>
    <w:rsid w:val="00A477C6"/>
    <w:rsid w:val="00A47E9E"/>
    <w:rsid w:val="00A51DB9"/>
    <w:rsid w:val="00A536F6"/>
    <w:rsid w:val="00A53E16"/>
    <w:rsid w:val="00A54E7D"/>
    <w:rsid w:val="00A55DBB"/>
    <w:rsid w:val="00A57506"/>
    <w:rsid w:val="00A6056F"/>
    <w:rsid w:val="00A61578"/>
    <w:rsid w:val="00A6168E"/>
    <w:rsid w:val="00A62B9D"/>
    <w:rsid w:val="00A62D3A"/>
    <w:rsid w:val="00A6338A"/>
    <w:rsid w:val="00A644C5"/>
    <w:rsid w:val="00A64696"/>
    <w:rsid w:val="00A64EC9"/>
    <w:rsid w:val="00A6520D"/>
    <w:rsid w:val="00A6544F"/>
    <w:rsid w:val="00A677CB"/>
    <w:rsid w:val="00A70E3F"/>
    <w:rsid w:val="00A71C7D"/>
    <w:rsid w:val="00A71CCC"/>
    <w:rsid w:val="00A74D33"/>
    <w:rsid w:val="00A773E5"/>
    <w:rsid w:val="00A77533"/>
    <w:rsid w:val="00A77D11"/>
    <w:rsid w:val="00A8012B"/>
    <w:rsid w:val="00A80A18"/>
    <w:rsid w:val="00A81E9F"/>
    <w:rsid w:val="00A83670"/>
    <w:rsid w:val="00A86D94"/>
    <w:rsid w:val="00A86FFE"/>
    <w:rsid w:val="00A870D0"/>
    <w:rsid w:val="00A901C8"/>
    <w:rsid w:val="00A902E9"/>
    <w:rsid w:val="00A905D8"/>
    <w:rsid w:val="00A92229"/>
    <w:rsid w:val="00A928CF"/>
    <w:rsid w:val="00A92E97"/>
    <w:rsid w:val="00A93D89"/>
    <w:rsid w:val="00A94B3E"/>
    <w:rsid w:val="00A95506"/>
    <w:rsid w:val="00A964B8"/>
    <w:rsid w:val="00A96AA3"/>
    <w:rsid w:val="00A97C86"/>
    <w:rsid w:val="00AA1051"/>
    <w:rsid w:val="00AA10E9"/>
    <w:rsid w:val="00AA1FC2"/>
    <w:rsid w:val="00AA2F56"/>
    <w:rsid w:val="00AA3469"/>
    <w:rsid w:val="00AA49AC"/>
    <w:rsid w:val="00AA5F25"/>
    <w:rsid w:val="00AB0B23"/>
    <w:rsid w:val="00AB1FF7"/>
    <w:rsid w:val="00AB2F2F"/>
    <w:rsid w:val="00AB410C"/>
    <w:rsid w:val="00AB45C0"/>
    <w:rsid w:val="00AB57CB"/>
    <w:rsid w:val="00AB677D"/>
    <w:rsid w:val="00AB6932"/>
    <w:rsid w:val="00AB7199"/>
    <w:rsid w:val="00AB7C2A"/>
    <w:rsid w:val="00AC1472"/>
    <w:rsid w:val="00AC171C"/>
    <w:rsid w:val="00AC1C92"/>
    <w:rsid w:val="00AC218C"/>
    <w:rsid w:val="00AC4232"/>
    <w:rsid w:val="00AC499E"/>
    <w:rsid w:val="00AC61AD"/>
    <w:rsid w:val="00AC7B88"/>
    <w:rsid w:val="00AD123B"/>
    <w:rsid w:val="00AD1652"/>
    <w:rsid w:val="00AD43E3"/>
    <w:rsid w:val="00AD563E"/>
    <w:rsid w:val="00AD5A47"/>
    <w:rsid w:val="00AD5D4B"/>
    <w:rsid w:val="00AD698B"/>
    <w:rsid w:val="00AD7646"/>
    <w:rsid w:val="00AD7861"/>
    <w:rsid w:val="00AE2C69"/>
    <w:rsid w:val="00AE33FD"/>
    <w:rsid w:val="00AE506A"/>
    <w:rsid w:val="00AE6026"/>
    <w:rsid w:val="00AF032C"/>
    <w:rsid w:val="00AF213F"/>
    <w:rsid w:val="00AF5A8E"/>
    <w:rsid w:val="00AF5E71"/>
    <w:rsid w:val="00AF65C0"/>
    <w:rsid w:val="00AF6FAB"/>
    <w:rsid w:val="00AF78A8"/>
    <w:rsid w:val="00B0124A"/>
    <w:rsid w:val="00B01C86"/>
    <w:rsid w:val="00B01CB6"/>
    <w:rsid w:val="00B01D04"/>
    <w:rsid w:val="00B022B8"/>
    <w:rsid w:val="00B04093"/>
    <w:rsid w:val="00B04420"/>
    <w:rsid w:val="00B04764"/>
    <w:rsid w:val="00B066C8"/>
    <w:rsid w:val="00B068D0"/>
    <w:rsid w:val="00B07080"/>
    <w:rsid w:val="00B11103"/>
    <w:rsid w:val="00B117C5"/>
    <w:rsid w:val="00B119BA"/>
    <w:rsid w:val="00B12552"/>
    <w:rsid w:val="00B14027"/>
    <w:rsid w:val="00B14B66"/>
    <w:rsid w:val="00B17DDF"/>
    <w:rsid w:val="00B20ED7"/>
    <w:rsid w:val="00B217B8"/>
    <w:rsid w:val="00B22690"/>
    <w:rsid w:val="00B228A2"/>
    <w:rsid w:val="00B22FAF"/>
    <w:rsid w:val="00B234F7"/>
    <w:rsid w:val="00B245AD"/>
    <w:rsid w:val="00B252B3"/>
    <w:rsid w:val="00B253E3"/>
    <w:rsid w:val="00B25ACF"/>
    <w:rsid w:val="00B27CB1"/>
    <w:rsid w:val="00B3057F"/>
    <w:rsid w:val="00B307B7"/>
    <w:rsid w:val="00B324C7"/>
    <w:rsid w:val="00B344EE"/>
    <w:rsid w:val="00B344FF"/>
    <w:rsid w:val="00B34615"/>
    <w:rsid w:val="00B34B0F"/>
    <w:rsid w:val="00B35675"/>
    <w:rsid w:val="00B365FA"/>
    <w:rsid w:val="00B3705F"/>
    <w:rsid w:val="00B3766D"/>
    <w:rsid w:val="00B3770B"/>
    <w:rsid w:val="00B41AE0"/>
    <w:rsid w:val="00B42ACE"/>
    <w:rsid w:val="00B44BDA"/>
    <w:rsid w:val="00B44F48"/>
    <w:rsid w:val="00B45ADA"/>
    <w:rsid w:val="00B45E64"/>
    <w:rsid w:val="00B462C9"/>
    <w:rsid w:val="00B4688E"/>
    <w:rsid w:val="00B5039C"/>
    <w:rsid w:val="00B51888"/>
    <w:rsid w:val="00B518A3"/>
    <w:rsid w:val="00B51E80"/>
    <w:rsid w:val="00B52AB5"/>
    <w:rsid w:val="00B52FC0"/>
    <w:rsid w:val="00B54F4E"/>
    <w:rsid w:val="00B57517"/>
    <w:rsid w:val="00B611C0"/>
    <w:rsid w:val="00B61CC3"/>
    <w:rsid w:val="00B63075"/>
    <w:rsid w:val="00B63FDE"/>
    <w:rsid w:val="00B674E7"/>
    <w:rsid w:val="00B675BB"/>
    <w:rsid w:val="00B67ACF"/>
    <w:rsid w:val="00B70FD2"/>
    <w:rsid w:val="00B72A2A"/>
    <w:rsid w:val="00B773F5"/>
    <w:rsid w:val="00B77EB5"/>
    <w:rsid w:val="00B8046A"/>
    <w:rsid w:val="00B80775"/>
    <w:rsid w:val="00B819B1"/>
    <w:rsid w:val="00B81AB3"/>
    <w:rsid w:val="00B81F72"/>
    <w:rsid w:val="00B82DEA"/>
    <w:rsid w:val="00B8357D"/>
    <w:rsid w:val="00B843DB"/>
    <w:rsid w:val="00B8560B"/>
    <w:rsid w:val="00B87987"/>
    <w:rsid w:val="00B90571"/>
    <w:rsid w:val="00B90E94"/>
    <w:rsid w:val="00B91C8D"/>
    <w:rsid w:val="00B9255B"/>
    <w:rsid w:val="00B9675C"/>
    <w:rsid w:val="00B96BB4"/>
    <w:rsid w:val="00B96DAF"/>
    <w:rsid w:val="00B974F9"/>
    <w:rsid w:val="00B97DCD"/>
    <w:rsid w:val="00BA068F"/>
    <w:rsid w:val="00BA0AAB"/>
    <w:rsid w:val="00BA1830"/>
    <w:rsid w:val="00BA26C9"/>
    <w:rsid w:val="00BA2F34"/>
    <w:rsid w:val="00BA3DB4"/>
    <w:rsid w:val="00BA48B0"/>
    <w:rsid w:val="00BA49A8"/>
    <w:rsid w:val="00BA6C9F"/>
    <w:rsid w:val="00BA7506"/>
    <w:rsid w:val="00BA7A2C"/>
    <w:rsid w:val="00BB0833"/>
    <w:rsid w:val="00BB2773"/>
    <w:rsid w:val="00BB3450"/>
    <w:rsid w:val="00BB3914"/>
    <w:rsid w:val="00BB3B1C"/>
    <w:rsid w:val="00BB67B9"/>
    <w:rsid w:val="00BB72C4"/>
    <w:rsid w:val="00BB77C4"/>
    <w:rsid w:val="00BB7F8D"/>
    <w:rsid w:val="00BC0A5D"/>
    <w:rsid w:val="00BC1247"/>
    <w:rsid w:val="00BC126C"/>
    <w:rsid w:val="00BC24FC"/>
    <w:rsid w:val="00BC34B3"/>
    <w:rsid w:val="00BC3877"/>
    <w:rsid w:val="00BC3CB3"/>
    <w:rsid w:val="00BC418A"/>
    <w:rsid w:val="00BC5273"/>
    <w:rsid w:val="00BC5956"/>
    <w:rsid w:val="00BD0A2F"/>
    <w:rsid w:val="00BD186E"/>
    <w:rsid w:val="00BD1A50"/>
    <w:rsid w:val="00BD3322"/>
    <w:rsid w:val="00BD3985"/>
    <w:rsid w:val="00BD5053"/>
    <w:rsid w:val="00BD51D7"/>
    <w:rsid w:val="00BD7229"/>
    <w:rsid w:val="00BD7938"/>
    <w:rsid w:val="00BD7DCF"/>
    <w:rsid w:val="00BE0564"/>
    <w:rsid w:val="00BE06C8"/>
    <w:rsid w:val="00BE11CD"/>
    <w:rsid w:val="00BE12F7"/>
    <w:rsid w:val="00BE1B63"/>
    <w:rsid w:val="00BE2AFE"/>
    <w:rsid w:val="00BE2C09"/>
    <w:rsid w:val="00BE3A3B"/>
    <w:rsid w:val="00BE508F"/>
    <w:rsid w:val="00BE6E64"/>
    <w:rsid w:val="00BF1048"/>
    <w:rsid w:val="00BF1726"/>
    <w:rsid w:val="00BF1B02"/>
    <w:rsid w:val="00BF1BF4"/>
    <w:rsid w:val="00BF24F8"/>
    <w:rsid w:val="00BF3109"/>
    <w:rsid w:val="00BF44B8"/>
    <w:rsid w:val="00BF4F3F"/>
    <w:rsid w:val="00BF55EA"/>
    <w:rsid w:val="00C00112"/>
    <w:rsid w:val="00C03548"/>
    <w:rsid w:val="00C036D3"/>
    <w:rsid w:val="00C0385A"/>
    <w:rsid w:val="00C03D22"/>
    <w:rsid w:val="00C0440C"/>
    <w:rsid w:val="00C04F14"/>
    <w:rsid w:val="00C060EE"/>
    <w:rsid w:val="00C07DA2"/>
    <w:rsid w:val="00C102B7"/>
    <w:rsid w:val="00C113FD"/>
    <w:rsid w:val="00C131A8"/>
    <w:rsid w:val="00C13F3E"/>
    <w:rsid w:val="00C147B1"/>
    <w:rsid w:val="00C14894"/>
    <w:rsid w:val="00C14B5E"/>
    <w:rsid w:val="00C16B30"/>
    <w:rsid w:val="00C17055"/>
    <w:rsid w:val="00C17CFB"/>
    <w:rsid w:val="00C20E35"/>
    <w:rsid w:val="00C22E15"/>
    <w:rsid w:val="00C2306D"/>
    <w:rsid w:val="00C239EB"/>
    <w:rsid w:val="00C27710"/>
    <w:rsid w:val="00C27753"/>
    <w:rsid w:val="00C3003C"/>
    <w:rsid w:val="00C30470"/>
    <w:rsid w:val="00C3050E"/>
    <w:rsid w:val="00C3110C"/>
    <w:rsid w:val="00C322A2"/>
    <w:rsid w:val="00C32E94"/>
    <w:rsid w:val="00C36088"/>
    <w:rsid w:val="00C402F2"/>
    <w:rsid w:val="00C438A0"/>
    <w:rsid w:val="00C43D49"/>
    <w:rsid w:val="00C446FF"/>
    <w:rsid w:val="00C45B63"/>
    <w:rsid w:val="00C473F7"/>
    <w:rsid w:val="00C47EEC"/>
    <w:rsid w:val="00C50A6C"/>
    <w:rsid w:val="00C51A6B"/>
    <w:rsid w:val="00C533F0"/>
    <w:rsid w:val="00C545A8"/>
    <w:rsid w:val="00C5617E"/>
    <w:rsid w:val="00C56537"/>
    <w:rsid w:val="00C57289"/>
    <w:rsid w:val="00C575BE"/>
    <w:rsid w:val="00C57862"/>
    <w:rsid w:val="00C601EC"/>
    <w:rsid w:val="00C61956"/>
    <w:rsid w:val="00C627B2"/>
    <w:rsid w:val="00C62830"/>
    <w:rsid w:val="00C64077"/>
    <w:rsid w:val="00C6410D"/>
    <w:rsid w:val="00C64585"/>
    <w:rsid w:val="00C64E36"/>
    <w:rsid w:val="00C66DA0"/>
    <w:rsid w:val="00C70A0C"/>
    <w:rsid w:val="00C71038"/>
    <w:rsid w:val="00C7273E"/>
    <w:rsid w:val="00C748F0"/>
    <w:rsid w:val="00C74B3A"/>
    <w:rsid w:val="00C76404"/>
    <w:rsid w:val="00C7668C"/>
    <w:rsid w:val="00C77093"/>
    <w:rsid w:val="00C77435"/>
    <w:rsid w:val="00C82063"/>
    <w:rsid w:val="00C82778"/>
    <w:rsid w:val="00C83997"/>
    <w:rsid w:val="00C83D96"/>
    <w:rsid w:val="00C83E42"/>
    <w:rsid w:val="00C873ED"/>
    <w:rsid w:val="00C87A1C"/>
    <w:rsid w:val="00C90063"/>
    <w:rsid w:val="00C90A89"/>
    <w:rsid w:val="00C94A61"/>
    <w:rsid w:val="00C94EB3"/>
    <w:rsid w:val="00C95A68"/>
    <w:rsid w:val="00C96BA5"/>
    <w:rsid w:val="00C975B3"/>
    <w:rsid w:val="00CA3614"/>
    <w:rsid w:val="00CA4488"/>
    <w:rsid w:val="00CA4CB8"/>
    <w:rsid w:val="00CA557D"/>
    <w:rsid w:val="00CA6B27"/>
    <w:rsid w:val="00CA7103"/>
    <w:rsid w:val="00CA76AB"/>
    <w:rsid w:val="00CA7D89"/>
    <w:rsid w:val="00CB0186"/>
    <w:rsid w:val="00CB2405"/>
    <w:rsid w:val="00CB3F1F"/>
    <w:rsid w:val="00CB44B3"/>
    <w:rsid w:val="00CB4A9E"/>
    <w:rsid w:val="00CB55F8"/>
    <w:rsid w:val="00CB59CF"/>
    <w:rsid w:val="00CB7949"/>
    <w:rsid w:val="00CC09EE"/>
    <w:rsid w:val="00CC2C05"/>
    <w:rsid w:val="00CC494A"/>
    <w:rsid w:val="00CC49E1"/>
    <w:rsid w:val="00CC6A5A"/>
    <w:rsid w:val="00CC7269"/>
    <w:rsid w:val="00CD06C1"/>
    <w:rsid w:val="00CD1534"/>
    <w:rsid w:val="00CD1D8F"/>
    <w:rsid w:val="00CD3DE8"/>
    <w:rsid w:val="00CD5381"/>
    <w:rsid w:val="00CD53A8"/>
    <w:rsid w:val="00CD6A7F"/>
    <w:rsid w:val="00CE0476"/>
    <w:rsid w:val="00CE271E"/>
    <w:rsid w:val="00CE5852"/>
    <w:rsid w:val="00CE5C75"/>
    <w:rsid w:val="00CE7148"/>
    <w:rsid w:val="00CE789B"/>
    <w:rsid w:val="00CF0040"/>
    <w:rsid w:val="00CF0EB5"/>
    <w:rsid w:val="00CF223E"/>
    <w:rsid w:val="00CF231F"/>
    <w:rsid w:val="00CF246F"/>
    <w:rsid w:val="00CF2491"/>
    <w:rsid w:val="00CF3E1A"/>
    <w:rsid w:val="00CF4162"/>
    <w:rsid w:val="00CF44D3"/>
    <w:rsid w:val="00CF762E"/>
    <w:rsid w:val="00D0059C"/>
    <w:rsid w:val="00D0152B"/>
    <w:rsid w:val="00D0259C"/>
    <w:rsid w:val="00D02B71"/>
    <w:rsid w:val="00D03CC3"/>
    <w:rsid w:val="00D05D8E"/>
    <w:rsid w:val="00D071C5"/>
    <w:rsid w:val="00D10226"/>
    <w:rsid w:val="00D10256"/>
    <w:rsid w:val="00D14482"/>
    <w:rsid w:val="00D153CE"/>
    <w:rsid w:val="00D1564D"/>
    <w:rsid w:val="00D156D0"/>
    <w:rsid w:val="00D16312"/>
    <w:rsid w:val="00D166CF"/>
    <w:rsid w:val="00D16DCE"/>
    <w:rsid w:val="00D177D3"/>
    <w:rsid w:val="00D177DE"/>
    <w:rsid w:val="00D17DE2"/>
    <w:rsid w:val="00D17FCE"/>
    <w:rsid w:val="00D2348F"/>
    <w:rsid w:val="00D23F5B"/>
    <w:rsid w:val="00D25788"/>
    <w:rsid w:val="00D2673D"/>
    <w:rsid w:val="00D27157"/>
    <w:rsid w:val="00D2745F"/>
    <w:rsid w:val="00D30CC5"/>
    <w:rsid w:val="00D3125E"/>
    <w:rsid w:val="00D330C4"/>
    <w:rsid w:val="00D34A24"/>
    <w:rsid w:val="00D36515"/>
    <w:rsid w:val="00D36B8C"/>
    <w:rsid w:val="00D40819"/>
    <w:rsid w:val="00D40B69"/>
    <w:rsid w:val="00D410E2"/>
    <w:rsid w:val="00D41D33"/>
    <w:rsid w:val="00D421C2"/>
    <w:rsid w:val="00D4429B"/>
    <w:rsid w:val="00D502DC"/>
    <w:rsid w:val="00D54E01"/>
    <w:rsid w:val="00D605BD"/>
    <w:rsid w:val="00D61269"/>
    <w:rsid w:val="00D621B9"/>
    <w:rsid w:val="00D63A37"/>
    <w:rsid w:val="00D640D4"/>
    <w:rsid w:val="00D660CF"/>
    <w:rsid w:val="00D661A8"/>
    <w:rsid w:val="00D66793"/>
    <w:rsid w:val="00D66B41"/>
    <w:rsid w:val="00D674F8"/>
    <w:rsid w:val="00D677A7"/>
    <w:rsid w:val="00D70280"/>
    <w:rsid w:val="00D71913"/>
    <w:rsid w:val="00D72647"/>
    <w:rsid w:val="00D73051"/>
    <w:rsid w:val="00D73CD1"/>
    <w:rsid w:val="00D73D94"/>
    <w:rsid w:val="00D7450A"/>
    <w:rsid w:val="00D77875"/>
    <w:rsid w:val="00D77E06"/>
    <w:rsid w:val="00D818C0"/>
    <w:rsid w:val="00D82781"/>
    <w:rsid w:val="00D834DC"/>
    <w:rsid w:val="00D837A0"/>
    <w:rsid w:val="00D843AF"/>
    <w:rsid w:val="00D91EE0"/>
    <w:rsid w:val="00D92AED"/>
    <w:rsid w:val="00D92BB3"/>
    <w:rsid w:val="00D94394"/>
    <w:rsid w:val="00D94D39"/>
    <w:rsid w:val="00D95C41"/>
    <w:rsid w:val="00D978B3"/>
    <w:rsid w:val="00DA021A"/>
    <w:rsid w:val="00DA0299"/>
    <w:rsid w:val="00DA038E"/>
    <w:rsid w:val="00DA0887"/>
    <w:rsid w:val="00DA14F6"/>
    <w:rsid w:val="00DA3662"/>
    <w:rsid w:val="00DA3C11"/>
    <w:rsid w:val="00DA53B9"/>
    <w:rsid w:val="00DA564E"/>
    <w:rsid w:val="00DA680F"/>
    <w:rsid w:val="00DA6854"/>
    <w:rsid w:val="00DA6EDF"/>
    <w:rsid w:val="00DA7A0D"/>
    <w:rsid w:val="00DB0BE4"/>
    <w:rsid w:val="00DB13D3"/>
    <w:rsid w:val="00DB2570"/>
    <w:rsid w:val="00DB3C03"/>
    <w:rsid w:val="00DB4E42"/>
    <w:rsid w:val="00DB5282"/>
    <w:rsid w:val="00DB5533"/>
    <w:rsid w:val="00DB6B0D"/>
    <w:rsid w:val="00DB6ED2"/>
    <w:rsid w:val="00DC0A3D"/>
    <w:rsid w:val="00DC0C7D"/>
    <w:rsid w:val="00DC203B"/>
    <w:rsid w:val="00DC33E7"/>
    <w:rsid w:val="00DC4906"/>
    <w:rsid w:val="00DC495C"/>
    <w:rsid w:val="00DC6670"/>
    <w:rsid w:val="00DC75AF"/>
    <w:rsid w:val="00DC796D"/>
    <w:rsid w:val="00DD2AF8"/>
    <w:rsid w:val="00DD2ED9"/>
    <w:rsid w:val="00DD3C42"/>
    <w:rsid w:val="00DD3D80"/>
    <w:rsid w:val="00DD7BF8"/>
    <w:rsid w:val="00DE1708"/>
    <w:rsid w:val="00DE2B8B"/>
    <w:rsid w:val="00DE2E73"/>
    <w:rsid w:val="00DE30FD"/>
    <w:rsid w:val="00DE3F0E"/>
    <w:rsid w:val="00DE6E94"/>
    <w:rsid w:val="00DE7A50"/>
    <w:rsid w:val="00DF023D"/>
    <w:rsid w:val="00DF02B1"/>
    <w:rsid w:val="00DF0B1C"/>
    <w:rsid w:val="00DF1285"/>
    <w:rsid w:val="00DF1B23"/>
    <w:rsid w:val="00DF3CC8"/>
    <w:rsid w:val="00DF46CF"/>
    <w:rsid w:val="00DF4BEA"/>
    <w:rsid w:val="00DF5BD4"/>
    <w:rsid w:val="00E0187C"/>
    <w:rsid w:val="00E02AED"/>
    <w:rsid w:val="00E02BD6"/>
    <w:rsid w:val="00E02DA7"/>
    <w:rsid w:val="00E03491"/>
    <w:rsid w:val="00E0391F"/>
    <w:rsid w:val="00E04592"/>
    <w:rsid w:val="00E0476A"/>
    <w:rsid w:val="00E06A09"/>
    <w:rsid w:val="00E0747D"/>
    <w:rsid w:val="00E07DE8"/>
    <w:rsid w:val="00E07E0B"/>
    <w:rsid w:val="00E12B59"/>
    <w:rsid w:val="00E13708"/>
    <w:rsid w:val="00E13AD6"/>
    <w:rsid w:val="00E169CD"/>
    <w:rsid w:val="00E16F19"/>
    <w:rsid w:val="00E17DBE"/>
    <w:rsid w:val="00E20F1C"/>
    <w:rsid w:val="00E2184A"/>
    <w:rsid w:val="00E23D24"/>
    <w:rsid w:val="00E249CB"/>
    <w:rsid w:val="00E25514"/>
    <w:rsid w:val="00E25E1B"/>
    <w:rsid w:val="00E25EA5"/>
    <w:rsid w:val="00E263C5"/>
    <w:rsid w:val="00E26687"/>
    <w:rsid w:val="00E31787"/>
    <w:rsid w:val="00E349E1"/>
    <w:rsid w:val="00E34D1F"/>
    <w:rsid w:val="00E35FB7"/>
    <w:rsid w:val="00E40344"/>
    <w:rsid w:val="00E41169"/>
    <w:rsid w:val="00E41B0B"/>
    <w:rsid w:val="00E431AF"/>
    <w:rsid w:val="00E45F6B"/>
    <w:rsid w:val="00E46244"/>
    <w:rsid w:val="00E46C8B"/>
    <w:rsid w:val="00E47FC7"/>
    <w:rsid w:val="00E5224A"/>
    <w:rsid w:val="00E5227A"/>
    <w:rsid w:val="00E54010"/>
    <w:rsid w:val="00E55171"/>
    <w:rsid w:val="00E55A69"/>
    <w:rsid w:val="00E568A0"/>
    <w:rsid w:val="00E611B7"/>
    <w:rsid w:val="00E613D0"/>
    <w:rsid w:val="00E62311"/>
    <w:rsid w:val="00E62E72"/>
    <w:rsid w:val="00E62FE2"/>
    <w:rsid w:val="00E645FC"/>
    <w:rsid w:val="00E6463C"/>
    <w:rsid w:val="00E652B9"/>
    <w:rsid w:val="00E66169"/>
    <w:rsid w:val="00E662B9"/>
    <w:rsid w:val="00E669EF"/>
    <w:rsid w:val="00E66A96"/>
    <w:rsid w:val="00E66DE4"/>
    <w:rsid w:val="00E6709C"/>
    <w:rsid w:val="00E67655"/>
    <w:rsid w:val="00E7025E"/>
    <w:rsid w:val="00E703CC"/>
    <w:rsid w:val="00E72B8A"/>
    <w:rsid w:val="00E72F91"/>
    <w:rsid w:val="00E7315C"/>
    <w:rsid w:val="00E73613"/>
    <w:rsid w:val="00E7373D"/>
    <w:rsid w:val="00E73A50"/>
    <w:rsid w:val="00E76898"/>
    <w:rsid w:val="00E77290"/>
    <w:rsid w:val="00E775AE"/>
    <w:rsid w:val="00E80FAB"/>
    <w:rsid w:val="00E8226A"/>
    <w:rsid w:val="00E82C9C"/>
    <w:rsid w:val="00E82F21"/>
    <w:rsid w:val="00E83406"/>
    <w:rsid w:val="00E83780"/>
    <w:rsid w:val="00E857BB"/>
    <w:rsid w:val="00E8673B"/>
    <w:rsid w:val="00E915FD"/>
    <w:rsid w:val="00E918B2"/>
    <w:rsid w:val="00E9297A"/>
    <w:rsid w:val="00E94313"/>
    <w:rsid w:val="00E95263"/>
    <w:rsid w:val="00E95F1E"/>
    <w:rsid w:val="00EA0E36"/>
    <w:rsid w:val="00EA14DF"/>
    <w:rsid w:val="00EA26C2"/>
    <w:rsid w:val="00EA39B3"/>
    <w:rsid w:val="00EA4A2B"/>
    <w:rsid w:val="00EA4D8E"/>
    <w:rsid w:val="00EA543A"/>
    <w:rsid w:val="00EA5DE8"/>
    <w:rsid w:val="00EA6B6A"/>
    <w:rsid w:val="00EA6FCD"/>
    <w:rsid w:val="00EA724E"/>
    <w:rsid w:val="00EB0AE4"/>
    <w:rsid w:val="00EB0D67"/>
    <w:rsid w:val="00EB2390"/>
    <w:rsid w:val="00EB4E8A"/>
    <w:rsid w:val="00EB559E"/>
    <w:rsid w:val="00EB57A3"/>
    <w:rsid w:val="00EB674B"/>
    <w:rsid w:val="00EB7079"/>
    <w:rsid w:val="00EB79E7"/>
    <w:rsid w:val="00EC394D"/>
    <w:rsid w:val="00EC56AE"/>
    <w:rsid w:val="00EC61D7"/>
    <w:rsid w:val="00EC6535"/>
    <w:rsid w:val="00EC6CB5"/>
    <w:rsid w:val="00EC7400"/>
    <w:rsid w:val="00EC75F9"/>
    <w:rsid w:val="00EC7CFD"/>
    <w:rsid w:val="00ED0E9C"/>
    <w:rsid w:val="00ED106B"/>
    <w:rsid w:val="00ED1116"/>
    <w:rsid w:val="00ED1F57"/>
    <w:rsid w:val="00ED2B47"/>
    <w:rsid w:val="00ED2E6C"/>
    <w:rsid w:val="00ED5492"/>
    <w:rsid w:val="00ED54A0"/>
    <w:rsid w:val="00EE04CE"/>
    <w:rsid w:val="00EE09E2"/>
    <w:rsid w:val="00EE0CD6"/>
    <w:rsid w:val="00EE1132"/>
    <w:rsid w:val="00EE1931"/>
    <w:rsid w:val="00EE3D98"/>
    <w:rsid w:val="00EE5F0D"/>
    <w:rsid w:val="00EE7C72"/>
    <w:rsid w:val="00EE7F81"/>
    <w:rsid w:val="00EF01B6"/>
    <w:rsid w:val="00EF0BA5"/>
    <w:rsid w:val="00EF0D9B"/>
    <w:rsid w:val="00EF15C9"/>
    <w:rsid w:val="00EF17EB"/>
    <w:rsid w:val="00EF20CA"/>
    <w:rsid w:val="00EF28BE"/>
    <w:rsid w:val="00EF490E"/>
    <w:rsid w:val="00EF5226"/>
    <w:rsid w:val="00EF55F0"/>
    <w:rsid w:val="00EF5771"/>
    <w:rsid w:val="00EF67A3"/>
    <w:rsid w:val="00EF76A7"/>
    <w:rsid w:val="00EF7B68"/>
    <w:rsid w:val="00F00298"/>
    <w:rsid w:val="00F00894"/>
    <w:rsid w:val="00F00FD1"/>
    <w:rsid w:val="00F0141C"/>
    <w:rsid w:val="00F055AA"/>
    <w:rsid w:val="00F05A1E"/>
    <w:rsid w:val="00F06176"/>
    <w:rsid w:val="00F069AB"/>
    <w:rsid w:val="00F12411"/>
    <w:rsid w:val="00F141CF"/>
    <w:rsid w:val="00F148B5"/>
    <w:rsid w:val="00F15499"/>
    <w:rsid w:val="00F155E5"/>
    <w:rsid w:val="00F15B37"/>
    <w:rsid w:val="00F162D6"/>
    <w:rsid w:val="00F20242"/>
    <w:rsid w:val="00F20707"/>
    <w:rsid w:val="00F20F9E"/>
    <w:rsid w:val="00F21855"/>
    <w:rsid w:val="00F21A88"/>
    <w:rsid w:val="00F22048"/>
    <w:rsid w:val="00F223B1"/>
    <w:rsid w:val="00F23C02"/>
    <w:rsid w:val="00F24DF5"/>
    <w:rsid w:val="00F25A4E"/>
    <w:rsid w:val="00F26702"/>
    <w:rsid w:val="00F26FB3"/>
    <w:rsid w:val="00F26FC1"/>
    <w:rsid w:val="00F276EE"/>
    <w:rsid w:val="00F30C78"/>
    <w:rsid w:val="00F30CB0"/>
    <w:rsid w:val="00F30EC3"/>
    <w:rsid w:val="00F32476"/>
    <w:rsid w:val="00F32BCD"/>
    <w:rsid w:val="00F3418A"/>
    <w:rsid w:val="00F35D76"/>
    <w:rsid w:val="00F40B5C"/>
    <w:rsid w:val="00F40DD8"/>
    <w:rsid w:val="00F41C6E"/>
    <w:rsid w:val="00F43CB3"/>
    <w:rsid w:val="00F44B5A"/>
    <w:rsid w:val="00F4735E"/>
    <w:rsid w:val="00F47763"/>
    <w:rsid w:val="00F50250"/>
    <w:rsid w:val="00F50BA4"/>
    <w:rsid w:val="00F5177D"/>
    <w:rsid w:val="00F523C7"/>
    <w:rsid w:val="00F54013"/>
    <w:rsid w:val="00F5462D"/>
    <w:rsid w:val="00F54B57"/>
    <w:rsid w:val="00F61856"/>
    <w:rsid w:val="00F630FE"/>
    <w:rsid w:val="00F63103"/>
    <w:rsid w:val="00F64CE3"/>
    <w:rsid w:val="00F66DB0"/>
    <w:rsid w:val="00F672C4"/>
    <w:rsid w:val="00F679CB"/>
    <w:rsid w:val="00F70C74"/>
    <w:rsid w:val="00F71187"/>
    <w:rsid w:val="00F724DC"/>
    <w:rsid w:val="00F7293D"/>
    <w:rsid w:val="00F7481A"/>
    <w:rsid w:val="00F753F1"/>
    <w:rsid w:val="00F76718"/>
    <w:rsid w:val="00F80E7C"/>
    <w:rsid w:val="00F81441"/>
    <w:rsid w:val="00F81681"/>
    <w:rsid w:val="00F81A96"/>
    <w:rsid w:val="00F826D7"/>
    <w:rsid w:val="00F82AFE"/>
    <w:rsid w:val="00F84FF7"/>
    <w:rsid w:val="00F85BA3"/>
    <w:rsid w:val="00F90635"/>
    <w:rsid w:val="00F91181"/>
    <w:rsid w:val="00F912EB"/>
    <w:rsid w:val="00F91692"/>
    <w:rsid w:val="00F9597D"/>
    <w:rsid w:val="00F95ABB"/>
    <w:rsid w:val="00F964A6"/>
    <w:rsid w:val="00F96816"/>
    <w:rsid w:val="00FA071B"/>
    <w:rsid w:val="00FA08C9"/>
    <w:rsid w:val="00FA0988"/>
    <w:rsid w:val="00FA108C"/>
    <w:rsid w:val="00FA20D0"/>
    <w:rsid w:val="00FA55CE"/>
    <w:rsid w:val="00FA5B92"/>
    <w:rsid w:val="00FA5F3E"/>
    <w:rsid w:val="00FB0A8E"/>
    <w:rsid w:val="00FB208D"/>
    <w:rsid w:val="00FB20AD"/>
    <w:rsid w:val="00FB26C7"/>
    <w:rsid w:val="00FB3925"/>
    <w:rsid w:val="00FB3B5A"/>
    <w:rsid w:val="00FB48B0"/>
    <w:rsid w:val="00FB54AF"/>
    <w:rsid w:val="00FB5C63"/>
    <w:rsid w:val="00FB6C35"/>
    <w:rsid w:val="00FC011C"/>
    <w:rsid w:val="00FC03C3"/>
    <w:rsid w:val="00FC0C06"/>
    <w:rsid w:val="00FC2B58"/>
    <w:rsid w:val="00FC2C6D"/>
    <w:rsid w:val="00FC3CCB"/>
    <w:rsid w:val="00FC3FA1"/>
    <w:rsid w:val="00FC41C2"/>
    <w:rsid w:val="00FC438A"/>
    <w:rsid w:val="00FC4487"/>
    <w:rsid w:val="00FC4DA3"/>
    <w:rsid w:val="00FC5214"/>
    <w:rsid w:val="00FC5FF4"/>
    <w:rsid w:val="00FC776D"/>
    <w:rsid w:val="00FC7918"/>
    <w:rsid w:val="00FD0605"/>
    <w:rsid w:val="00FD093E"/>
    <w:rsid w:val="00FD0FC1"/>
    <w:rsid w:val="00FD13B7"/>
    <w:rsid w:val="00FD24C7"/>
    <w:rsid w:val="00FD30CF"/>
    <w:rsid w:val="00FD6478"/>
    <w:rsid w:val="00FD717A"/>
    <w:rsid w:val="00FD7834"/>
    <w:rsid w:val="00FD7D78"/>
    <w:rsid w:val="00FE04C7"/>
    <w:rsid w:val="00FE1688"/>
    <w:rsid w:val="00FE16C0"/>
    <w:rsid w:val="00FE2B5C"/>
    <w:rsid w:val="00FE3ED1"/>
    <w:rsid w:val="00FE47A9"/>
    <w:rsid w:val="00FE4DAE"/>
    <w:rsid w:val="00FE55A3"/>
    <w:rsid w:val="00FE5F4C"/>
    <w:rsid w:val="00FE7096"/>
    <w:rsid w:val="00FE77F8"/>
    <w:rsid w:val="00FF0471"/>
    <w:rsid w:val="00FF068E"/>
    <w:rsid w:val="00FF074D"/>
    <w:rsid w:val="00FF0E73"/>
    <w:rsid w:val="00FF2BDF"/>
    <w:rsid w:val="00FF354A"/>
    <w:rsid w:val="00FF3F47"/>
    <w:rsid w:val="00FF5E28"/>
    <w:rsid w:val="00FF604A"/>
    <w:rsid w:val="00FF60C6"/>
    <w:rsid w:val="00FF63AE"/>
    <w:rsid w:val="00FF65BC"/>
    <w:rsid w:val="00FF7865"/>
    <w:rsid w:val="00FF7C63"/>
    <w:rsid w:val="010135E6"/>
    <w:rsid w:val="010D21D9"/>
    <w:rsid w:val="012C4A1F"/>
    <w:rsid w:val="013F6625"/>
    <w:rsid w:val="014D5538"/>
    <w:rsid w:val="01843B1F"/>
    <w:rsid w:val="01A81FFC"/>
    <w:rsid w:val="01CA376E"/>
    <w:rsid w:val="01DD070C"/>
    <w:rsid w:val="01DD0C77"/>
    <w:rsid w:val="01E96A3A"/>
    <w:rsid w:val="01F10B08"/>
    <w:rsid w:val="01F2193C"/>
    <w:rsid w:val="022D147B"/>
    <w:rsid w:val="02462A4D"/>
    <w:rsid w:val="024F6A90"/>
    <w:rsid w:val="02854032"/>
    <w:rsid w:val="02987B74"/>
    <w:rsid w:val="02DE69C7"/>
    <w:rsid w:val="02E343AF"/>
    <w:rsid w:val="0301056B"/>
    <w:rsid w:val="031A68BA"/>
    <w:rsid w:val="03246CD0"/>
    <w:rsid w:val="037C196D"/>
    <w:rsid w:val="03E0256B"/>
    <w:rsid w:val="04086A2E"/>
    <w:rsid w:val="04897EF8"/>
    <w:rsid w:val="04A73B9D"/>
    <w:rsid w:val="05024523"/>
    <w:rsid w:val="050F167C"/>
    <w:rsid w:val="051705C8"/>
    <w:rsid w:val="05284C6E"/>
    <w:rsid w:val="054B69B2"/>
    <w:rsid w:val="05B50752"/>
    <w:rsid w:val="05BB0154"/>
    <w:rsid w:val="061D3815"/>
    <w:rsid w:val="06851D5E"/>
    <w:rsid w:val="06F061D0"/>
    <w:rsid w:val="06FD184A"/>
    <w:rsid w:val="07153588"/>
    <w:rsid w:val="07427902"/>
    <w:rsid w:val="074B0581"/>
    <w:rsid w:val="076C0118"/>
    <w:rsid w:val="076F3AC2"/>
    <w:rsid w:val="078B2BC4"/>
    <w:rsid w:val="07B05960"/>
    <w:rsid w:val="07EF2E10"/>
    <w:rsid w:val="08226524"/>
    <w:rsid w:val="084A79E9"/>
    <w:rsid w:val="08605F4B"/>
    <w:rsid w:val="086A1C95"/>
    <w:rsid w:val="0874598B"/>
    <w:rsid w:val="08AC3363"/>
    <w:rsid w:val="08B12493"/>
    <w:rsid w:val="09454F97"/>
    <w:rsid w:val="095D3DCC"/>
    <w:rsid w:val="09B4326A"/>
    <w:rsid w:val="09CA6F57"/>
    <w:rsid w:val="09CD6339"/>
    <w:rsid w:val="09D86BEA"/>
    <w:rsid w:val="0A14386B"/>
    <w:rsid w:val="0A171114"/>
    <w:rsid w:val="0A2D110D"/>
    <w:rsid w:val="0A42312A"/>
    <w:rsid w:val="0A6F0D1E"/>
    <w:rsid w:val="0A8C2FEB"/>
    <w:rsid w:val="0AAD06B5"/>
    <w:rsid w:val="0AF14A5F"/>
    <w:rsid w:val="0B093D05"/>
    <w:rsid w:val="0B1708C7"/>
    <w:rsid w:val="0B1B5FB5"/>
    <w:rsid w:val="0B310D2D"/>
    <w:rsid w:val="0B4E6922"/>
    <w:rsid w:val="0BAB6575"/>
    <w:rsid w:val="0BB278AB"/>
    <w:rsid w:val="0BDF1502"/>
    <w:rsid w:val="0BE8415F"/>
    <w:rsid w:val="0C290F6A"/>
    <w:rsid w:val="0C397502"/>
    <w:rsid w:val="0C421BB7"/>
    <w:rsid w:val="0C59500C"/>
    <w:rsid w:val="0C5F7156"/>
    <w:rsid w:val="0C6233D6"/>
    <w:rsid w:val="0C6F3B15"/>
    <w:rsid w:val="0C9E36FE"/>
    <w:rsid w:val="0CA32335"/>
    <w:rsid w:val="0CBE3B36"/>
    <w:rsid w:val="0CC30313"/>
    <w:rsid w:val="0CCA1272"/>
    <w:rsid w:val="0CCC71CC"/>
    <w:rsid w:val="0CF647C1"/>
    <w:rsid w:val="0D567757"/>
    <w:rsid w:val="0D7D7D1B"/>
    <w:rsid w:val="0D814895"/>
    <w:rsid w:val="0DAD7573"/>
    <w:rsid w:val="0DBA611A"/>
    <w:rsid w:val="0E4178B5"/>
    <w:rsid w:val="0E8E453A"/>
    <w:rsid w:val="0E967CDA"/>
    <w:rsid w:val="0ED36EE2"/>
    <w:rsid w:val="0EE53056"/>
    <w:rsid w:val="0EEB5871"/>
    <w:rsid w:val="0EF55F9A"/>
    <w:rsid w:val="0F052279"/>
    <w:rsid w:val="0F134089"/>
    <w:rsid w:val="0F213B7A"/>
    <w:rsid w:val="0F4B3FBB"/>
    <w:rsid w:val="0F655F82"/>
    <w:rsid w:val="0F8327B7"/>
    <w:rsid w:val="10677992"/>
    <w:rsid w:val="108B6EBC"/>
    <w:rsid w:val="10C6129F"/>
    <w:rsid w:val="10DF0567"/>
    <w:rsid w:val="1100659E"/>
    <w:rsid w:val="110F3710"/>
    <w:rsid w:val="11AF4B5D"/>
    <w:rsid w:val="11BD2CC9"/>
    <w:rsid w:val="11C14741"/>
    <w:rsid w:val="11C4331C"/>
    <w:rsid w:val="120C7C36"/>
    <w:rsid w:val="12170B8B"/>
    <w:rsid w:val="12387D5E"/>
    <w:rsid w:val="127240FF"/>
    <w:rsid w:val="127E3345"/>
    <w:rsid w:val="129A0623"/>
    <w:rsid w:val="12AF3BBF"/>
    <w:rsid w:val="12BF5D8A"/>
    <w:rsid w:val="12C6195E"/>
    <w:rsid w:val="12E60488"/>
    <w:rsid w:val="13010D7D"/>
    <w:rsid w:val="131603CA"/>
    <w:rsid w:val="133F3E07"/>
    <w:rsid w:val="13873A19"/>
    <w:rsid w:val="13B41BEE"/>
    <w:rsid w:val="13B570D1"/>
    <w:rsid w:val="13CA294C"/>
    <w:rsid w:val="14283694"/>
    <w:rsid w:val="1462507C"/>
    <w:rsid w:val="14B1726A"/>
    <w:rsid w:val="14F611C2"/>
    <w:rsid w:val="150A31C4"/>
    <w:rsid w:val="151B360D"/>
    <w:rsid w:val="153E1267"/>
    <w:rsid w:val="159958AD"/>
    <w:rsid w:val="15F31684"/>
    <w:rsid w:val="15FD1689"/>
    <w:rsid w:val="162C080A"/>
    <w:rsid w:val="16412E89"/>
    <w:rsid w:val="1682281D"/>
    <w:rsid w:val="1684142D"/>
    <w:rsid w:val="1686654E"/>
    <w:rsid w:val="168801D3"/>
    <w:rsid w:val="16B97B4E"/>
    <w:rsid w:val="171550DE"/>
    <w:rsid w:val="172B339C"/>
    <w:rsid w:val="17570D71"/>
    <w:rsid w:val="17873689"/>
    <w:rsid w:val="178C6A16"/>
    <w:rsid w:val="18195A2F"/>
    <w:rsid w:val="181E351B"/>
    <w:rsid w:val="18644D20"/>
    <w:rsid w:val="18965E1F"/>
    <w:rsid w:val="18A53181"/>
    <w:rsid w:val="18B12A8E"/>
    <w:rsid w:val="18BD1357"/>
    <w:rsid w:val="18D314AE"/>
    <w:rsid w:val="18DF06D2"/>
    <w:rsid w:val="18E05F72"/>
    <w:rsid w:val="18E71DB7"/>
    <w:rsid w:val="1947084A"/>
    <w:rsid w:val="1954237A"/>
    <w:rsid w:val="196D43B7"/>
    <w:rsid w:val="19A75A9A"/>
    <w:rsid w:val="19B343F7"/>
    <w:rsid w:val="19CF5C42"/>
    <w:rsid w:val="19FE3874"/>
    <w:rsid w:val="1A2A69BB"/>
    <w:rsid w:val="1A47370E"/>
    <w:rsid w:val="1A69551E"/>
    <w:rsid w:val="1A7D4553"/>
    <w:rsid w:val="1AC0586F"/>
    <w:rsid w:val="1ADF1E1F"/>
    <w:rsid w:val="1AE00DF6"/>
    <w:rsid w:val="1AFC6269"/>
    <w:rsid w:val="1B2C2E72"/>
    <w:rsid w:val="1B67470F"/>
    <w:rsid w:val="1B8A679C"/>
    <w:rsid w:val="1B9E53F5"/>
    <w:rsid w:val="1C4260C9"/>
    <w:rsid w:val="1CDE58D0"/>
    <w:rsid w:val="1CE239B9"/>
    <w:rsid w:val="1D047E88"/>
    <w:rsid w:val="1D1207F7"/>
    <w:rsid w:val="1D2A7302"/>
    <w:rsid w:val="1D5239D9"/>
    <w:rsid w:val="1D5C0170"/>
    <w:rsid w:val="1D8C670B"/>
    <w:rsid w:val="1DCA21E4"/>
    <w:rsid w:val="1E0950A9"/>
    <w:rsid w:val="1E8F5B3D"/>
    <w:rsid w:val="1EA0729A"/>
    <w:rsid w:val="1EBC1A7D"/>
    <w:rsid w:val="1EBC3ACA"/>
    <w:rsid w:val="1ECE3640"/>
    <w:rsid w:val="1EE9474D"/>
    <w:rsid w:val="1F1503C1"/>
    <w:rsid w:val="1F1A0645"/>
    <w:rsid w:val="1F1D74F0"/>
    <w:rsid w:val="1F342633"/>
    <w:rsid w:val="1F343730"/>
    <w:rsid w:val="1F480693"/>
    <w:rsid w:val="1F667DEB"/>
    <w:rsid w:val="1F7C6FE3"/>
    <w:rsid w:val="1FE55F3F"/>
    <w:rsid w:val="201D2467"/>
    <w:rsid w:val="202955A7"/>
    <w:rsid w:val="202B09A9"/>
    <w:rsid w:val="20367F6F"/>
    <w:rsid w:val="20471BEE"/>
    <w:rsid w:val="2050106A"/>
    <w:rsid w:val="205902E9"/>
    <w:rsid w:val="205B4263"/>
    <w:rsid w:val="207F45FA"/>
    <w:rsid w:val="2085632E"/>
    <w:rsid w:val="20881D66"/>
    <w:rsid w:val="20A70759"/>
    <w:rsid w:val="20B82BEC"/>
    <w:rsid w:val="20C42C0F"/>
    <w:rsid w:val="20F85DCF"/>
    <w:rsid w:val="210E2693"/>
    <w:rsid w:val="212D01F4"/>
    <w:rsid w:val="214A6AE3"/>
    <w:rsid w:val="216F3466"/>
    <w:rsid w:val="21924CD1"/>
    <w:rsid w:val="21940E5A"/>
    <w:rsid w:val="21C825C0"/>
    <w:rsid w:val="21CC1AA7"/>
    <w:rsid w:val="21D50045"/>
    <w:rsid w:val="21EC170F"/>
    <w:rsid w:val="21F6299C"/>
    <w:rsid w:val="221E2E0C"/>
    <w:rsid w:val="222B7C74"/>
    <w:rsid w:val="226E638B"/>
    <w:rsid w:val="227F76E6"/>
    <w:rsid w:val="22837AA1"/>
    <w:rsid w:val="22B075E9"/>
    <w:rsid w:val="22E66A01"/>
    <w:rsid w:val="230309E8"/>
    <w:rsid w:val="2305495A"/>
    <w:rsid w:val="23155F93"/>
    <w:rsid w:val="231B259E"/>
    <w:rsid w:val="234627F9"/>
    <w:rsid w:val="23C63711"/>
    <w:rsid w:val="23DC2B40"/>
    <w:rsid w:val="23FC322C"/>
    <w:rsid w:val="24051FFD"/>
    <w:rsid w:val="24107361"/>
    <w:rsid w:val="242952FF"/>
    <w:rsid w:val="2445406B"/>
    <w:rsid w:val="24483DC6"/>
    <w:rsid w:val="245920C4"/>
    <w:rsid w:val="248654E0"/>
    <w:rsid w:val="24C404E8"/>
    <w:rsid w:val="24ED33E6"/>
    <w:rsid w:val="24F348D0"/>
    <w:rsid w:val="257345F9"/>
    <w:rsid w:val="258E7014"/>
    <w:rsid w:val="259C1D46"/>
    <w:rsid w:val="259D27A4"/>
    <w:rsid w:val="25A26F4E"/>
    <w:rsid w:val="25C35620"/>
    <w:rsid w:val="25DE1954"/>
    <w:rsid w:val="26737AD6"/>
    <w:rsid w:val="26992E2C"/>
    <w:rsid w:val="26AD5977"/>
    <w:rsid w:val="26CB7B63"/>
    <w:rsid w:val="26D53018"/>
    <w:rsid w:val="26DB7EAB"/>
    <w:rsid w:val="26ED478B"/>
    <w:rsid w:val="26ED4AF9"/>
    <w:rsid w:val="270728B1"/>
    <w:rsid w:val="27797E2C"/>
    <w:rsid w:val="28121DE8"/>
    <w:rsid w:val="285D4458"/>
    <w:rsid w:val="28842996"/>
    <w:rsid w:val="28B25BB8"/>
    <w:rsid w:val="290541BA"/>
    <w:rsid w:val="290629DC"/>
    <w:rsid w:val="291B1EC6"/>
    <w:rsid w:val="29205A55"/>
    <w:rsid w:val="2934370E"/>
    <w:rsid w:val="29617E14"/>
    <w:rsid w:val="2966734F"/>
    <w:rsid w:val="29834335"/>
    <w:rsid w:val="29B7693C"/>
    <w:rsid w:val="29B91BA1"/>
    <w:rsid w:val="29DB06A1"/>
    <w:rsid w:val="29E80220"/>
    <w:rsid w:val="2A182AB0"/>
    <w:rsid w:val="2A1B16A3"/>
    <w:rsid w:val="2A1C2CB5"/>
    <w:rsid w:val="2AFC6088"/>
    <w:rsid w:val="2B1C40FA"/>
    <w:rsid w:val="2B207E9F"/>
    <w:rsid w:val="2B3D1354"/>
    <w:rsid w:val="2B5B04F9"/>
    <w:rsid w:val="2B6D3FA7"/>
    <w:rsid w:val="2B775668"/>
    <w:rsid w:val="2B9A2B6E"/>
    <w:rsid w:val="2B9E793F"/>
    <w:rsid w:val="2BAD613F"/>
    <w:rsid w:val="2BFA71F5"/>
    <w:rsid w:val="2C1118C3"/>
    <w:rsid w:val="2C18706B"/>
    <w:rsid w:val="2C193F86"/>
    <w:rsid w:val="2C433B1C"/>
    <w:rsid w:val="2C444E51"/>
    <w:rsid w:val="2C8611EA"/>
    <w:rsid w:val="2CCD5F4E"/>
    <w:rsid w:val="2CD12527"/>
    <w:rsid w:val="2CF27DB1"/>
    <w:rsid w:val="2D0D60C8"/>
    <w:rsid w:val="2D3E56E7"/>
    <w:rsid w:val="2D6337BA"/>
    <w:rsid w:val="2D817F37"/>
    <w:rsid w:val="2DB06809"/>
    <w:rsid w:val="2DDF1F5D"/>
    <w:rsid w:val="2E3E1716"/>
    <w:rsid w:val="2E4B4661"/>
    <w:rsid w:val="2E5B1A59"/>
    <w:rsid w:val="2E9C5570"/>
    <w:rsid w:val="2EFB58F6"/>
    <w:rsid w:val="2EFE73F4"/>
    <w:rsid w:val="2F1F5986"/>
    <w:rsid w:val="2F5050A8"/>
    <w:rsid w:val="2F5051AF"/>
    <w:rsid w:val="2F7075FF"/>
    <w:rsid w:val="2FA4232F"/>
    <w:rsid w:val="2FB07DBC"/>
    <w:rsid w:val="2FB34B60"/>
    <w:rsid w:val="2FC71915"/>
    <w:rsid w:val="2FCF011D"/>
    <w:rsid w:val="2FD33FAE"/>
    <w:rsid w:val="2FE85FAA"/>
    <w:rsid w:val="2FFC41B4"/>
    <w:rsid w:val="30331C3E"/>
    <w:rsid w:val="303A6BFC"/>
    <w:rsid w:val="30927A02"/>
    <w:rsid w:val="30A634E5"/>
    <w:rsid w:val="30BD33A5"/>
    <w:rsid w:val="31586DDA"/>
    <w:rsid w:val="316D1FFD"/>
    <w:rsid w:val="317063BA"/>
    <w:rsid w:val="3181123B"/>
    <w:rsid w:val="31AB3427"/>
    <w:rsid w:val="31ED5D09"/>
    <w:rsid w:val="320B33DC"/>
    <w:rsid w:val="321938B6"/>
    <w:rsid w:val="32243BF0"/>
    <w:rsid w:val="322C0EAC"/>
    <w:rsid w:val="3234525B"/>
    <w:rsid w:val="324E34EE"/>
    <w:rsid w:val="325E013E"/>
    <w:rsid w:val="327A23AD"/>
    <w:rsid w:val="32BB2D13"/>
    <w:rsid w:val="32BC294D"/>
    <w:rsid w:val="32C11F1B"/>
    <w:rsid w:val="331026D0"/>
    <w:rsid w:val="33160E53"/>
    <w:rsid w:val="3327105F"/>
    <w:rsid w:val="338B0F3C"/>
    <w:rsid w:val="33911045"/>
    <w:rsid w:val="33BE4477"/>
    <w:rsid w:val="33BF5212"/>
    <w:rsid w:val="33D24402"/>
    <w:rsid w:val="34257303"/>
    <w:rsid w:val="344A7D4B"/>
    <w:rsid w:val="347E3EB6"/>
    <w:rsid w:val="34B02D86"/>
    <w:rsid w:val="34B16ED9"/>
    <w:rsid w:val="34BD6E42"/>
    <w:rsid w:val="34F55C72"/>
    <w:rsid w:val="351E4B8C"/>
    <w:rsid w:val="3568720F"/>
    <w:rsid w:val="35690EC4"/>
    <w:rsid w:val="35A04051"/>
    <w:rsid w:val="35B64A5B"/>
    <w:rsid w:val="35B94191"/>
    <w:rsid w:val="361252C1"/>
    <w:rsid w:val="3647261E"/>
    <w:rsid w:val="365C787B"/>
    <w:rsid w:val="366A448A"/>
    <w:rsid w:val="36740665"/>
    <w:rsid w:val="368E5C85"/>
    <w:rsid w:val="369B28EB"/>
    <w:rsid w:val="36A94671"/>
    <w:rsid w:val="36BD7B6A"/>
    <w:rsid w:val="36F113E7"/>
    <w:rsid w:val="3709720A"/>
    <w:rsid w:val="37741FA9"/>
    <w:rsid w:val="3782352D"/>
    <w:rsid w:val="37840B2C"/>
    <w:rsid w:val="37A20B50"/>
    <w:rsid w:val="37A37EC0"/>
    <w:rsid w:val="37D364DA"/>
    <w:rsid w:val="380F12CC"/>
    <w:rsid w:val="383D4324"/>
    <w:rsid w:val="387367F8"/>
    <w:rsid w:val="38AC7A5B"/>
    <w:rsid w:val="38AD3FB0"/>
    <w:rsid w:val="391159AF"/>
    <w:rsid w:val="394F1E45"/>
    <w:rsid w:val="3956256B"/>
    <w:rsid w:val="396E5387"/>
    <w:rsid w:val="3971644D"/>
    <w:rsid w:val="3983796D"/>
    <w:rsid w:val="39930426"/>
    <w:rsid w:val="39A52F6E"/>
    <w:rsid w:val="39AD1AF5"/>
    <w:rsid w:val="39AF58EC"/>
    <w:rsid w:val="39DE1663"/>
    <w:rsid w:val="39E40100"/>
    <w:rsid w:val="39F467A0"/>
    <w:rsid w:val="3A1D7F28"/>
    <w:rsid w:val="3A926621"/>
    <w:rsid w:val="3AA677C2"/>
    <w:rsid w:val="3AB260F8"/>
    <w:rsid w:val="3AEB480C"/>
    <w:rsid w:val="3AEF7E49"/>
    <w:rsid w:val="3B0D1974"/>
    <w:rsid w:val="3B2477C5"/>
    <w:rsid w:val="3B2F30A7"/>
    <w:rsid w:val="3B4C6D77"/>
    <w:rsid w:val="3B7D5FD4"/>
    <w:rsid w:val="3BC2558E"/>
    <w:rsid w:val="3C1F3349"/>
    <w:rsid w:val="3C2A26C1"/>
    <w:rsid w:val="3C4274D1"/>
    <w:rsid w:val="3C8A4A61"/>
    <w:rsid w:val="3C996E57"/>
    <w:rsid w:val="3C9976AD"/>
    <w:rsid w:val="3CA55253"/>
    <w:rsid w:val="3CB66F99"/>
    <w:rsid w:val="3CEC24AC"/>
    <w:rsid w:val="3CF538C2"/>
    <w:rsid w:val="3D35437A"/>
    <w:rsid w:val="3DA22C25"/>
    <w:rsid w:val="3DB80A4D"/>
    <w:rsid w:val="3DD1637D"/>
    <w:rsid w:val="3DE72F67"/>
    <w:rsid w:val="3DE74FA4"/>
    <w:rsid w:val="3E122250"/>
    <w:rsid w:val="3E2717D1"/>
    <w:rsid w:val="3E541D9C"/>
    <w:rsid w:val="3E701346"/>
    <w:rsid w:val="3E840D9C"/>
    <w:rsid w:val="3EA46DE4"/>
    <w:rsid w:val="3EB476E6"/>
    <w:rsid w:val="3EB97D6D"/>
    <w:rsid w:val="3ECC56D5"/>
    <w:rsid w:val="3EE16BE5"/>
    <w:rsid w:val="3F0F4635"/>
    <w:rsid w:val="3F1E55F3"/>
    <w:rsid w:val="3F2A77CA"/>
    <w:rsid w:val="3F6B549E"/>
    <w:rsid w:val="3F924EF4"/>
    <w:rsid w:val="3F9E5AC2"/>
    <w:rsid w:val="40136C75"/>
    <w:rsid w:val="406E088F"/>
    <w:rsid w:val="407F25CE"/>
    <w:rsid w:val="409449D7"/>
    <w:rsid w:val="40B166EA"/>
    <w:rsid w:val="40CD60D2"/>
    <w:rsid w:val="41060FE9"/>
    <w:rsid w:val="411F05BC"/>
    <w:rsid w:val="41292CD6"/>
    <w:rsid w:val="416B090E"/>
    <w:rsid w:val="4174486E"/>
    <w:rsid w:val="418174B5"/>
    <w:rsid w:val="41A200EE"/>
    <w:rsid w:val="4211789A"/>
    <w:rsid w:val="42183A2F"/>
    <w:rsid w:val="428E3E15"/>
    <w:rsid w:val="42990EED"/>
    <w:rsid w:val="42A24700"/>
    <w:rsid w:val="42A80C58"/>
    <w:rsid w:val="42AF25F3"/>
    <w:rsid w:val="42B25898"/>
    <w:rsid w:val="42B3428E"/>
    <w:rsid w:val="42C74EE6"/>
    <w:rsid w:val="42F92188"/>
    <w:rsid w:val="4315773A"/>
    <w:rsid w:val="432602A9"/>
    <w:rsid w:val="4353337C"/>
    <w:rsid w:val="43702F2E"/>
    <w:rsid w:val="43967CD5"/>
    <w:rsid w:val="43A34919"/>
    <w:rsid w:val="43DC4E98"/>
    <w:rsid w:val="43DD7CA7"/>
    <w:rsid w:val="43FE7A17"/>
    <w:rsid w:val="441F5464"/>
    <w:rsid w:val="443E3DDD"/>
    <w:rsid w:val="4448187B"/>
    <w:rsid w:val="448A41B8"/>
    <w:rsid w:val="448F2995"/>
    <w:rsid w:val="44BB7B5C"/>
    <w:rsid w:val="44BD20AA"/>
    <w:rsid w:val="44CA6896"/>
    <w:rsid w:val="44E34ABD"/>
    <w:rsid w:val="44E95E4E"/>
    <w:rsid w:val="44FF2ECE"/>
    <w:rsid w:val="45077EA9"/>
    <w:rsid w:val="450E56FF"/>
    <w:rsid w:val="451640E5"/>
    <w:rsid w:val="45220368"/>
    <w:rsid w:val="452C1872"/>
    <w:rsid w:val="454715DF"/>
    <w:rsid w:val="4559330C"/>
    <w:rsid w:val="458326C7"/>
    <w:rsid w:val="45A60B18"/>
    <w:rsid w:val="45E534B2"/>
    <w:rsid w:val="45FC72EF"/>
    <w:rsid w:val="46043EDF"/>
    <w:rsid w:val="46C66CDC"/>
    <w:rsid w:val="47045974"/>
    <w:rsid w:val="47217705"/>
    <w:rsid w:val="47807DF8"/>
    <w:rsid w:val="47993577"/>
    <w:rsid w:val="47A3636C"/>
    <w:rsid w:val="47AF6D6D"/>
    <w:rsid w:val="47BE5F3B"/>
    <w:rsid w:val="47C327C5"/>
    <w:rsid w:val="47EF15B1"/>
    <w:rsid w:val="47F36697"/>
    <w:rsid w:val="484D11B5"/>
    <w:rsid w:val="48A7652F"/>
    <w:rsid w:val="48B50488"/>
    <w:rsid w:val="48B851D6"/>
    <w:rsid w:val="48D961DC"/>
    <w:rsid w:val="48E76A44"/>
    <w:rsid w:val="48E91779"/>
    <w:rsid w:val="48F6482D"/>
    <w:rsid w:val="490906CA"/>
    <w:rsid w:val="491F4A65"/>
    <w:rsid w:val="49295A3D"/>
    <w:rsid w:val="492E74E8"/>
    <w:rsid w:val="49350046"/>
    <w:rsid w:val="49B20578"/>
    <w:rsid w:val="49D45474"/>
    <w:rsid w:val="49F37110"/>
    <w:rsid w:val="4A88336B"/>
    <w:rsid w:val="4A8E7F5F"/>
    <w:rsid w:val="4AC36513"/>
    <w:rsid w:val="4AD54A8E"/>
    <w:rsid w:val="4AE2293F"/>
    <w:rsid w:val="4AE44848"/>
    <w:rsid w:val="4B14336D"/>
    <w:rsid w:val="4B1901D4"/>
    <w:rsid w:val="4B3F2614"/>
    <w:rsid w:val="4B432E40"/>
    <w:rsid w:val="4B6732C8"/>
    <w:rsid w:val="4B942AE0"/>
    <w:rsid w:val="4B9C7045"/>
    <w:rsid w:val="4BC2311D"/>
    <w:rsid w:val="4C4855FF"/>
    <w:rsid w:val="4C4F261E"/>
    <w:rsid w:val="4C52281B"/>
    <w:rsid w:val="4C6D7207"/>
    <w:rsid w:val="4C6F0F12"/>
    <w:rsid w:val="4D370255"/>
    <w:rsid w:val="4D3C426A"/>
    <w:rsid w:val="4D413F89"/>
    <w:rsid w:val="4D7E2905"/>
    <w:rsid w:val="4D8C224B"/>
    <w:rsid w:val="4DB07784"/>
    <w:rsid w:val="4DCA39F4"/>
    <w:rsid w:val="4E8038D2"/>
    <w:rsid w:val="4E866DBD"/>
    <w:rsid w:val="4EA43F2B"/>
    <w:rsid w:val="4EAE0699"/>
    <w:rsid w:val="4EE057E5"/>
    <w:rsid w:val="4F036532"/>
    <w:rsid w:val="4F1A14E2"/>
    <w:rsid w:val="4F1C5536"/>
    <w:rsid w:val="4F3025F8"/>
    <w:rsid w:val="4F5D2C15"/>
    <w:rsid w:val="4F68424E"/>
    <w:rsid w:val="4F99271C"/>
    <w:rsid w:val="4FD33294"/>
    <w:rsid w:val="503B60E0"/>
    <w:rsid w:val="50432878"/>
    <w:rsid w:val="504F399E"/>
    <w:rsid w:val="50571F20"/>
    <w:rsid w:val="5059136E"/>
    <w:rsid w:val="508B29C5"/>
    <w:rsid w:val="50DE42ED"/>
    <w:rsid w:val="50EB64AB"/>
    <w:rsid w:val="50EE2A3E"/>
    <w:rsid w:val="50FA7739"/>
    <w:rsid w:val="510651D5"/>
    <w:rsid w:val="510664B6"/>
    <w:rsid w:val="51261BF6"/>
    <w:rsid w:val="51270C32"/>
    <w:rsid w:val="515D7372"/>
    <w:rsid w:val="51A927D1"/>
    <w:rsid w:val="51FC0699"/>
    <w:rsid w:val="52036A09"/>
    <w:rsid w:val="52061CB8"/>
    <w:rsid w:val="52384E6B"/>
    <w:rsid w:val="52546EED"/>
    <w:rsid w:val="52614E92"/>
    <w:rsid w:val="529F30E7"/>
    <w:rsid w:val="52C04276"/>
    <w:rsid w:val="52D32828"/>
    <w:rsid w:val="52EF5EF5"/>
    <w:rsid w:val="530221CB"/>
    <w:rsid w:val="5317495D"/>
    <w:rsid w:val="53423F4F"/>
    <w:rsid w:val="53654796"/>
    <w:rsid w:val="536A4A11"/>
    <w:rsid w:val="536C3F67"/>
    <w:rsid w:val="53857476"/>
    <w:rsid w:val="538C51C0"/>
    <w:rsid w:val="53C16CA5"/>
    <w:rsid w:val="53E4094F"/>
    <w:rsid w:val="540B69A2"/>
    <w:rsid w:val="540C546D"/>
    <w:rsid w:val="540E0441"/>
    <w:rsid w:val="54206D94"/>
    <w:rsid w:val="543466E5"/>
    <w:rsid w:val="54375DAD"/>
    <w:rsid w:val="54482775"/>
    <w:rsid w:val="54642E96"/>
    <w:rsid w:val="54674DE8"/>
    <w:rsid w:val="54927804"/>
    <w:rsid w:val="549F173E"/>
    <w:rsid w:val="54EA55DA"/>
    <w:rsid w:val="55140FD9"/>
    <w:rsid w:val="55276027"/>
    <w:rsid w:val="552B2B1C"/>
    <w:rsid w:val="55397BF2"/>
    <w:rsid w:val="554E4B65"/>
    <w:rsid w:val="55617CDD"/>
    <w:rsid w:val="55651A01"/>
    <w:rsid w:val="55CC2CE7"/>
    <w:rsid w:val="55D84347"/>
    <w:rsid w:val="56066B6F"/>
    <w:rsid w:val="561A094D"/>
    <w:rsid w:val="56256CBC"/>
    <w:rsid w:val="56391C20"/>
    <w:rsid w:val="565A1CC8"/>
    <w:rsid w:val="566D4B53"/>
    <w:rsid w:val="56BC0EA1"/>
    <w:rsid w:val="56C054F9"/>
    <w:rsid w:val="57110F15"/>
    <w:rsid w:val="573D68F6"/>
    <w:rsid w:val="57485B3D"/>
    <w:rsid w:val="57822E5D"/>
    <w:rsid w:val="5786170D"/>
    <w:rsid w:val="57F7746A"/>
    <w:rsid w:val="580D0F99"/>
    <w:rsid w:val="58170CB5"/>
    <w:rsid w:val="588976AD"/>
    <w:rsid w:val="588E3A02"/>
    <w:rsid w:val="58B64812"/>
    <w:rsid w:val="58CE3F7A"/>
    <w:rsid w:val="5907160D"/>
    <w:rsid w:val="591B1D16"/>
    <w:rsid w:val="59393239"/>
    <w:rsid w:val="59404F1A"/>
    <w:rsid w:val="59437E13"/>
    <w:rsid w:val="59AB592A"/>
    <w:rsid w:val="59B5278E"/>
    <w:rsid w:val="59D763BB"/>
    <w:rsid w:val="59F36FE1"/>
    <w:rsid w:val="5A2835AC"/>
    <w:rsid w:val="5A4E761B"/>
    <w:rsid w:val="5AAF4BB6"/>
    <w:rsid w:val="5AD141A1"/>
    <w:rsid w:val="5AD54636"/>
    <w:rsid w:val="5AE74239"/>
    <w:rsid w:val="5B124D4E"/>
    <w:rsid w:val="5B851CFB"/>
    <w:rsid w:val="5BCC5C1D"/>
    <w:rsid w:val="5BEE0952"/>
    <w:rsid w:val="5C0D7B4A"/>
    <w:rsid w:val="5C196D19"/>
    <w:rsid w:val="5C1B6B1C"/>
    <w:rsid w:val="5C302992"/>
    <w:rsid w:val="5C43755D"/>
    <w:rsid w:val="5C4E6580"/>
    <w:rsid w:val="5C4E7DF1"/>
    <w:rsid w:val="5C877766"/>
    <w:rsid w:val="5CA238B4"/>
    <w:rsid w:val="5CAB083A"/>
    <w:rsid w:val="5CCB0AE0"/>
    <w:rsid w:val="5CFC3BF4"/>
    <w:rsid w:val="5D525CA1"/>
    <w:rsid w:val="5D526412"/>
    <w:rsid w:val="5D6B3343"/>
    <w:rsid w:val="5D8907FB"/>
    <w:rsid w:val="5D9304DB"/>
    <w:rsid w:val="5D944D0C"/>
    <w:rsid w:val="5DB04EE7"/>
    <w:rsid w:val="5DC76DC2"/>
    <w:rsid w:val="5DE962E9"/>
    <w:rsid w:val="5E2E57C7"/>
    <w:rsid w:val="5E2E58FB"/>
    <w:rsid w:val="5E4C6BAF"/>
    <w:rsid w:val="5E8E3991"/>
    <w:rsid w:val="5EAE6E8E"/>
    <w:rsid w:val="5ED32F0F"/>
    <w:rsid w:val="5EE37629"/>
    <w:rsid w:val="5F613FF3"/>
    <w:rsid w:val="5F7E0540"/>
    <w:rsid w:val="5FB010AC"/>
    <w:rsid w:val="5FEF1494"/>
    <w:rsid w:val="5FFA0917"/>
    <w:rsid w:val="6005291B"/>
    <w:rsid w:val="60273268"/>
    <w:rsid w:val="60507251"/>
    <w:rsid w:val="60661FCB"/>
    <w:rsid w:val="61067F1C"/>
    <w:rsid w:val="61367328"/>
    <w:rsid w:val="61555531"/>
    <w:rsid w:val="61833C9A"/>
    <w:rsid w:val="619E1454"/>
    <w:rsid w:val="61AF4F1B"/>
    <w:rsid w:val="61B56F70"/>
    <w:rsid w:val="61DD6356"/>
    <w:rsid w:val="62323978"/>
    <w:rsid w:val="62347E94"/>
    <w:rsid w:val="62356878"/>
    <w:rsid w:val="62437D79"/>
    <w:rsid w:val="62744309"/>
    <w:rsid w:val="629C04BF"/>
    <w:rsid w:val="62AD7A98"/>
    <w:rsid w:val="632E621B"/>
    <w:rsid w:val="63653D0A"/>
    <w:rsid w:val="63A319FA"/>
    <w:rsid w:val="63A36055"/>
    <w:rsid w:val="63AC579C"/>
    <w:rsid w:val="63B6790D"/>
    <w:rsid w:val="63DB12B6"/>
    <w:rsid w:val="643A471E"/>
    <w:rsid w:val="644A014F"/>
    <w:rsid w:val="64526F17"/>
    <w:rsid w:val="6456548C"/>
    <w:rsid w:val="645C62F1"/>
    <w:rsid w:val="646235C2"/>
    <w:rsid w:val="646744B0"/>
    <w:rsid w:val="647D6EF3"/>
    <w:rsid w:val="64B31086"/>
    <w:rsid w:val="64B40B67"/>
    <w:rsid w:val="64EB7D0B"/>
    <w:rsid w:val="64F51679"/>
    <w:rsid w:val="65091AB9"/>
    <w:rsid w:val="653A2CA8"/>
    <w:rsid w:val="65520F36"/>
    <w:rsid w:val="655B032E"/>
    <w:rsid w:val="658F283D"/>
    <w:rsid w:val="65E063B4"/>
    <w:rsid w:val="65FA1A7B"/>
    <w:rsid w:val="66003BF5"/>
    <w:rsid w:val="66086988"/>
    <w:rsid w:val="661563A1"/>
    <w:rsid w:val="662212AE"/>
    <w:rsid w:val="66576383"/>
    <w:rsid w:val="668157AE"/>
    <w:rsid w:val="66924018"/>
    <w:rsid w:val="66C7358C"/>
    <w:rsid w:val="6703555F"/>
    <w:rsid w:val="6708393F"/>
    <w:rsid w:val="675D42D7"/>
    <w:rsid w:val="676F2E2E"/>
    <w:rsid w:val="67851883"/>
    <w:rsid w:val="67DD6941"/>
    <w:rsid w:val="67F35A30"/>
    <w:rsid w:val="68097519"/>
    <w:rsid w:val="681956EC"/>
    <w:rsid w:val="681F5143"/>
    <w:rsid w:val="682D0413"/>
    <w:rsid w:val="68377780"/>
    <w:rsid w:val="684456EC"/>
    <w:rsid w:val="688B34D7"/>
    <w:rsid w:val="68B41C0F"/>
    <w:rsid w:val="68CE3312"/>
    <w:rsid w:val="68F26905"/>
    <w:rsid w:val="69347D08"/>
    <w:rsid w:val="694A2693"/>
    <w:rsid w:val="698E4C48"/>
    <w:rsid w:val="699626B4"/>
    <w:rsid w:val="69A578CA"/>
    <w:rsid w:val="69D060D9"/>
    <w:rsid w:val="6A1E0243"/>
    <w:rsid w:val="6A312471"/>
    <w:rsid w:val="6A4D2EFD"/>
    <w:rsid w:val="6A4E492F"/>
    <w:rsid w:val="6A662620"/>
    <w:rsid w:val="6A8E6BEF"/>
    <w:rsid w:val="6A934E09"/>
    <w:rsid w:val="6AC16A1E"/>
    <w:rsid w:val="6AEA07FF"/>
    <w:rsid w:val="6B1866DE"/>
    <w:rsid w:val="6BA01E69"/>
    <w:rsid w:val="6C3352C5"/>
    <w:rsid w:val="6C4F01D8"/>
    <w:rsid w:val="6C5C13FE"/>
    <w:rsid w:val="6CDD0AB4"/>
    <w:rsid w:val="6CFC0F39"/>
    <w:rsid w:val="6D195E14"/>
    <w:rsid w:val="6D35221B"/>
    <w:rsid w:val="6D8D03AC"/>
    <w:rsid w:val="6D900648"/>
    <w:rsid w:val="6E066200"/>
    <w:rsid w:val="6E646222"/>
    <w:rsid w:val="6E763753"/>
    <w:rsid w:val="6E842870"/>
    <w:rsid w:val="6E8516FC"/>
    <w:rsid w:val="6EAD7D5A"/>
    <w:rsid w:val="6EC8074F"/>
    <w:rsid w:val="6ED0363B"/>
    <w:rsid w:val="6F28133F"/>
    <w:rsid w:val="6F2A7190"/>
    <w:rsid w:val="6F302B4A"/>
    <w:rsid w:val="6F603EDB"/>
    <w:rsid w:val="6F96403C"/>
    <w:rsid w:val="6F9B6605"/>
    <w:rsid w:val="6FB3606E"/>
    <w:rsid w:val="6FF23CD7"/>
    <w:rsid w:val="702B627F"/>
    <w:rsid w:val="70412ECA"/>
    <w:rsid w:val="70473489"/>
    <w:rsid w:val="704F390A"/>
    <w:rsid w:val="70556114"/>
    <w:rsid w:val="706B34BD"/>
    <w:rsid w:val="71397275"/>
    <w:rsid w:val="713A4D9B"/>
    <w:rsid w:val="713D399C"/>
    <w:rsid w:val="71CD5A0B"/>
    <w:rsid w:val="71FA13E4"/>
    <w:rsid w:val="71FA39E0"/>
    <w:rsid w:val="723A70C5"/>
    <w:rsid w:val="723E00DF"/>
    <w:rsid w:val="724F6A8B"/>
    <w:rsid w:val="72562364"/>
    <w:rsid w:val="727406E5"/>
    <w:rsid w:val="729E031D"/>
    <w:rsid w:val="72AF1B98"/>
    <w:rsid w:val="72E80B50"/>
    <w:rsid w:val="733D4EC1"/>
    <w:rsid w:val="737B52CC"/>
    <w:rsid w:val="73832AA8"/>
    <w:rsid w:val="739D24C2"/>
    <w:rsid w:val="73CC6CE1"/>
    <w:rsid w:val="73DC24A6"/>
    <w:rsid w:val="74181F72"/>
    <w:rsid w:val="744C31C9"/>
    <w:rsid w:val="7487430C"/>
    <w:rsid w:val="74933F34"/>
    <w:rsid w:val="74C2320A"/>
    <w:rsid w:val="74DC389F"/>
    <w:rsid w:val="751071D3"/>
    <w:rsid w:val="7538187E"/>
    <w:rsid w:val="7591435C"/>
    <w:rsid w:val="759916E5"/>
    <w:rsid w:val="75A238AB"/>
    <w:rsid w:val="75A51DB7"/>
    <w:rsid w:val="75C658ED"/>
    <w:rsid w:val="75D5266F"/>
    <w:rsid w:val="75DB7249"/>
    <w:rsid w:val="75E170B0"/>
    <w:rsid w:val="75FE1014"/>
    <w:rsid w:val="763B0ED0"/>
    <w:rsid w:val="7673783E"/>
    <w:rsid w:val="76767A38"/>
    <w:rsid w:val="7683612C"/>
    <w:rsid w:val="76953688"/>
    <w:rsid w:val="76BC157B"/>
    <w:rsid w:val="76C46B9B"/>
    <w:rsid w:val="76C76470"/>
    <w:rsid w:val="770C7E43"/>
    <w:rsid w:val="772B3B04"/>
    <w:rsid w:val="77C3222E"/>
    <w:rsid w:val="77F42F7E"/>
    <w:rsid w:val="77FF789B"/>
    <w:rsid w:val="78032C7E"/>
    <w:rsid w:val="78156008"/>
    <w:rsid w:val="78371E61"/>
    <w:rsid w:val="787C6A88"/>
    <w:rsid w:val="78817EC9"/>
    <w:rsid w:val="791E2296"/>
    <w:rsid w:val="79254B97"/>
    <w:rsid w:val="792861A7"/>
    <w:rsid w:val="794F034C"/>
    <w:rsid w:val="7993045F"/>
    <w:rsid w:val="79DB1A03"/>
    <w:rsid w:val="79E54FCD"/>
    <w:rsid w:val="79E92988"/>
    <w:rsid w:val="7A296DF0"/>
    <w:rsid w:val="7A3E1276"/>
    <w:rsid w:val="7AC8386C"/>
    <w:rsid w:val="7AD64ED7"/>
    <w:rsid w:val="7B067F9F"/>
    <w:rsid w:val="7BD11258"/>
    <w:rsid w:val="7C0232EE"/>
    <w:rsid w:val="7C4F7647"/>
    <w:rsid w:val="7C530766"/>
    <w:rsid w:val="7C654853"/>
    <w:rsid w:val="7C92512A"/>
    <w:rsid w:val="7C9E79FF"/>
    <w:rsid w:val="7CAE07BE"/>
    <w:rsid w:val="7CB725DE"/>
    <w:rsid w:val="7CC0084B"/>
    <w:rsid w:val="7CCB4546"/>
    <w:rsid w:val="7CED66F3"/>
    <w:rsid w:val="7CF02F61"/>
    <w:rsid w:val="7CF51F3A"/>
    <w:rsid w:val="7D070058"/>
    <w:rsid w:val="7D2B109C"/>
    <w:rsid w:val="7DB904A5"/>
    <w:rsid w:val="7E0D3385"/>
    <w:rsid w:val="7E4A1CF7"/>
    <w:rsid w:val="7E4A394E"/>
    <w:rsid w:val="7EB20AB1"/>
    <w:rsid w:val="7ECB320D"/>
    <w:rsid w:val="7ED15B51"/>
    <w:rsid w:val="7EF4303C"/>
    <w:rsid w:val="7F0E4F48"/>
    <w:rsid w:val="7F57604D"/>
    <w:rsid w:val="7F6F3475"/>
    <w:rsid w:val="7F8A5E2A"/>
    <w:rsid w:val="7F911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link w:val="51"/>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4">
    <w:name w:val="heading 2"/>
    <w:basedOn w:val="1"/>
    <w:next w:val="1"/>
    <w:link w:val="52"/>
    <w:unhideWhenUsed/>
    <w:qFormat/>
    <w:uiPriority w:val="9"/>
    <w:pPr>
      <w:keepNext/>
      <w:keepLines/>
      <w:numPr>
        <w:ilvl w:val="1"/>
        <w:numId w:val="1"/>
      </w:numPr>
      <w:spacing w:beforeLines="50" w:afterLines="50" w:line="360" w:lineRule="auto"/>
      <w:outlineLvl w:val="1"/>
    </w:pPr>
    <w:rPr>
      <w:rFonts w:ascii="Arial" w:hAnsi="Arial" w:eastAsia="仿宋" w:cs="Times New Roman"/>
      <w:b/>
      <w:bCs/>
      <w:snapToGrid w:val="0"/>
      <w:szCs w:val="21"/>
      <w:lang w:val="sv-SE"/>
    </w:rPr>
  </w:style>
  <w:style w:type="paragraph" w:styleId="5">
    <w:name w:val="heading 3"/>
    <w:basedOn w:val="1"/>
    <w:next w:val="1"/>
    <w:link w:val="53"/>
    <w:unhideWhenUsed/>
    <w:qFormat/>
    <w:uiPriority w:val="9"/>
    <w:pPr>
      <w:keepNext/>
      <w:keepLines/>
      <w:widowControl/>
      <w:numPr>
        <w:ilvl w:val="2"/>
        <w:numId w:val="1"/>
      </w:numPr>
      <w:spacing w:beforeLines="50" w:afterLines="50" w:line="300" w:lineRule="auto"/>
      <w:outlineLvl w:val="2"/>
    </w:pPr>
    <w:rPr>
      <w:rFonts w:ascii="Times New Roman" w:hAnsi="Times New Roman" w:eastAsia="仿宋" w:cs="Times New Roman"/>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7"/>
    <w:unhideWhenUsed/>
    <w:qFormat/>
    <w:uiPriority w:val="99"/>
    <w:pPr>
      <w:tabs>
        <w:tab w:val="center" w:pos="4153"/>
        <w:tab w:val="right" w:pos="8306"/>
      </w:tabs>
      <w:snapToGrid w:val="0"/>
      <w:jc w:val="left"/>
    </w:pPr>
    <w:rPr>
      <w:sz w:val="18"/>
      <w:szCs w:val="18"/>
    </w:rPr>
  </w:style>
  <w:style w:type="paragraph" w:styleId="6">
    <w:name w:val="Normal Indent"/>
    <w:basedOn w:val="1"/>
    <w:unhideWhenUsed/>
    <w:qFormat/>
    <w:uiPriority w:val="99"/>
    <w:pPr>
      <w:ind w:firstLine="420"/>
    </w:pPr>
  </w:style>
  <w:style w:type="paragraph" w:styleId="7">
    <w:name w:val="Document Map"/>
    <w:basedOn w:val="1"/>
    <w:link w:val="54"/>
    <w:unhideWhenUsed/>
    <w:qFormat/>
    <w:uiPriority w:val="99"/>
    <w:rPr>
      <w:rFonts w:ascii="宋体" w:hAnsi="Times New Roman" w:eastAsia="宋体" w:cs="Times New Roman"/>
      <w:sz w:val="18"/>
      <w:szCs w:val="18"/>
    </w:rPr>
  </w:style>
  <w:style w:type="paragraph" w:styleId="8">
    <w:name w:val="annotation text"/>
    <w:basedOn w:val="1"/>
    <w:link w:val="40"/>
    <w:unhideWhenUsed/>
    <w:qFormat/>
    <w:uiPriority w:val="99"/>
    <w:pPr>
      <w:jc w:val="left"/>
    </w:pPr>
    <w:rPr>
      <w:rFonts w:ascii="Calibri" w:hAnsi="Calibri" w:eastAsia="宋体" w:cs="Times New Roman"/>
    </w:rPr>
  </w:style>
  <w:style w:type="paragraph" w:styleId="9">
    <w:name w:val="Body Text"/>
    <w:basedOn w:val="1"/>
    <w:link w:val="43"/>
    <w:qFormat/>
    <w:uiPriority w:val="0"/>
    <w:pPr>
      <w:spacing w:after="120"/>
    </w:pPr>
    <w:rPr>
      <w:rFonts w:ascii="Times New Roman" w:hAnsi="Times New Roman" w:cs="Times New Roman"/>
      <w:kern w:val="0"/>
      <w:szCs w:val="32"/>
      <w:lang w:val="zh-CN"/>
    </w:rPr>
  </w:style>
  <w:style w:type="paragraph" w:styleId="10">
    <w:name w:val="Body Text Indent"/>
    <w:basedOn w:val="1"/>
    <w:link w:val="55"/>
    <w:qFormat/>
    <w:uiPriority w:val="0"/>
    <w:pPr>
      <w:spacing w:after="120"/>
      <w:ind w:left="420" w:leftChars="200"/>
    </w:pPr>
    <w:rPr>
      <w:rFonts w:ascii="Times New Roman" w:hAnsi="Times New Roman" w:cs="Times New Roman"/>
      <w:kern w:val="0"/>
      <w:szCs w:val="32"/>
      <w:lang w:val="zh-CN"/>
    </w:rPr>
  </w:style>
  <w:style w:type="paragraph" w:styleId="11">
    <w:name w:val="toc 3"/>
    <w:basedOn w:val="1"/>
    <w:next w:val="1"/>
    <w:unhideWhenUsed/>
    <w:qFormat/>
    <w:uiPriority w:val="39"/>
    <w:pPr>
      <w:ind w:left="840" w:leftChars="400"/>
    </w:pPr>
  </w:style>
  <w:style w:type="paragraph" w:styleId="12">
    <w:name w:val="Date"/>
    <w:basedOn w:val="1"/>
    <w:next w:val="1"/>
    <w:link w:val="101"/>
    <w:semiHidden/>
    <w:unhideWhenUsed/>
    <w:qFormat/>
    <w:uiPriority w:val="99"/>
    <w:pPr>
      <w:ind w:left="100" w:leftChars="2500"/>
    </w:pPr>
  </w:style>
  <w:style w:type="paragraph" w:styleId="13">
    <w:name w:val="Balloon Text"/>
    <w:basedOn w:val="1"/>
    <w:link w:val="37"/>
    <w:unhideWhenUsed/>
    <w:qFormat/>
    <w:uiPriority w:val="99"/>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pPr>
    <w:rPr>
      <w:rFonts w:ascii="Times New Roman" w:hAnsi="Times New Roman" w:eastAsia="宋体" w:cs="Times New Roman"/>
    </w:rPr>
  </w:style>
  <w:style w:type="paragraph" w:styleId="16">
    <w:name w:val="toc 2"/>
    <w:basedOn w:val="1"/>
    <w:next w:val="1"/>
    <w:unhideWhenUsed/>
    <w:qFormat/>
    <w:uiPriority w:val="39"/>
    <w:pPr>
      <w:ind w:left="420" w:leftChars="200"/>
    </w:pPr>
    <w:rPr>
      <w:rFonts w:ascii="Times New Roman" w:hAnsi="Times New Roman" w:eastAsia="宋体" w:cs="Times New Roman"/>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8"/>
    <w:next w:val="8"/>
    <w:link w:val="44"/>
    <w:unhideWhenUsed/>
    <w:qFormat/>
    <w:uiPriority w:val="99"/>
    <w:rPr>
      <w:rFonts w:asciiTheme="minorHAnsi" w:hAnsiTheme="minorHAnsi" w:eastAsiaTheme="minorEastAsia" w:cstheme="minorBidi"/>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unhideWhenUsed/>
    <w:qFormat/>
    <w:uiPriority w:val="99"/>
    <w:rPr>
      <w:color w:val="954F72" w:themeColor="followedHyperlink"/>
      <w:u w:val="single"/>
      <w14:textFill>
        <w14:solidFill>
          <w14:schemeClr w14:val="folHlink"/>
        </w14:solidFill>
      </w14:textFill>
    </w:rPr>
  </w:style>
  <w:style w:type="character" w:styleId="24">
    <w:name w:val="Hyperlink"/>
    <w:unhideWhenUsed/>
    <w:qFormat/>
    <w:uiPriority w:val="99"/>
    <w:rPr>
      <w:color w:val="0563C1"/>
      <w:u w:val="single"/>
    </w:rPr>
  </w:style>
  <w:style w:type="character" w:styleId="25">
    <w:name w:val="annotation reference"/>
    <w:unhideWhenUsed/>
    <w:qFormat/>
    <w:uiPriority w:val="99"/>
    <w:rPr>
      <w:sz w:val="21"/>
      <w:szCs w:val="21"/>
    </w:rPr>
  </w:style>
  <w:style w:type="character" w:customStyle="1" w:styleId="26">
    <w:name w:val="页眉 字符"/>
    <w:basedOn w:val="21"/>
    <w:link w:val="14"/>
    <w:qFormat/>
    <w:uiPriority w:val="99"/>
    <w:rPr>
      <w:sz w:val="18"/>
      <w:szCs w:val="18"/>
    </w:rPr>
  </w:style>
  <w:style w:type="character" w:customStyle="1" w:styleId="27">
    <w:name w:val="页脚 字符"/>
    <w:basedOn w:val="21"/>
    <w:link w:val="2"/>
    <w:qFormat/>
    <w:uiPriority w:val="99"/>
    <w:rPr>
      <w:sz w:val="18"/>
      <w:szCs w:val="18"/>
    </w:rPr>
  </w:style>
  <w:style w:type="paragraph" w:customStyle="1" w:styleId="28">
    <w:name w:val="章"/>
    <w:basedOn w:val="1"/>
    <w:next w:val="29"/>
    <w:link w:val="31"/>
    <w:qFormat/>
    <w:uiPriority w:val="0"/>
    <w:pPr>
      <w:spacing w:beforeLines="50" w:afterLines="50" w:line="360" w:lineRule="auto"/>
      <w:jc w:val="center"/>
      <w:outlineLvl w:val="0"/>
    </w:pPr>
    <w:rPr>
      <w:rFonts w:ascii="Times New Roman" w:hAnsi="Times New Roman" w:eastAsia="黑体"/>
    </w:rPr>
  </w:style>
  <w:style w:type="paragraph" w:customStyle="1" w:styleId="29">
    <w:name w:val="条"/>
    <w:basedOn w:val="1"/>
    <w:link w:val="34"/>
    <w:qFormat/>
    <w:uiPriority w:val="0"/>
    <w:pPr>
      <w:tabs>
        <w:tab w:val="left" w:pos="1986"/>
      </w:tabs>
    </w:pPr>
    <w:rPr>
      <w:rFonts w:ascii="仿宋" w:hAnsi="仿宋" w:eastAsia="仿宋"/>
    </w:rPr>
  </w:style>
  <w:style w:type="paragraph" w:customStyle="1" w:styleId="30">
    <w:name w:val="节"/>
    <w:basedOn w:val="1"/>
    <w:next w:val="29"/>
    <w:link w:val="32"/>
    <w:qFormat/>
    <w:uiPriority w:val="0"/>
    <w:pPr>
      <w:spacing w:beforeLines="50"/>
      <w:jc w:val="center"/>
      <w:outlineLvl w:val="1"/>
    </w:pPr>
    <w:rPr>
      <w:rFonts w:ascii="Times New Roman" w:hAnsi="Times New Roman" w:eastAsia="楷体"/>
    </w:rPr>
  </w:style>
  <w:style w:type="character" w:customStyle="1" w:styleId="31">
    <w:name w:val="章 字符"/>
    <w:basedOn w:val="21"/>
    <w:link w:val="28"/>
    <w:qFormat/>
    <w:uiPriority w:val="0"/>
    <w:rPr>
      <w:rFonts w:ascii="Times New Roman" w:hAnsi="Times New Roman" w:eastAsia="黑体"/>
      <w:sz w:val="32"/>
    </w:rPr>
  </w:style>
  <w:style w:type="character" w:customStyle="1" w:styleId="32">
    <w:name w:val="节 字符"/>
    <w:basedOn w:val="21"/>
    <w:link w:val="30"/>
    <w:qFormat/>
    <w:uiPriority w:val="0"/>
    <w:rPr>
      <w:rFonts w:ascii="Times New Roman" w:hAnsi="Times New Roman" w:eastAsia="楷体"/>
      <w:sz w:val="32"/>
    </w:rPr>
  </w:style>
  <w:style w:type="paragraph" w:customStyle="1" w:styleId="33">
    <w:name w:val="列表段落1"/>
    <w:basedOn w:val="1"/>
    <w:qFormat/>
    <w:uiPriority w:val="34"/>
    <w:pPr>
      <w:ind w:firstLine="420"/>
    </w:pPr>
  </w:style>
  <w:style w:type="character" w:customStyle="1" w:styleId="34">
    <w:name w:val="条 字符"/>
    <w:basedOn w:val="21"/>
    <w:link w:val="29"/>
    <w:qFormat/>
    <w:uiPriority w:val="0"/>
    <w:rPr>
      <w:rFonts w:ascii="仿宋" w:hAnsi="仿宋" w:eastAsia="仿宋"/>
      <w:kern w:val="2"/>
      <w:sz w:val="32"/>
      <w:szCs w:val="22"/>
    </w:rPr>
  </w:style>
  <w:style w:type="paragraph" w:customStyle="1" w:styleId="35">
    <w:name w:val="第一条"/>
    <w:basedOn w:val="1"/>
    <w:next w:val="6"/>
    <w:link w:val="36"/>
    <w:qFormat/>
    <w:uiPriority w:val="0"/>
    <w:pPr>
      <w:spacing w:line="360" w:lineRule="auto"/>
      <w:jc w:val="center"/>
    </w:pPr>
    <w:rPr>
      <w:rFonts w:ascii="Times New Roman" w:hAnsi="宋体" w:eastAsia="宋体" w:cs="Times New Roman"/>
      <w:sz w:val="24"/>
      <w:szCs w:val="24"/>
    </w:rPr>
  </w:style>
  <w:style w:type="character" w:customStyle="1" w:styleId="36">
    <w:name w:val="第一条 字符"/>
    <w:basedOn w:val="21"/>
    <w:link w:val="35"/>
    <w:qFormat/>
    <w:uiPriority w:val="0"/>
    <w:rPr>
      <w:rFonts w:ascii="Times New Roman" w:hAnsi="宋体" w:eastAsia="宋体" w:cs="Times New Roman"/>
      <w:sz w:val="24"/>
      <w:szCs w:val="24"/>
    </w:rPr>
  </w:style>
  <w:style w:type="character" w:customStyle="1" w:styleId="37">
    <w:name w:val="批注框文本 字符"/>
    <w:basedOn w:val="21"/>
    <w:link w:val="13"/>
    <w:qFormat/>
    <w:uiPriority w:val="99"/>
    <w:rPr>
      <w:sz w:val="18"/>
      <w:szCs w:val="18"/>
    </w:rPr>
  </w:style>
  <w:style w:type="paragraph" w:customStyle="1" w:styleId="38">
    <w:name w:val="内容"/>
    <w:basedOn w:val="1"/>
    <w:link w:val="39"/>
    <w:qFormat/>
    <w:uiPriority w:val="0"/>
    <w:pPr>
      <w:tabs>
        <w:tab w:val="left" w:pos="0"/>
        <w:tab w:val="left" w:pos="1429"/>
        <w:tab w:val="left" w:pos="2268"/>
      </w:tabs>
      <w:ind w:firstLine="200"/>
    </w:pPr>
    <w:rPr>
      <w:rFonts w:ascii="Times New Roman" w:hAnsi="Times New Roman" w:cs="Times New Roman"/>
      <w:szCs w:val="32"/>
      <w:lang w:val="zh-CN"/>
    </w:rPr>
  </w:style>
  <w:style w:type="character" w:customStyle="1" w:styleId="39">
    <w:name w:val="内容 字符"/>
    <w:basedOn w:val="21"/>
    <w:link w:val="38"/>
    <w:qFormat/>
    <w:uiPriority w:val="0"/>
    <w:rPr>
      <w:rFonts w:ascii="Times New Roman" w:hAnsi="Times New Roman" w:eastAsia="仿宋_GB2312" w:cs="Times New Roman"/>
      <w:sz w:val="32"/>
      <w:szCs w:val="32"/>
      <w:lang w:val="zh-CN"/>
    </w:rPr>
  </w:style>
  <w:style w:type="character" w:customStyle="1" w:styleId="40">
    <w:name w:val="批注文字 字符"/>
    <w:basedOn w:val="21"/>
    <w:link w:val="8"/>
    <w:qFormat/>
    <w:uiPriority w:val="99"/>
    <w:rPr>
      <w:rFonts w:ascii="Calibri" w:hAnsi="Calibri" w:eastAsia="宋体" w:cs="Times New Roman"/>
    </w:rPr>
  </w:style>
  <w:style w:type="paragraph" w:customStyle="1" w:styleId="41">
    <w:name w:val="条款"/>
    <w:basedOn w:val="35"/>
    <w:link w:val="42"/>
    <w:qFormat/>
    <w:uiPriority w:val="0"/>
    <w:pPr>
      <w:tabs>
        <w:tab w:val="left" w:pos="0"/>
        <w:tab w:val="left" w:pos="1429"/>
        <w:tab w:val="left" w:pos="2268"/>
      </w:tabs>
      <w:spacing w:line="240" w:lineRule="auto"/>
      <w:ind w:left="85" w:firstLine="624"/>
      <w:jc w:val="left"/>
    </w:pPr>
    <w:rPr>
      <w:rFonts w:ascii="仿宋_GB2312" w:hAnsi="仿宋" w:eastAsia="仿宋_GB2312"/>
      <w:sz w:val="32"/>
      <w:szCs w:val="32"/>
      <w:lang w:val="zh-CN"/>
    </w:rPr>
  </w:style>
  <w:style w:type="character" w:customStyle="1" w:styleId="42">
    <w:name w:val="条款 字符"/>
    <w:basedOn w:val="36"/>
    <w:link w:val="41"/>
    <w:qFormat/>
    <w:uiPriority w:val="0"/>
    <w:rPr>
      <w:rFonts w:ascii="仿宋_GB2312" w:hAnsi="仿宋" w:eastAsia="仿宋_GB2312" w:cs="Times New Roman"/>
      <w:sz w:val="32"/>
      <w:szCs w:val="32"/>
      <w:lang w:val="zh-CN"/>
    </w:rPr>
  </w:style>
  <w:style w:type="character" w:customStyle="1" w:styleId="43">
    <w:name w:val="正文文本 字符"/>
    <w:basedOn w:val="21"/>
    <w:link w:val="9"/>
    <w:qFormat/>
    <w:uiPriority w:val="0"/>
    <w:rPr>
      <w:rFonts w:ascii="Times New Roman" w:hAnsi="Times New Roman" w:eastAsia="仿宋_GB2312" w:cs="Times New Roman"/>
      <w:kern w:val="0"/>
      <w:sz w:val="32"/>
      <w:szCs w:val="32"/>
      <w:lang w:val="zh-CN"/>
    </w:rPr>
  </w:style>
  <w:style w:type="character" w:customStyle="1" w:styleId="44">
    <w:name w:val="批注主题 字符"/>
    <w:basedOn w:val="40"/>
    <w:link w:val="18"/>
    <w:qFormat/>
    <w:uiPriority w:val="99"/>
    <w:rPr>
      <w:rFonts w:ascii="Calibri" w:hAnsi="Calibri" w:eastAsia="宋体" w:cs="Times New Roman"/>
      <w:b/>
      <w:bCs/>
    </w:rPr>
  </w:style>
  <w:style w:type="paragraph" w:customStyle="1" w:styleId="45">
    <w:name w:val="列出段落1"/>
    <w:basedOn w:val="1"/>
    <w:link w:val="46"/>
    <w:qFormat/>
    <w:uiPriority w:val="34"/>
    <w:pPr>
      <w:ind w:firstLine="420"/>
    </w:pPr>
    <w:rPr>
      <w:rFonts w:ascii="Calibri" w:hAnsi="Calibri" w:eastAsia="宋体" w:cs="Times New Roman"/>
    </w:rPr>
  </w:style>
  <w:style w:type="character" w:customStyle="1" w:styleId="46">
    <w:name w:val="列出段落 字符"/>
    <w:link w:val="45"/>
    <w:qFormat/>
    <w:locked/>
    <w:uiPriority w:val="0"/>
    <w:rPr>
      <w:rFonts w:ascii="Calibri" w:hAnsi="Calibri" w:eastAsia="宋体" w:cs="Times New Roman"/>
    </w:rPr>
  </w:style>
  <w:style w:type="paragraph" w:customStyle="1" w:styleId="47">
    <w:name w:val="List Paragraph1"/>
    <w:basedOn w:val="1"/>
    <w:qFormat/>
    <w:uiPriority w:val="0"/>
    <w:pPr>
      <w:spacing w:line="576" w:lineRule="exact"/>
      <w:ind w:firstLine="420"/>
    </w:pPr>
    <w:rPr>
      <w:rFonts w:hAnsi="仿宋" w:cs="Times New Roman"/>
      <w:szCs w:val="32"/>
    </w:rPr>
  </w:style>
  <w:style w:type="paragraph" w:customStyle="1" w:styleId="48">
    <w:name w:val="样式31"/>
    <w:basedOn w:val="1"/>
    <w:qFormat/>
    <w:uiPriority w:val="99"/>
    <w:pPr>
      <w:numPr>
        <w:ilvl w:val="0"/>
        <w:numId w:val="2"/>
      </w:numPr>
      <w:spacing w:line="360" w:lineRule="auto"/>
      <w:jc w:val="center"/>
    </w:pPr>
    <w:rPr>
      <w:rFonts w:ascii="宋体" w:hAnsi="宋体" w:eastAsia="宋体" w:cs="Times New Roman"/>
      <w:sz w:val="24"/>
      <w:szCs w:val="24"/>
      <w:lang w:val="zh-CN"/>
    </w:rPr>
  </w:style>
  <w:style w:type="paragraph" w:customStyle="1" w:styleId="49">
    <w:name w:val="正文1"/>
    <w:basedOn w:val="1"/>
    <w:link w:val="50"/>
    <w:qFormat/>
    <w:uiPriority w:val="0"/>
    <w:pPr>
      <w:spacing w:line="312" w:lineRule="auto"/>
      <w:ind w:firstLine="440"/>
    </w:pPr>
    <w:rPr>
      <w:rFonts w:ascii="Times New Roman" w:hAnsi="Times New Roman" w:eastAsia="宋体"/>
      <w:sz w:val="22"/>
    </w:rPr>
  </w:style>
  <w:style w:type="character" w:customStyle="1" w:styleId="50">
    <w:name w:val="正文1 Char"/>
    <w:basedOn w:val="21"/>
    <w:link w:val="49"/>
    <w:qFormat/>
    <w:uiPriority w:val="0"/>
    <w:rPr>
      <w:rFonts w:ascii="Times New Roman" w:hAnsi="Times New Roman" w:eastAsia="宋体"/>
      <w:sz w:val="22"/>
    </w:rPr>
  </w:style>
  <w:style w:type="character" w:customStyle="1" w:styleId="51">
    <w:name w:val="标题 1 字符"/>
    <w:basedOn w:val="21"/>
    <w:link w:val="3"/>
    <w:qFormat/>
    <w:uiPriority w:val="9"/>
    <w:rPr>
      <w:rFonts w:ascii="Times New Roman" w:hAnsi="Times New Roman" w:eastAsia="宋体" w:cs="Times New Roman"/>
      <w:b/>
      <w:bCs/>
      <w:kern w:val="44"/>
      <w:sz w:val="44"/>
      <w:szCs w:val="44"/>
      <w:lang w:val="zh-CN"/>
    </w:rPr>
  </w:style>
  <w:style w:type="character" w:customStyle="1" w:styleId="52">
    <w:name w:val="标题 2 字符"/>
    <w:basedOn w:val="21"/>
    <w:link w:val="4"/>
    <w:semiHidden/>
    <w:qFormat/>
    <w:uiPriority w:val="9"/>
    <w:rPr>
      <w:rFonts w:ascii="Arial" w:hAnsi="Arial" w:eastAsia="仿宋" w:cs="Times New Roman"/>
      <w:b/>
      <w:bCs/>
      <w:snapToGrid w:val="0"/>
      <w:kern w:val="2"/>
      <w:sz w:val="32"/>
      <w:szCs w:val="21"/>
      <w:lang w:val="sv-SE"/>
    </w:rPr>
  </w:style>
  <w:style w:type="character" w:customStyle="1" w:styleId="53">
    <w:name w:val="标题 3 字符"/>
    <w:basedOn w:val="21"/>
    <w:link w:val="5"/>
    <w:semiHidden/>
    <w:qFormat/>
    <w:uiPriority w:val="9"/>
    <w:rPr>
      <w:rFonts w:ascii="Times New Roman" w:hAnsi="Times New Roman" w:eastAsia="仿宋" w:cs="Times New Roman"/>
      <w:b/>
      <w:bCs/>
      <w:kern w:val="2"/>
      <w:sz w:val="32"/>
      <w:szCs w:val="32"/>
    </w:rPr>
  </w:style>
  <w:style w:type="character" w:customStyle="1" w:styleId="54">
    <w:name w:val="文档结构图 字符"/>
    <w:basedOn w:val="21"/>
    <w:link w:val="7"/>
    <w:qFormat/>
    <w:uiPriority w:val="99"/>
    <w:rPr>
      <w:rFonts w:ascii="宋体" w:hAnsi="Times New Roman" w:eastAsia="宋体" w:cs="Times New Roman"/>
      <w:sz w:val="18"/>
      <w:szCs w:val="18"/>
    </w:rPr>
  </w:style>
  <w:style w:type="character" w:customStyle="1" w:styleId="55">
    <w:name w:val="正文文本缩进 字符"/>
    <w:basedOn w:val="21"/>
    <w:link w:val="10"/>
    <w:qFormat/>
    <w:uiPriority w:val="0"/>
    <w:rPr>
      <w:rFonts w:ascii="Times New Roman" w:hAnsi="Times New Roman" w:eastAsia="仿宋_GB2312" w:cs="Times New Roman"/>
      <w:kern w:val="0"/>
      <w:sz w:val="32"/>
      <w:szCs w:val="32"/>
      <w:lang w:val="zh-CN"/>
    </w:rPr>
  </w:style>
  <w:style w:type="character" w:customStyle="1" w:styleId="56">
    <w:name w:val="bumpedfont15"/>
    <w:basedOn w:val="21"/>
    <w:qFormat/>
    <w:uiPriority w:val="0"/>
  </w:style>
  <w:style w:type="character" w:customStyle="1" w:styleId="57">
    <w:name w:val="缩进正文 Char"/>
    <w:link w:val="58"/>
    <w:qFormat/>
    <w:locked/>
    <w:uiPriority w:val="99"/>
    <w:rPr>
      <w:rFonts w:ascii="仿宋_GB2312" w:eastAsia="仿宋_GB2312" w:cs="仿宋_GB2312"/>
      <w:sz w:val="32"/>
      <w:szCs w:val="32"/>
    </w:rPr>
  </w:style>
  <w:style w:type="paragraph" w:customStyle="1" w:styleId="58">
    <w:name w:val="缩进正文"/>
    <w:basedOn w:val="1"/>
    <w:link w:val="57"/>
    <w:qFormat/>
    <w:uiPriority w:val="99"/>
    <w:rPr>
      <w:rFonts w:cs="仿宋_GB2312"/>
      <w:szCs w:val="32"/>
    </w:rPr>
  </w:style>
  <w:style w:type="character" w:customStyle="1" w:styleId="59">
    <w:name w:val="页脚 Char"/>
    <w:qFormat/>
    <w:uiPriority w:val="0"/>
    <w:rPr>
      <w:sz w:val="18"/>
      <w:szCs w:val="18"/>
    </w:rPr>
  </w:style>
  <w:style w:type="paragraph" w:customStyle="1" w:styleId="60">
    <w:name w:val="中等深浅网格 1 - 强调文字颜色 21"/>
    <w:basedOn w:val="1"/>
    <w:qFormat/>
    <w:uiPriority w:val="34"/>
    <w:pPr>
      <w:ind w:firstLine="420"/>
    </w:pPr>
    <w:rPr>
      <w:rFonts w:ascii="Times New Roman" w:hAnsi="Times New Roman" w:eastAsia="宋体" w:cs="Times New Roman"/>
    </w:rPr>
  </w:style>
  <w:style w:type="paragraph" w:customStyle="1" w:styleId="61">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62">
    <w:name w:val="Char Char Char Char Char Char Char Char Char Char Char Char"/>
    <w:basedOn w:val="1"/>
    <w:qFormat/>
    <w:uiPriority w:val="0"/>
    <w:rPr>
      <w:rFonts w:ascii="Times New Roman" w:hAnsi="Times New Roman" w:eastAsia="宋体" w:cs="Times New Roman"/>
      <w:szCs w:val="20"/>
    </w:rPr>
  </w:style>
  <w:style w:type="paragraph" w:customStyle="1" w:styleId="63">
    <w:name w:val="Char Char Char Char"/>
    <w:basedOn w:val="1"/>
    <w:qFormat/>
    <w:uiPriority w:val="0"/>
    <w:rPr>
      <w:rFonts w:ascii="Times New Roman" w:hAnsi="Times New Roman" w:eastAsia="宋体" w:cs="Times New Roman"/>
      <w:szCs w:val="24"/>
    </w:rPr>
  </w:style>
  <w:style w:type="paragraph" w:customStyle="1" w:styleId="64">
    <w:name w:val="Char Char Char Char Char Char Char Char Char Char Char Char1"/>
    <w:basedOn w:val="1"/>
    <w:qFormat/>
    <w:uiPriority w:val="0"/>
    <w:rPr>
      <w:rFonts w:ascii="Times New Roman" w:hAnsi="Times New Roman" w:eastAsia="宋体" w:cs="Times New Roman"/>
      <w:szCs w:val="20"/>
    </w:rPr>
  </w:style>
  <w:style w:type="paragraph" w:customStyle="1" w:styleId="65">
    <w:name w:val="Char Char Char Char1"/>
    <w:basedOn w:val="1"/>
    <w:qFormat/>
    <w:uiPriority w:val="0"/>
    <w:rPr>
      <w:rFonts w:ascii="Times New Roman" w:hAnsi="Times New Roman" w:eastAsia="宋体" w:cs="Times New Roman"/>
      <w:szCs w:val="24"/>
    </w:rPr>
  </w:style>
  <w:style w:type="paragraph" w:customStyle="1" w:styleId="66">
    <w:name w:val="目录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7">
    <w:name w:val="修订1"/>
    <w:qFormat/>
    <w:uiPriority w:val="0"/>
    <w:rPr>
      <w:rFonts w:ascii="Calibri" w:hAnsi="Calibri" w:eastAsia="宋体" w:cs="Times New Roman"/>
      <w:lang w:val="en-US" w:eastAsia="zh-CN" w:bidi="ar-SA"/>
    </w:rPr>
  </w:style>
  <w:style w:type="paragraph" w:customStyle="1" w:styleId="68">
    <w:name w:val="Char1"/>
    <w:basedOn w:val="1"/>
    <w:qFormat/>
    <w:uiPriority w:val="0"/>
    <w:rPr>
      <w:rFonts w:ascii="Times New Roman" w:hAnsi="Times New Roman" w:eastAsia="宋体" w:cs="Times New Roman"/>
      <w:szCs w:val="24"/>
    </w:rPr>
  </w:style>
  <w:style w:type="paragraph" w:customStyle="1" w:styleId="69">
    <w:name w:val="列出段落11"/>
    <w:basedOn w:val="1"/>
    <w:qFormat/>
    <w:uiPriority w:val="0"/>
    <w:pPr>
      <w:ind w:firstLine="420"/>
    </w:pPr>
    <w:rPr>
      <w:rFonts w:ascii="Calibri" w:hAnsi="Calibri" w:eastAsia="宋体" w:cs="Times New Roman"/>
    </w:rPr>
  </w:style>
  <w:style w:type="character" w:customStyle="1" w:styleId="70">
    <w:name w:val="MTDisplayEquation Char"/>
    <w:basedOn w:val="21"/>
    <w:link w:val="71"/>
    <w:qFormat/>
    <w:locked/>
    <w:uiPriority w:val="0"/>
    <w:rPr>
      <w:szCs w:val="24"/>
    </w:rPr>
  </w:style>
  <w:style w:type="paragraph" w:customStyle="1" w:styleId="71">
    <w:name w:val="MTDisplayEquation"/>
    <w:basedOn w:val="1"/>
    <w:next w:val="1"/>
    <w:link w:val="70"/>
    <w:qFormat/>
    <w:uiPriority w:val="0"/>
    <w:pPr>
      <w:tabs>
        <w:tab w:val="center" w:pos="4540"/>
        <w:tab w:val="right" w:pos="9080"/>
      </w:tabs>
    </w:pPr>
    <w:rPr>
      <w:szCs w:val="24"/>
    </w:rPr>
  </w:style>
  <w:style w:type="paragraph" w:customStyle="1" w:styleId="72">
    <w:name w:val="列出段落2"/>
    <w:basedOn w:val="1"/>
    <w:qFormat/>
    <w:uiPriority w:val="99"/>
    <w:pPr>
      <w:ind w:firstLine="420"/>
    </w:pPr>
    <w:rPr>
      <w:rFonts w:ascii="Times New Roman" w:hAnsi="Times New Roman" w:eastAsia="宋体" w:cs="Times New Roman"/>
    </w:rPr>
  </w:style>
  <w:style w:type="paragraph" w:customStyle="1" w:styleId="73">
    <w:name w:val="列出段落3"/>
    <w:basedOn w:val="1"/>
    <w:qFormat/>
    <w:uiPriority w:val="99"/>
    <w:pPr>
      <w:ind w:firstLine="420"/>
    </w:pPr>
    <w:rPr>
      <w:rFonts w:ascii="Times New Roman" w:hAnsi="Times New Roman" w:eastAsia="宋体" w:cs="Times New Roman"/>
    </w:rPr>
  </w:style>
  <w:style w:type="paragraph" w:customStyle="1" w:styleId="74">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75">
    <w:name w:val="修订3"/>
    <w:hidden/>
    <w:semiHidden/>
    <w:qFormat/>
    <w:uiPriority w:val="99"/>
    <w:rPr>
      <w:rFonts w:ascii="Times New Roman" w:hAnsi="Times New Roman" w:eastAsia="宋体" w:cs="Times New Roman"/>
      <w:kern w:val="2"/>
      <w:sz w:val="21"/>
      <w:szCs w:val="22"/>
      <w:lang w:val="en-US" w:eastAsia="zh-CN" w:bidi="ar-SA"/>
    </w:rPr>
  </w:style>
  <w:style w:type="table" w:customStyle="1" w:styleId="76">
    <w:name w:val="网格型1"/>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2"/>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样式14 字符"/>
    <w:link w:val="79"/>
    <w:qFormat/>
    <w:uiPriority w:val="0"/>
    <w:rPr>
      <w:rFonts w:ascii="仿宋" w:hAnsi="仿宋" w:eastAsia="仿宋" w:cs="Times New Roman"/>
      <w:b/>
      <w:bCs/>
      <w:kern w:val="44"/>
      <w:sz w:val="32"/>
      <w:szCs w:val="32"/>
    </w:rPr>
  </w:style>
  <w:style w:type="paragraph" w:customStyle="1" w:styleId="79">
    <w:name w:val="样式14"/>
    <w:basedOn w:val="1"/>
    <w:link w:val="78"/>
    <w:qFormat/>
    <w:uiPriority w:val="0"/>
    <w:pPr>
      <w:keepNext/>
      <w:keepLines/>
      <w:tabs>
        <w:tab w:val="left" w:pos="1276"/>
      </w:tabs>
      <w:spacing w:line="360" w:lineRule="auto"/>
      <w:ind w:left="85" w:firstLine="624"/>
      <w:outlineLvl w:val="2"/>
    </w:pPr>
    <w:rPr>
      <w:rFonts w:ascii="仿宋" w:hAnsi="仿宋" w:eastAsia="仿宋" w:cs="Times New Roman"/>
      <w:b/>
      <w:bCs/>
      <w:kern w:val="44"/>
      <w:szCs w:val="32"/>
    </w:rPr>
  </w:style>
  <w:style w:type="paragraph" w:customStyle="1" w:styleId="8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81">
    <w:name w:val="p0"/>
    <w:basedOn w:val="1"/>
    <w:qFormat/>
    <w:uiPriority w:val="0"/>
    <w:pPr>
      <w:widowControl/>
    </w:pPr>
    <w:rPr>
      <w:rFonts w:ascii="Times New Roman" w:hAnsi="Times New Roman" w:eastAsia="宋体" w:cs="Times New Roman"/>
      <w:kern w:val="0"/>
      <w:szCs w:val="21"/>
    </w:rPr>
  </w:style>
  <w:style w:type="paragraph" w:customStyle="1" w:styleId="8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3">
    <w:name w:val="Default"/>
    <w:qFormat/>
    <w:uiPriority w:val="0"/>
    <w:pPr>
      <w:widowControl w:val="0"/>
      <w:autoSpaceDE w:val="0"/>
      <w:autoSpaceDN w:val="0"/>
      <w:adjustRightInd w:val="0"/>
    </w:pPr>
    <w:rPr>
      <w:rFonts w:ascii="华文仿宋" w:eastAsia="华文仿宋" w:cs="华文仿宋" w:hAnsiTheme="minorHAnsi"/>
      <w:color w:val="000000"/>
      <w:sz w:val="24"/>
      <w:szCs w:val="24"/>
      <w:lang w:val="en-US" w:eastAsia="zh-CN" w:bidi="ar-SA"/>
    </w:rPr>
  </w:style>
  <w:style w:type="character" w:customStyle="1" w:styleId="84">
    <w:name w:val="占位符文本1"/>
    <w:basedOn w:val="21"/>
    <w:semiHidden/>
    <w:qFormat/>
    <w:uiPriority w:val="99"/>
    <w:rPr>
      <w:color w:val="808080"/>
    </w:rPr>
  </w:style>
  <w:style w:type="paragraph" w:customStyle="1" w:styleId="85">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87">
    <w:name w:val="列表段落11"/>
    <w:basedOn w:val="1"/>
    <w:qFormat/>
    <w:uiPriority w:val="0"/>
    <w:pPr>
      <w:ind w:firstLine="420"/>
    </w:pPr>
    <w:rPr>
      <w:rFonts w:ascii="Calibri" w:hAnsi="Calibri" w:eastAsia="宋体" w:cs="Times New Roman"/>
      <w:kern w:val="0"/>
      <w:sz w:val="20"/>
      <w:szCs w:val="20"/>
    </w:rPr>
  </w:style>
  <w:style w:type="character" w:customStyle="1" w:styleId="88">
    <w:name w:val="样式64 Char Char"/>
    <w:link w:val="89"/>
    <w:qFormat/>
    <w:uiPriority w:val="0"/>
    <w:rPr>
      <w:rFonts w:ascii="Arial" w:hAnsi="Arial" w:eastAsia="黑体" w:cs="Times New Roman"/>
      <w:b/>
      <w:bCs/>
      <w:sz w:val="28"/>
      <w:szCs w:val="28"/>
      <w:lang w:val="zh-CN"/>
    </w:rPr>
  </w:style>
  <w:style w:type="paragraph" w:customStyle="1" w:styleId="89">
    <w:name w:val="样式64"/>
    <w:basedOn w:val="1"/>
    <w:link w:val="88"/>
    <w:qFormat/>
    <w:uiPriority w:val="0"/>
    <w:pPr>
      <w:keepNext/>
      <w:keepLines/>
      <w:numPr>
        <w:ilvl w:val="3"/>
        <w:numId w:val="1"/>
      </w:numPr>
      <w:tabs>
        <w:tab w:val="left" w:pos="1080"/>
      </w:tabs>
      <w:spacing w:before="240" w:after="240" w:line="360" w:lineRule="auto"/>
      <w:outlineLvl w:val="3"/>
    </w:pPr>
    <w:rPr>
      <w:rFonts w:ascii="Arial" w:hAnsi="Arial" w:eastAsia="黑体" w:cs="Times New Roman"/>
      <w:b/>
      <w:bCs/>
      <w:kern w:val="0"/>
      <w:sz w:val="28"/>
      <w:szCs w:val="28"/>
      <w:lang w:val="zh-CN"/>
    </w:rPr>
  </w:style>
  <w:style w:type="paragraph" w:customStyle="1" w:styleId="90">
    <w:name w:val="列表段落2"/>
    <w:basedOn w:val="1"/>
    <w:qFormat/>
    <w:uiPriority w:val="0"/>
    <w:pPr>
      <w:ind w:firstLine="420"/>
    </w:pPr>
    <w:rPr>
      <w:rFonts w:ascii="Calibri" w:hAnsi="Calibri" w:eastAsia="宋体" w:cs="Times New Roman"/>
      <w:kern w:val="0"/>
      <w:sz w:val="20"/>
      <w:szCs w:val="20"/>
    </w:rPr>
  </w:style>
  <w:style w:type="paragraph" w:customStyle="1" w:styleId="91">
    <w:name w:val="列表段落3"/>
    <w:basedOn w:val="1"/>
    <w:qFormat/>
    <w:uiPriority w:val="0"/>
    <w:pPr>
      <w:ind w:firstLine="420"/>
    </w:pPr>
    <w:rPr>
      <w:rFonts w:ascii="Calibri" w:hAnsi="Calibri" w:eastAsia="宋体" w:cs="Times New Roman"/>
      <w:kern w:val="0"/>
      <w:sz w:val="20"/>
      <w:szCs w:val="20"/>
    </w:rPr>
  </w:style>
  <w:style w:type="paragraph" w:customStyle="1" w:styleId="92">
    <w:name w:val="列出段落4"/>
    <w:basedOn w:val="1"/>
    <w:qFormat/>
    <w:uiPriority w:val="0"/>
    <w:pPr>
      <w:ind w:firstLine="420"/>
    </w:pPr>
    <w:rPr>
      <w:rFonts w:ascii="Calibri" w:hAnsi="Calibri" w:eastAsia="宋体" w:cs="Times New Roman"/>
      <w:kern w:val="0"/>
      <w:sz w:val="20"/>
      <w:szCs w:val="20"/>
    </w:rPr>
  </w:style>
  <w:style w:type="paragraph" w:customStyle="1" w:styleId="93">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4">
    <w:name w:val="fontstyle01"/>
    <w:basedOn w:val="21"/>
    <w:qFormat/>
    <w:uiPriority w:val="0"/>
    <w:rPr>
      <w:rFonts w:hint="default" w:ascii="FZFSK--GBK1-0" w:hAnsi="FZFSK--GBK1-0"/>
      <w:color w:val="000000"/>
      <w:sz w:val="32"/>
      <w:szCs w:val="32"/>
    </w:rPr>
  </w:style>
  <w:style w:type="paragraph" w:customStyle="1" w:styleId="95">
    <w:name w:val="A2正文_缩进"/>
    <w:basedOn w:val="1"/>
    <w:link w:val="96"/>
    <w:qFormat/>
    <w:uiPriority w:val="0"/>
    <w:pPr>
      <w:spacing w:line="360" w:lineRule="auto"/>
      <w:ind w:firstLine="560"/>
    </w:pPr>
    <w:rPr>
      <w:rFonts w:ascii="Times New Roman" w:hAnsi="宋体" w:eastAsia="仿宋" w:cs="Times New Roman"/>
      <w:kern w:val="0"/>
      <w:sz w:val="28"/>
      <w:szCs w:val="24"/>
      <w:lang w:val="zh-CN"/>
    </w:rPr>
  </w:style>
  <w:style w:type="character" w:customStyle="1" w:styleId="96">
    <w:name w:val="A2正文_缩进 字符"/>
    <w:link w:val="95"/>
    <w:qFormat/>
    <w:uiPriority w:val="0"/>
    <w:rPr>
      <w:rFonts w:ascii="Times New Roman" w:hAnsi="宋体" w:eastAsia="仿宋" w:cs="Times New Roman"/>
      <w:sz w:val="28"/>
      <w:szCs w:val="24"/>
      <w:lang w:val="zh-CN"/>
    </w:rPr>
  </w:style>
  <w:style w:type="paragraph" w:customStyle="1" w:styleId="97">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01">
    <w:name w:val="日期 字符"/>
    <w:basedOn w:val="21"/>
    <w:link w:val="12"/>
    <w:semiHidden/>
    <w:qFormat/>
    <w:uiPriority w:val="99"/>
    <w:rPr>
      <w:kern w:val="2"/>
      <w:sz w:val="21"/>
      <w:szCs w:val="22"/>
    </w:rPr>
  </w:style>
  <w:style w:type="character" w:customStyle="1" w:styleId="102">
    <w:name w:val="font171"/>
    <w:basedOn w:val="21"/>
    <w:qFormat/>
    <w:uiPriority w:val="0"/>
    <w:rPr>
      <w:rFonts w:hint="eastAsia" w:ascii="方正仿宋_GBK" w:hAnsi="方正仿宋_GBK" w:eastAsia="方正仿宋_GBK" w:cs="方正仿宋_GBK"/>
      <w:color w:val="000000"/>
      <w:sz w:val="24"/>
      <w:szCs w:val="24"/>
      <w:u w:val="none"/>
    </w:rPr>
  </w:style>
  <w:style w:type="paragraph" w:customStyle="1" w:styleId="103">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4">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105">
    <w:name w:val="一级标题"/>
    <w:basedOn w:val="28"/>
    <w:qFormat/>
    <w:uiPriority w:val="0"/>
    <w:pPr>
      <w:numPr>
        <w:ilvl w:val="0"/>
        <w:numId w:val="3"/>
      </w:numPr>
      <w:adjustRightInd w:val="0"/>
      <w:snapToGrid w:val="0"/>
      <w:spacing w:before="50" w:after="50" w:line="240" w:lineRule="auto"/>
      <w:ind w:left="6" w:firstLine="1040"/>
      <w:jc w:val="left"/>
    </w:pPr>
    <w:rPr>
      <w:rFonts w:eastAsia="仿宋_GB2312"/>
      <w:b/>
    </w:rPr>
  </w:style>
  <w:style w:type="paragraph" w:customStyle="1" w:styleId="106">
    <w:name w:val="二级标题"/>
    <w:basedOn w:val="105"/>
    <w:qFormat/>
    <w:uiPriority w:val="0"/>
    <w:pPr>
      <w:numPr>
        <w:ilvl w:val="1"/>
      </w:numPr>
      <w:outlineLvl w:val="1"/>
    </w:pPr>
  </w:style>
  <w:style w:type="paragraph" w:customStyle="1" w:styleId="107">
    <w:name w:val="三级标题"/>
    <w:basedOn w:val="106"/>
    <w:qFormat/>
    <w:uiPriority w:val="0"/>
    <w:pPr>
      <w:numPr>
        <w:ilvl w:val="2"/>
      </w:numPr>
      <w:outlineLvl w:val="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F4705-679F-4B17-9A3C-297D08F5A1C5}">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2918</Words>
  <Characters>16634</Characters>
  <Lines>138</Lines>
  <Paragraphs>39</Paragraphs>
  <TotalTime>52</TotalTime>
  <ScaleCrop>false</ScaleCrop>
  <LinksUpToDate>false</LinksUpToDate>
  <CharactersWithSpaces>19513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2022-08-08T20:58:00Z</dcterms:created>
  <dc:creator>user</dc:creator>
  <cp:lastModifiedBy>调度计划1</cp:lastModifiedBy>
  <cp:lastPrinted>2022-07-01T03:34:00Z</cp:lastPrinted>
  <dcterms:modified xsi:type="dcterms:W3CDTF">2023-10-24T09:57:58Z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689FAF3614174FDFB5924719593265A2</vt:lpwstr>
  </property>
</Properties>
</file>