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ascii="仿宋_GB2312" w:hAnsi="仿宋_GB2312" w:eastAsia="仿宋_GB2312" w:cs="仿宋_GB2312"/>
          <w:kern w:val="0"/>
          <w:sz w:val="48"/>
          <w:szCs w:val="21"/>
          <w:highlight w:val="none"/>
        </w:rPr>
      </w:pPr>
      <w:bookmarkStart w:id="34" w:name="_GoBack"/>
      <w:bookmarkEnd w:id="34"/>
    </w:p>
    <w:p>
      <w:pPr>
        <w:spacing w:before="156" w:beforeLines="50"/>
        <w:jc w:val="center"/>
        <w:rPr>
          <w:rFonts w:ascii="方正小标宋_GBK" w:hAnsi="方正小标宋_GBK" w:eastAsia="方正小标宋_GBK" w:cs="方正小标宋_GBK"/>
          <w:kern w:val="0"/>
          <w:sz w:val="52"/>
          <w:highlight w:val="none"/>
        </w:rPr>
      </w:pPr>
    </w:p>
    <w:p>
      <w:pPr>
        <w:spacing w:before="156" w:beforeLines="50"/>
        <w:jc w:val="center"/>
        <w:rPr>
          <w:rFonts w:ascii="方正小标宋_GBK" w:hAnsi="方正小标宋_GBK" w:eastAsia="方正小标宋_GBK" w:cs="方正小标宋_GBK"/>
          <w:kern w:val="0"/>
          <w:sz w:val="52"/>
          <w:highlight w:val="none"/>
        </w:rPr>
      </w:pPr>
    </w:p>
    <w:p>
      <w:pPr>
        <w:spacing w:before="156" w:beforeLines="50"/>
        <w:jc w:val="center"/>
        <w:rPr>
          <w:rFonts w:ascii="方正小标宋_GBK" w:hAnsi="方正小标宋_GBK" w:eastAsia="方正小标宋_GBK" w:cs="方正小标宋_GBK"/>
          <w:kern w:val="0"/>
          <w:sz w:val="52"/>
          <w:highlight w:val="none"/>
        </w:rPr>
      </w:pPr>
    </w:p>
    <w:p>
      <w:pPr>
        <w:spacing w:before="156" w:beforeLines="50"/>
        <w:jc w:val="center"/>
        <w:rPr>
          <w:rFonts w:ascii="方正小标宋_GBK" w:hAnsi="方正小标宋_GBK" w:eastAsia="方正小标宋_GBK" w:cs="方正小标宋_GBK"/>
          <w:kern w:val="0"/>
          <w:sz w:val="52"/>
          <w:highlight w:val="none"/>
        </w:rPr>
      </w:pPr>
      <w:r>
        <w:rPr>
          <w:rFonts w:hint="eastAsia" w:ascii="方正小标宋_GBK" w:hAnsi="方正小标宋_GBK" w:eastAsia="方正小标宋_GBK" w:cs="方正小标宋_GBK"/>
          <w:kern w:val="0"/>
          <w:sz w:val="52"/>
          <w:highlight w:val="none"/>
        </w:rPr>
        <w:t>湖南省电力现货市场与中长期市场衔接实施细则</w:t>
      </w:r>
    </w:p>
    <w:p>
      <w:pPr>
        <w:suppressAutoHyphens/>
        <w:spacing w:before="156" w:beforeLines="50"/>
        <w:jc w:val="center"/>
        <w:rPr>
          <w:rFonts w:ascii="方正小标宋_GBK" w:hAnsi="方正小标宋_GBK" w:eastAsia="方正小标宋_GBK" w:cs="方正小标宋_GBK"/>
          <w:kern w:val="0"/>
          <w:sz w:val="32"/>
          <w:szCs w:val="32"/>
          <w:highlight w:val="none"/>
          <w:lang w:val="zh-CN"/>
        </w:rPr>
      </w:pPr>
      <w:r>
        <w:rPr>
          <w:rFonts w:hint="eastAsia" w:ascii="方正小标宋_GBK" w:hAnsi="方正小标宋_GBK" w:eastAsia="方正小标宋_GBK" w:cs="方正小标宋_GBK"/>
          <w:kern w:val="0"/>
          <w:sz w:val="32"/>
          <w:szCs w:val="32"/>
          <w:highlight w:val="none"/>
          <w:lang w:val="zh-CN"/>
        </w:rPr>
        <w:t>（征求意见稿）</w:t>
      </w:r>
    </w:p>
    <w:p>
      <w:pPr>
        <w:spacing w:before="156" w:beforeLines="50"/>
        <w:jc w:val="center"/>
        <w:rPr>
          <w:rFonts w:ascii="仿宋_GB2312" w:hAnsi="仿宋_GB2312" w:eastAsia="仿宋_GB2312" w:cs="仿宋_GB2312"/>
          <w:sz w:val="40"/>
          <w:highlight w:val="none"/>
        </w:rPr>
      </w:pPr>
    </w:p>
    <w:p>
      <w:pPr>
        <w:spacing w:before="156" w:beforeLines="50"/>
        <w:jc w:val="center"/>
        <w:rPr>
          <w:rFonts w:ascii="仿宋_GB2312" w:hAnsi="仿宋_GB2312" w:eastAsia="仿宋_GB2312" w:cs="仿宋_GB2312"/>
          <w:sz w:val="40"/>
          <w:highlight w:val="none"/>
        </w:rPr>
      </w:pPr>
    </w:p>
    <w:p>
      <w:pPr>
        <w:widowControl/>
        <w:jc w:val="center"/>
        <w:rPr>
          <w:rFonts w:ascii="仿宋_GB2312" w:hAnsi="仿宋_GB2312" w:eastAsia="仿宋_GB2312" w:cs="仿宋_GB2312"/>
          <w:sz w:val="40"/>
          <w:highlight w:val="none"/>
        </w:rPr>
      </w:pPr>
      <w:r>
        <w:rPr>
          <w:rFonts w:hint="eastAsia" w:ascii="仿宋_GB2312" w:hAnsi="仿宋_GB2312" w:eastAsia="仿宋_GB2312" w:cs="仿宋_GB2312"/>
          <w:sz w:val="40"/>
          <w:highlight w:val="none"/>
        </w:rPr>
        <w:br w:type="page"/>
      </w:r>
    </w:p>
    <w:sdt>
      <w:sdtPr>
        <w:rPr>
          <w:rFonts w:hint="eastAsia" w:ascii="仿宋_GB2312" w:hAnsi="仿宋_GB2312" w:eastAsia="仿宋_GB2312" w:cs="仿宋_GB2312"/>
          <w:sz w:val="44"/>
          <w:szCs w:val="44"/>
          <w:highlight w:val="none"/>
          <w:lang w:val="zh-CN"/>
        </w:rPr>
        <w:id w:val="-455950164"/>
        <w:docPartObj>
          <w:docPartGallery w:val="Table of Contents"/>
          <w:docPartUnique/>
        </w:docPartObj>
      </w:sdtPr>
      <w:sdtEndPr>
        <w:rPr>
          <w:rFonts w:hint="eastAsia" w:ascii="仿宋_GB2312" w:hAnsi="仿宋_GB2312" w:eastAsia="仿宋_GB2312" w:cs="仿宋_GB2312"/>
          <w:bCs/>
          <w:sz w:val="28"/>
          <w:szCs w:val="28"/>
          <w:highlight w:val="none"/>
          <w:lang w:val="zh-CN"/>
        </w:rPr>
      </w:sdtEndPr>
      <w:sdtContent>
        <w:p>
          <w:pPr>
            <w:spacing w:before="0" w:beforeLines="0" w:after="0" w:afterLines="0" w:line="240" w:lineRule="auto"/>
            <w:ind w:left="0" w:leftChars="0" w:right="0" w:rightChars="0" w:firstLine="0" w:firstLineChars="0"/>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目</w:t>
          </w:r>
          <w:r>
            <w:rPr>
              <w:rFonts w:hint="eastAsia" w:ascii="仿宋_GB2312" w:hAnsi="仿宋_GB2312" w:eastAsia="仿宋_GB2312" w:cs="仿宋_GB2312"/>
              <w:sz w:val="44"/>
              <w:szCs w:val="44"/>
              <w:lang w:val="en-US" w:eastAsia="zh-CN"/>
            </w:rPr>
            <w:t xml:space="preserve">  </w:t>
          </w:r>
          <w:r>
            <w:rPr>
              <w:rFonts w:hint="eastAsia" w:ascii="仿宋_GB2312" w:hAnsi="仿宋_GB2312" w:eastAsia="仿宋_GB2312" w:cs="仿宋_GB2312"/>
              <w:sz w:val="44"/>
              <w:szCs w:val="44"/>
            </w:rPr>
            <w:t>录</w:t>
          </w:r>
        </w:p>
        <w:p>
          <w:pPr>
            <w:pStyle w:val="9"/>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bCs/>
              <w:color w:val="0563C1" w:themeColor="hyperlink"/>
              <w:sz w:val="28"/>
              <w:szCs w:val="28"/>
              <w:highlight w:val="none"/>
              <w14:textFill>
                <w14:solidFill>
                  <w14:schemeClr w14:val="hlink"/>
                </w14:solidFill>
              </w14:textFill>
            </w:rPr>
            <w:fldChar w:fldCharType="begin"/>
          </w:r>
          <w:r>
            <w:rPr>
              <w:rFonts w:hint="eastAsia" w:ascii="仿宋_GB2312" w:hAnsi="仿宋_GB2312" w:eastAsia="仿宋_GB2312" w:cs="仿宋_GB2312"/>
              <w:bCs/>
              <w:color w:val="0563C1" w:themeColor="hyperlink"/>
              <w:sz w:val="28"/>
              <w:szCs w:val="28"/>
              <w:highlight w:val="none"/>
              <w14:textFill>
                <w14:solidFill>
                  <w14:schemeClr w14:val="hlink"/>
                </w14:solidFill>
              </w14:textFill>
            </w:rPr>
            <w:instrText xml:space="preserve"> TOC \o "1-3" \h \z \u </w:instrText>
          </w:r>
          <w:r>
            <w:rPr>
              <w:rFonts w:hint="eastAsia" w:ascii="仿宋_GB2312" w:hAnsi="仿宋_GB2312" w:eastAsia="仿宋_GB2312" w:cs="仿宋_GB2312"/>
              <w:bCs/>
              <w:color w:val="0563C1" w:themeColor="hyperlink"/>
              <w:sz w:val="28"/>
              <w:szCs w:val="28"/>
              <w:highlight w:val="none"/>
              <w14:textFill>
                <w14:solidFill>
                  <w14:schemeClr w14:val="hlink"/>
                </w14:solidFill>
              </w14:textFill>
            </w:rPr>
            <w:fldChar w:fldCharType="separate"/>
          </w:r>
          <w:r>
            <w:rPr>
              <w:rFonts w:hint="eastAsia" w:ascii="仿宋_GB2312" w:hAnsi="仿宋_GB2312" w:eastAsia="仿宋_GB2312" w:cs="仿宋_GB2312"/>
              <w:bCs/>
              <w:color w:val="0563C1" w:themeColor="hyperlink"/>
              <w:sz w:val="28"/>
              <w:szCs w:val="28"/>
              <w:highlight w:val="none"/>
              <w14:textFill>
                <w14:solidFill>
                  <w14:schemeClr w14:val="hlink"/>
                </w14:solidFill>
              </w14:textFill>
            </w:rPr>
            <w:fldChar w:fldCharType="begin"/>
          </w:r>
          <w:r>
            <w:rPr>
              <w:rFonts w:hint="eastAsia" w:ascii="仿宋_GB2312" w:hAnsi="仿宋_GB2312" w:eastAsia="仿宋_GB2312" w:cs="仿宋_GB2312"/>
              <w:bCs/>
              <w:sz w:val="28"/>
              <w:szCs w:val="28"/>
              <w:highlight w:val="none"/>
            </w:rPr>
            <w:instrText xml:space="preserve"> HYPERLINK \l _Toc7349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 xml:space="preserve">1. </w:t>
          </w:r>
          <w:r>
            <w:rPr>
              <w:rFonts w:hint="eastAsia" w:ascii="仿宋_GB2312" w:hAnsi="仿宋_GB2312" w:eastAsia="仿宋_GB2312" w:cs="仿宋_GB2312"/>
              <w:sz w:val="28"/>
              <w:szCs w:val="28"/>
              <w:highlight w:val="none"/>
            </w:rPr>
            <w:t>总  述</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_Toc7349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color w:val="0563C1" w:themeColor="hyperlink"/>
              <w:sz w:val="28"/>
              <w:szCs w:val="28"/>
              <w:highlight w:val="none"/>
              <w14:textFill>
                <w14:solidFill>
                  <w14:schemeClr w14:val="hlink"/>
                </w14:solidFill>
              </w14:textFill>
            </w:rPr>
            <w:fldChar w:fldCharType="end"/>
          </w:r>
        </w:p>
        <w:p>
          <w:pPr>
            <w:pStyle w:val="9"/>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bCs/>
              <w:color w:val="0563C1" w:themeColor="hyperlink"/>
              <w:sz w:val="28"/>
              <w:szCs w:val="28"/>
              <w:highlight w:val="none"/>
              <w14:textFill>
                <w14:solidFill>
                  <w14:schemeClr w14:val="hlink"/>
                </w14:solidFill>
              </w14:textFill>
            </w:rPr>
            <w:fldChar w:fldCharType="begin"/>
          </w:r>
          <w:r>
            <w:rPr>
              <w:rFonts w:hint="eastAsia" w:ascii="仿宋_GB2312" w:hAnsi="仿宋_GB2312" w:eastAsia="仿宋_GB2312" w:cs="仿宋_GB2312"/>
              <w:bCs/>
              <w:sz w:val="28"/>
              <w:szCs w:val="28"/>
              <w:highlight w:val="none"/>
            </w:rPr>
            <w:instrText xml:space="preserve"> HYPERLINK \l _Toc261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 xml:space="preserve">2. </w:t>
          </w:r>
          <w:r>
            <w:rPr>
              <w:rFonts w:hint="eastAsia" w:ascii="仿宋_GB2312" w:hAnsi="仿宋_GB2312" w:eastAsia="仿宋_GB2312" w:cs="仿宋_GB2312"/>
              <w:sz w:val="28"/>
              <w:szCs w:val="28"/>
              <w:highlight w:val="none"/>
            </w:rPr>
            <w:t>适用范围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_Toc261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color w:val="0563C1" w:themeColor="hyperlink"/>
              <w:sz w:val="28"/>
              <w:szCs w:val="28"/>
              <w:highlight w:val="none"/>
              <w14:textFill>
                <w14:solidFill>
                  <w14:schemeClr w14:val="hlink"/>
                </w14:solidFill>
              </w14:textFill>
            </w:rPr>
            <w:fldChar w:fldCharType="end"/>
          </w:r>
        </w:p>
        <w:p>
          <w:pPr>
            <w:pStyle w:val="9"/>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bCs/>
              <w:color w:val="0563C1" w:themeColor="hyperlink"/>
              <w:sz w:val="28"/>
              <w:szCs w:val="28"/>
              <w:highlight w:val="none"/>
              <w14:textFill>
                <w14:solidFill>
                  <w14:schemeClr w14:val="hlink"/>
                </w14:solidFill>
              </w14:textFill>
            </w:rPr>
            <w:fldChar w:fldCharType="begin"/>
          </w:r>
          <w:r>
            <w:rPr>
              <w:rFonts w:hint="eastAsia" w:ascii="仿宋_GB2312" w:hAnsi="仿宋_GB2312" w:eastAsia="仿宋_GB2312" w:cs="仿宋_GB2312"/>
              <w:bCs/>
              <w:sz w:val="28"/>
              <w:szCs w:val="28"/>
              <w:highlight w:val="none"/>
            </w:rPr>
            <w:instrText xml:space="preserve"> HYPERLINK \l _Toc11760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 xml:space="preserve">3. </w:t>
          </w:r>
          <w:r>
            <w:rPr>
              <w:rFonts w:hint="eastAsia" w:ascii="仿宋_GB2312" w:hAnsi="仿宋_GB2312" w:eastAsia="仿宋_GB2312" w:cs="仿宋_GB2312"/>
              <w:sz w:val="28"/>
              <w:szCs w:val="28"/>
              <w:highlight w:val="none"/>
            </w:rPr>
            <w:t>市场交易模式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_Toc11760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color w:val="0563C1" w:themeColor="hyperlink"/>
              <w:sz w:val="28"/>
              <w:szCs w:val="28"/>
              <w:highlight w:val="none"/>
              <w14:textFill>
                <w14:solidFill>
                  <w14:schemeClr w14:val="hlink"/>
                </w14:solidFill>
              </w14:textFill>
            </w:rPr>
            <w:fldChar w:fldCharType="end"/>
          </w:r>
        </w:p>
        <w:p>
          <w:pPr>
            <w:pStyle w:val="9"/>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bCs/>
              <w:color w:val="0563C1" w:themeColor="hyperlink"/>
              <w:sz w:val="28"/>
              <w:szCs w:val="28"/>
              <w:highlight w:val="none"/>
              <w14:textFill>
                <w14:solidFill>
                  <w14:schemeClr w14:val="hlink"/>
                </w14:solidFill>
              </w14:textFill>
            </w:rPr>
            <w:fldChar w:fldCharType="begin"/>
          </w:r>
          <w:r>
            <w:rPr>
              <w:rFonts w:hint="eastAsia" w:ascii="仿宋_GB2312" w:hAnsi="仿宋_GB2312" w:eastAsia="仿宋_GB2312" w:cs="仿宋_GB2312"/>
              <w:bCs/>
              <w:sz w:val="28"/>
              <w:szCs w:val="28"/>
              <w:highlight w:val="none"/>
            </w:rPr>
            <w:instrText xml:space="preserve"> HYPERLINK \l _Toc9804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 xml:space="preserve">4. </w:t>
          </w:r>
          <w:r>
            <w:rPr>
              <w:rFonts w:hint="eastAsia" w:ascii="仿宋_GB2312" w:hAnsi="仿宋_GB2312" w:eastAsia="仿宋_GB2312" w:cs="仿宋_GB2312"/>
              <w:sz w:val="28"/>
              <w:szCs w:val="28"/>
              <w:highlight w:val="none"/>
            </w:rPr>
            <w:t>市场衔接原则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_Toc9804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color w:val="0563C1" w:themeColor="hyperlink"/>
              <w:sz w:val="28"/>
              <w:szCs w:val="28"/>
              <w:highlight w:val="none"/>
              <w14:textFill>
                <w14:solidFill>
                  <w14:schemeClr w14:val="hlink"/>
                </w14:solidFill>
              </w14:textFill>
            </w:rPr>
            <w:fldChar w:fldCharType="end"/>
          </w:r>
        </w:p>
        <w:p>
          <w:pPr>
            <w:pStyle w:val="9"/>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bCs/>
              <w:color w:val="0563C1" w:themeColor="hyperlink"/>
              <w:sz w:val="28"/>
              <w:szCs w:val="28"/>
              <w:highlight w:val="none"/>
              <w14:textFill>
                <w14:solidFill>
                  <w14:schemeClr w14:val="hlink"/>
                </w14:solidFill>
              </w14:textFill>
            </w:rPr>
            <w:fldChar w:fldCharType="begin"/>
          </w:r>
          <w:r>
            <w:rPr>
              <w:rFonts w:hint="eastAsia" w:ascii="仿宋_GB2312" w:hAnsi="仿宋_GB2312" w:eastAsia="仿宋_GB2312" w:cs="仿宋_GB2312"/>
              <w:bCs/>
              <w:sz w:val="28"/>
              <w:szCs w:val="28"/>
              <w:highlight w:val="none"/>
            </w:rPr>
            <w:instrText xml:space="preserve"> HYPERLINK \l _Toc22991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 xml:space="preserve">5. </w:t>
          </w:r>
          <w:r>
            <w:rPr>
              <w:rFonts w:hint="eastAsia" w:ascii="仿宋_GB2312" w:hAnsi="仿宋_GB2312" w:eastAsia="仿宋_GB2312" w:cs="仿宋_GB2312"/>
              <w:sz w:val="28"/>
              <w:szCs w:val="28"/>
              <w:highlight w:val="none"/>
            </w:rPr>
            <w:t>中长期市场交易合同（计划）的分解</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_Toc22991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color w:val="0563C1" w:themeColor="hyperlink"/>
              <w:sz w:val="28"/>
              <w:szCs w:val="28"/>
              <w:highlight w:val="none"/>
              <w14:textFill>
                <w14:solidFill>
                  <w14:schemeClr w14:val="hlink"/>
                </w14:solidFill>
              </w14:textFill>
            </w:rPr>
            <w:fldChar w:fldCharType="end"/>
          </w:r>
        </w:p>
        <w:p>
          <w:pPr>
            <w:pStyle w:val="10"/>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bCs/>
              <w:color w:val="0563C1" w:themeColor="hyperlink"/>
              <w:sz w:val="28"/>
              <w:szCs w:val="28"/>
              <w:highlight w:val="none"/>
              <w14:textFill>
                <w14:solidFill>
                  <w14:schemeClr w14:val="hlink"/>
                </w14:solidFill>
              </w14:textFill>
            </w:rPr>
            <w:fldChar w:fldCharType="begin"/>
          </w:r>
          <w:r>
            <w:rPr>
              <w:rFonts w:hint="eastAsia" w:ascii="仿宋_GB2312" w:hAnsi="仿宋_GB2312" w:eastAsia="仿宋_GB2312" w:cs="仿宋_GB2312"/>
              <w:bCs/>
              <w:sz w:val="28"/>
              <w:szCs w:val="28"/>
              <w:highlight w:val="none"/>
            </w:rPr>
            <w:instrText xml:space="preserve"> HYPERLINK \l _Toc23472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 xml:space="preserve">5.1 </w:t>
          </w:r>
          <w:r>
            <w:rPr>
              <w:rFonts w:hint="eastAsia" w:ascii="仿宋_GB2312" w:hAnsi="仿宋_GB2312" w:eastAsia="仿宋_GB2312" w:cs="仿宋_GB2312"/>
              <w:sz w:val="28"/>
              <w:szCs w:val="28"/>
              <w:highlight w:val="none"/>
            </w:rPr>
            <w:t>省间中长期交易合同（计划）的分解</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_Toc23472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color w:val="0563C1" w:themeColor="hyperlink"/>
              <w:sz w:val="28"/>
              <w:szCs w:val="28"/>
              <w:highlight w:val="none"/>
              <w14:textFill>
                <w14:solidFill>
                  <w14:schemeClr w14:val="hlink"/>
                </w14:solidFill>
              </w14:textFill>
            </w:rPr>
            <w:fldChar w:fldCharType="end"/>
          </w:r>
        </w:p>
        <w:p>
          <w:pPr>
            <w:pStyle w:val="10"/>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bCs/>
              <w:color w:val="0563C1" w:themeColor="hyperlink"/>
              <w:sz w:val="28"/>
              <w:szCs w:val="28"/>
              <w:highlight w:val="none"/>
              <w14:textFill>
                <w14:solidFill>
                  <w14:schemeClr w14:val="hlink"/>
                </w14:solidFill>
              </w14:textFill>
            </w:rPr>
            <w:fldChar w:fldCharType="begin"/>
          </w:r>
          <w:r>
            <w:rPr>
              <w:rFonts w:hint="eastAsia" w:ascii="仿宋_GB2312" w:hAnsi="仿宋_GB2312" w:eastAsia="仿宋_GB2312" w:cs="仿宋_GB2312"/>
              <w:bCs/>
              <w:sz w:val="28"/>
              <w:szCs w:val="28"/>
              <w:highlight w:val="none"/>
            </w:rPr>
            <w:instrText xml:space="preserve"> HYPERLINK \l _Toc27195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 xml:space="preserve">5.2 </w:t>
          </w:r>
          <w:r>
            <w:rPr>
              <w:rFonts w:hint="eastAsia" w:ascii="仿宋_GB2312" w:hAnsi="仿宋_GB2312" w:eastAsia="仿宋_GB2312" w:cs="仿宋_GB2312"/>
              <w:sz w:val="28"/>
              <w:szCs w:val="28"/>
              <w:highlight w:val="none"/>
            </w:rPr>
            <w:t>省内中长期交易电量的曲线分解</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_Toc27195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color w:val="0563C1" w:themeColor="hyperlink"/>
              <w:sz w:val="28"/>
              <w:szCs w:val="28"/>
              <w:highlight w:val="none"/>
              <w14:textFill>
                <w14:solidFill>
                  <w14:schemeClr w14:val="hlink"/>
                </w14:solidFill>
              </w14:textFill>
            </w:rPr>
            <w:fldChar w:fldCharType="end"/>
          </w:r>
        </w:p>
        <w:p>
          <w:pPr>
            <w:pStyle w:val="4"/>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bCs/>
              <w:color w:val="0563C1" w:themeColor="hyperlink"/>
              <w:sz w:val="28"/>
              <w:szCs w:val="28"/>
              <w:highlight w:val="none"/>
              <w14:textFill>
                <w14:solidFill>
                  <w14:schemeClr w14:val="hlink"/>
                </w14:solidFill>
              </w14:textFill>
            </w:rPr>
            <w:fldChar w:fldCharType="begin"/>
          </w:r>
          <w:r>
            <w:rPr>
              <w:rFonts w:hint="eastAsia" w:ascii="仿宋_GB2312" w:hAnsi="仿宋_GB2312" w:eastAsia="仿宋_GB2312" w:cs="仿宋_GB2312"/>
              <w:bCs/>
              <w:sz w:val="28"/>
              <w:szCs w:val="28"/>
              <w:highlight w:val="none"/>
            </w:rPr>
            <w:instrText xml:space="preserve"> HYPERLINK \l _Toc1476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 xml:space="preserve">5.2.1 </w:t>
          </w:r>
          <w:r>
            <w:rPr>
              <w:rFonts w:hint="eastAsia" w:ascii="仿宋_GB2312" w:hAnsi="仿宋_GB2312" w:eastAsia="仿宋_GB2312" w:cs="仿宋_GB2312"/>
              <w:sz w:val="28"/>
              <w:szCs w:val="28"/>
              <w:highlight w:val="none"/>
            </w:rPr>
            <w:t>省内发电侧合同（计划）的曲线分解</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_Toc1476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color w:val="0563C1" w:themeColor="hyperlink"/>
              <w:sz w:val="28"/>
              <w:szCs w:val="28"/>
              <w:highlight w:val="none"/>
              <w14:textFill>
                <w14:solidFill>
                  <w14:schemeClr w14:val="hlink"/>
                </w14:solidFill>
              </w14:textFill>
            </w:rPr>
            <w:fldChar w:fldCharType="end"/>
          </w:r>
        </w:p>
        <w:p>
          <w:pPr>
            <w:pStyle w:val="4"/>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bCs/>
              <w:color w:val="0563C1" w:themeColor="hyperlink"/>
              <w:sz w:val="28"/>
              <w:szCs w:val="28"/>
              <w:highlight w:val="none"/>
              <w14:textFill>
                <w14:solidFill>
                  <w14:schemeClr w14:val="hlink"/>
                </w14:solidFill>
              </w14:textFill>
            </w:rPr>
            <w:fldChar w:fldCharType="begin"/>
          </w:r>
          <w:r>
            <w:rPr>
              <w:rFonts w:hint="eastAsia" w:ascii="仿宋_GB2312" w:hAnsi="仿宋_GB2312" w:eastAsia="仿宋_GB2312" w:cs="仿宋_GB2312"/>
              <w:bCs/>
              <w:sz w:val="28"/>
              <w:szCs w:val="28"/>
              <w:highlight w:val="none"/>
            </w:rPr>
            <w:instrText xml:space="preserve"> HYPERLINK \l _Toc4766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 xml:space="preserve">5.2.2 </w:t>
          </w:r>
          <w:r>
            <w:rPr>
              <w:rFonts w:hint="eastAsia" w:ascii="仿宋_GB2312" w:hAnsi="仿宋_GB2312" w:eastAsia="仿宋_GB2312" w:cs="仿宋_GB2312"/>
              <w:sz w:val="28"/>
              <w:szCs w:val="28"/>
              <w:highlight w:val="none"/>
            </w:rPr>
            <w:t>用电侧合同（计划）电量的分解</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_Toc4766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color w:val="0563C1" w:themeColor="hyperlink"/>
              <w:sz w:val="28"/>
              <w:szCs w:val="28"/>
              <w:highlight w:val="none"/>
              <w14:textFill>
                <w14:solidFill>
                  <w14:schemeClr w14:val="hlink"/>
                </w14:solidFill>
              </w14:textFill>
            </w:rPr>
            <w:fldChar w:fldCharType="end"/>
          </w:r>
        </w:p>
        <w:p>
          <w:pPr>
            <w:tabs>
              <w:tab w:val="right" w:leader="dot" w:pos="8296"/>
            </w:tabs>
            <w:rPr>
              <w:rFonts w:ascii="仿宋_GB2312" w:hAnsi="仿宋_GB2312" w:eastAsia="仿宋_GB2312" w:cs="仿宋_GB2312"/>
              <w:bCs/>
              <w:sz w:val="28"/>
              <w:szCs w:val="28"/>
              <w:highlight w:val="none"/>
            </w:rPr>
          </w:pPr>
          <w:r>
            <w:rPr>
              <w:rFonts w:hint="eastAsia" w:ascii="仿宋_GB2312" w:hAnsi="仿宋_GB2312" w:eastAsia="仿宋_GB2312" w:cs="仿宋_GB2312"/>
              <w:bCs/>
              <w:color w:val="0563C1" w:themeColor="hyperlink"/>
              <w:sz w:val="28"/>
              <w:szCs w:val="28"/>
              <w:highlight w:val="none"/>
              <w14:textFill>
                <w14:solidFill>
                  <w14:schemeClr w14:val="hlink"/>
                </w14:solidFill>
              </w14:textFill>
            </w:rPr>
            <w:fldChar w:fldCharType="end"/>
          </w:r>
        </w:p>
      </w:sdtContent>
    </w:sdt>
    <w:p>
      <w:pPr>
        <w:spacing w:before="156" w:beforeLines="50"/>
        <w:rPr>
          <w:rFonts w:ascii="仿宋_GB2312" w:hAnsi="仿宋_GB2312" w:eastAsia="仿宋_GB2312" w:cs="仿宋_GB2312"/>
          <w:sz w:val="28"/>
          <w:szCs w:val="28"/>
          <w:highlight w:val="none"/>
        </w:rPr>
        <w:sectPr>
          <w:footerReference r:id="rId4" w:type="first"/>
          <w:footerReference r:id="rId3" w:type="default"/>
          <w:pgSz w:w="11906" w:h="16838"/>
          <w:pgMar w:top="1440" w:right="1800" w:bottom="1440" w:left="1800" w:header="851" w:footer="992" w:gutter="0"/>
          <w:pgNumType w:start="1"/>
          <w:cols w:space="425" w:num="1"/>
          <w:titlePg/>
          <w:docGrid w:type="lines" w:linePitch="312" w:charSpace="0"/>
        </w:sectPr>
      </w:pPr>
    </w:p>
    <w:p>
      <w:pPr>
        <w:pStyle w:val="29"/>
        <w:spacing w:before="156" w:after="156"/>
        <w:ind w:firstLine="643"/>
        <w:rPr>
          <w:highlight w:val="none"/>
        </w:rPr>
      </w:pPr>
      <w:bookmarkStart w:id="0" w:name="_Toc16856"/>
      <w:bookmarkStart w:id="1" w:name="_Toc18966"/>
      <w:bookmarkStart w:id="2" w:name="_Toc7349"/>
      <w:bookmarkStart w:id="3" w:name="_Toc16180"/>
      <w:bookmarkStart w:id="4" w:name="_Toc17389"/>
      <w:bookmarkStart w:id="5" w:name="_Toc19860"/>
      <w:bookmarkStart w:id="6" w:name="_Toc8891"/>
      <w:bookmarkStart w:id="7" w:name="_Toc20321"/>
      <w:bookmarkStart w:id="8" w:name="_Toc91163980"/>
      <w:bookmarkStart w:id="9" w:name="_Toc29574"/>
      <w:bookmarkStart w:id="10" w:name="_Toc22802"/>
      <w:bookmarkStart w:id="11" w:name="_Toc20884"/>
      <w:bookmarkStart w:id="12" w:name="_Toc28580"/>
      <w:bookmarkStart w:id="13" w:name="_Toc24463"/>
      <w:bookmarkStart w:id="14" w:name="_Toc13970"/>
      <w:bookmarkStart w:id="15" w:name="_Toc15480"/>
      <w:bookmarkStart w:id="16" w:name="_Toc14689"/>
      <w:bookmarkStart w:id="17" w:name="_Toc24357657"/>
      <w:bookmarkStart w:id="18" w:name="_Toc21317"/>
      <w:bookmarkStart w:id="19" w:name="_Toc11663"/>
      <w:bookmarkStart w:id="20" w:name="_Toc28862"/>
      <w:r>
        <w:rPr>
          <w:rFonts w:hint="eastAsia"/>
          <w:highlight w:val="none"/>
        </w:rPr>
        <w:t>总  述</w:t>
      </w:r>
      <w:bookmarkEnd w:id="0"/>
      <w:bookmarkEnd w:id="1"/>
      <w:bookmarkEnd w:id="2"/>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实现湖南电力中长期交易与现货交易的有序衔接，保障湖南电力现货市场运行的正常开展，根据《中共中央国务院关于进一步深化电力体制改革的若干意见》（中发〔2015〕9号）及其配套文件、《国家发展改革委国家能源局关于印发〈电力中长期交易基本规则〉的通知》（发改能源〔2020〕889号）、《省间电力现货交易规则（试行）》（国家电网调〔2021〕592号）和《国家发展改革委国家能源局关于加快建设全国统一电力市场体系的指导意见》（发改体改〔2022〕118号）等，制定本细则。</w:t>
      </w:r>
    </w:p>
    <w:p>
      <w:pPr>
        <w:pStyle w:val="29"/>
        <w:spacing w:before="156" w:after="156"/>
        <w:ind w:firstLine="643"/>
        <w:rPr>
          <w:highlight w:val="none"/>
        </w:rPr>
      </w:pPr>
      <w:bookmarkStart w:id="21" w:name="_Toc261"/>
      <w:r>
        <w:rPr>
          <w:rFonts w:hint="eastAsia"/>
          <w:highlight w:val="none"/>
        </w:rPr>
        <w:t>适用范围</w:t>
      </w:r>
      <w:bookmarkEnd w:id="21"/>
    </w:p>
    <w:p>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本细则适用于湖南电力现货市场试运行期间，中长期市场与现货市场的衔接及管理。</w:t>
      </w:r>
    </w:p>
    <w:p>
      <w:pPr>
        <w:pStyle w:val="29"/>
        <w:spacing w:before="156" w:after="156"/>
        <w:ind w:firstLine="643"/>
        <w:rPr>
          <w:highlight w:val="none"/>
        </w:rPr>
      </w:pPr>
      <w:bookmarkStart w:id="22" w:name="_Toc985"/>
      <w:bookmarkStart w:id="23" w:name="_Toc11760"/>
      <w:r>
        <w:rPr>
          <w:rFonts w:hint="eastAsia"/>
          <w:highlight w:val="none"/>
        </w:rPr>
        <w:t>市场交易模式</w:t>
      </w:r>
      <w:bookmarkEnd w:id="22"/>
      <w:bookmarkEnd w:id="23"/>
    </w:p>
    <w:p>
      <w:pPr>
        <w:pStyle w:val="2"/>
        <w:ind w:firstLine="640" w:firstLineChars="200"/>
        <w:rPr>
          <w:rFonts w:ascii="仿宋_GB2312" w:hAnsi="仿宋_GB2312" w:eastAsia="仿宋_GB2312" w:cs="仿宋_GB2312"/>
          <w:highlight w:val="none"/>
        </w:rPr>
      </w:pPr>
      <w:r>
        <w:rPr>
          <w:rFonts w:hint="eastAsia" w:ascii="仿宋_GB2312" w:hAnsi="仿宋_GB2312" w:eastAsia="仿宋_GB2312" w:cs="仿宋_GB2312"/>
          <w:sz w:val="32"/>
          <w:szCs w:val="32"/>
          <w:highlight w:val="none"/>
        </w:rPr>
        <w:t>现阶段，湖南电力市场交易采用中长期交易为主、现货交易为补充的市场模式。中长期交易</w:t>
      </w:r>
      <w:r>
        <w:rPr>
          <w:rFonts w:hint="eastAsia" w:ascii="仿宋_GB2312" w:hAnsi="仿宋_GB2312" w:eastAsia="仿宋_GB2312" w:cs="仿宋_GB2312"/>
          <w:sz w:val="32"/>
          <w:szCs w:val="32"/>
          <w:highlight w:val="none"/>
          <w:lang w:val="en-US" w:eastAsia="zh-CN"/>
        </w:rPr>
        <w:t>形成分时段交易曲线，</w:t>
      </w:r>
      <w:r>
        <w:rPr>
          <w:rFonts w:hint="eastAsia" w:ascii="仿宋_GB2312" w:hAnsi="仿宋_GB2312" w:eastAsia="仿宋_GB2312" w:cs="仿宋_GB2312"/>
          <w:sz w:val="32"/>
          <w:szCs w:val="32"/>
          <w:highlight w:val="none"/>
        </w:rPr>
        <w:t>以差价合约作为结算依据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省间现货交易以省间成交合同作为结算依据，省内现货交易采用全电量集中竞价。</w:t>
      </w:r>
    </w:p>
    <w:p>
      <w:pPr>
        <w:pStyle w:val="29"/>
        <w:spacing w:before="156" w:after="156"/>
        <w:ind w:firstLine="643"/>
        <w:rPr>
          <w:highlight w:val="none"/>
        </w:rPr>
      </w:pPr>
      <w:bookmarkStart w:id="24" w:name="_Toc9804"/>
      <w:r>
        <w:rPr>
          <w:rFonts w:hint="eastAsia"/>
          <w:highlight w:val="none"/>
        </w:rPr>
        <w:t>市场衔接原则</w:t>
      </w:r>
      <w:bookmarkEnd w:id="24"/>
      <w:bookmarkStart w:id="25" w:name="_Toc6054"/>
    </w:p>
    <w:bookmarkEnd w:id="25"/>
    <w:p>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交易时序上，中长期交易在现货交易开市前组织，</w:t>
      </w:r>
      <w:r>
        <w:rPr>
          <w:rFonts w:hint="eastAsia" w:ascii="仿宋_GB2312" w:hAnsi="仿宋_GB2312" w:eastAsia="仿宋_GB2312" w:cs="仿宋_GB2312"/>
          <w:sz w:val="32"/>
          <w:szCs w:val="32"/>
          <w:highlight w:val="none"/>
          <w:lang w:val="en-US" w:eastAsia="zh-CN"/>
        </w:rPr>
        <w:t>运行日提前四天（D-4）</w:t>
      </w:r>
      <w:r>
        <w:rPr>
          <w:rFonts w:hint="eastAsia" w:ascii="仿宋_GB2312" w:hAnsi="仿宋_GB2312" w:eastAsia="仿宋_GB2312" w:cs="仿宋_GB2312"/>
          <w:sz w:val="32"/>
          <w:szCs w:val="32"/>
          <w:highlight w:val="none"/>
          <w:lang w:eastAsia="zh-CN"/>
        </w:rPr>
        <w:t>经营主体</w:t>
      </w:r>
      <w:r>
        <w:rPr>
          <w:rFonts w:hint="eastAsia" w:ascii="仿宋_GB2312" w:hAnsi="仿宋_GB2312" w:eastAsia="仿宋_GB2312" w:cs="仿宋_GB2312"/>
          <w:sz w:val="32"/>
          <w:szCs w:val="32"/>
          <w:highlight w:val="none"/>
        </w:rPr>
        <w:t>通过交易平台申报、竞价、调整和确认运行日（D）所有交易品种的中长期交易曲线。交易机构汇总并发布各</w:t>
      </w:r>
      <w:r>
        <w:rPr>
          <w:rFonts w:hint="eastAsia" w:ascii="仿宋_GB2312" w:hAnsi="仿宋_GB2312" w:eastAsia="仿宋_GB2312" w:cs="仿宋_GB2312"/>
          <w:sz w:val="32"/>
          <w:szCs w:val="32"/>
          <w:highlight w:val="none"/>
          <w:lang w:eastAsia="zh-CN"/>
        </w:rPr>
        <w:t>经营主体</w:t>
      </w:r>
      <w:r>
        <w:rPr>
          <w:rFonts w:hint="eastAsia" w:ascii="仿宋_GB2312" w:hAnsi="仿宋_GB2312" w:eastAsia="仿宋_GB2312" w:cs="仿宋_GB2312"/>
          <w:sz w:val="32"/>
          <w:szCs w:val="32"/>
          <w:highlight w:val="none"/>
        </w:rPr>
        <w:t>的中长期交易曲线，作为中长期交易与现货交易的结算依据。</w:t>
      </w:r>
    </w:p>
    <w:p>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日前现货交易开市前，交易机构将各发电企业、电力用户、售电公司</w:t>
      </w:r>
      <w:r>
        <w:rPr>
          <w:rFonts w:hint="eastAsia" w:ascii="仿宋_GB2312" w:hAnsi="仿宋_GB2312" w:eastAsia="仿宋_GB2312" w:cs="仿宋_GB2312"/>
          <w:sz w:val="32"/>
          <w:szCs w:val="32"/>
          <w:highlight w:val="none"/>
          <w:lang w:val="en-US" w:eastAsia="zh-CN"/>
        </w:rPr>
        <w:t>等批发经营主体的</w:t>
      </w:r>
      <w:r>
        <w:rPr>
          <w:rFonts w:hint="eastAsia" w:ascii="仿宋_GB2312" w:hAnsi="仿宋_GB2312" w:eastAsia="仿宋_GB2312" w:cs="仿宋_GB2312"/>
          <w:sz w:val="32"/>
          <w:szCs w:val="32"/>
          <w:highlight w:val="none"/>
        </w:rPr>
        <w:t>中长期交易曲线</w:t>
      </w:r>
      <w:r>
        <w:rPr>
          <w:rFonts w:hint="eastAsia" w:ascii="仿宋_GB2312" w:hAnsi="仿宋_GB2312" w:eastAsia="仿宋_GB2312" w:cs="仿宋_GB2312"/>
          <w:sz w:val="32"/>
          <w:szCs w:val="32"/>
          <w:highlight w:val="none"/>
          <w:lang w:eastAsia="zh-CN"/>
        </w:rPr>
        <w:t>及价格</w:t>
      </w:r>
      <w:r>
        <w:rPr>
          <w:rFonts w:hint="eastAsia" w:ascii="仿宋_GB2312" w:hAnsi="仿宋_GB2312" w:eastAsia="仿宋_GB2312" w:cs="仿宋_GB2312"/>
          <w:sz w:val="32"/>
          <w:szCs w:val="32"/>
          <w:highlight w:val="none"/>
        </w:rPr>
        <w:t>提交调度机构。</w:t>
      </w:r>
    </w:p>
    <w:p>
      <w:pPr>
        <w:pStyle w:val="29"/>
        <w:spacing w:before="156" w:after="156"/>
        <w:ind w:firstLine="643"/>
        <w:rPr>
          <w:highlight w:val="none"/>
        </w:rPr>
      </w:pPr>
      <w:bookmarkStart w:id="26" w:name="_Toc27404"/>
      <w:bookmarkStart w:id="27" w:name="_Toc22991"/>
      <w:r>
        <w:rPr>
          <w:rFonts w:hint="eastAsia"/>
          <w:highlight w:val="none"/>
        </w:rPr>
        <w:t>中长期市场</w:t>
      </w:r>
      <w:bookmarkEnd w:id="26"/>
      <w:r>
        <w:rPr>
          <w:rFonts w:hint="eastAsia"/>
          <w:highlight w:val="none"/>
        </w:rPr>
        <w:t>交易合同（计划）的分解</w:t>
      </w:r>
      <w:bookmarkEnd w:id="27"/>
    </w:p>
    <w:p>
      <w:pPr>
        <w:pStyle w:val="32"/>
        <w:spacing w:before="156" w:after="156"/>
        <w:ind w:firstLine="643"/>
        <w:rPr>
          <w:highlight w:val="none"/>
        </w:rPr>
      </w:pPr>
      <w:bookmarkStart w:id="28" w:name="_Toc23472"/>
      <w:r>
        <w:rPr>
          <w:rFonts w:hint="eastAsia"/>
          <w:highlight w:val="none"/>
        </w:rPr>
        <w:t>省间中长期交易合同（计划）的分解</w:t>
      </w:r>
      <w:bookmarkEnd w:id="28"/>
    </w:p>
    <w:p>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省间中长期交易</w:t>
      </w:r>
      <w:r>
        <w:rPr>
          <w:rFonts w:hint="eastAsia" w:ascii="仿宋_GB2312" w:hAnsi="仿宋_GB2312" w:eastAsia="仿宋_GB2312" w:cs="仿宋_GB2312"/>
          <w:sz w:val="32"/>
          <w:szCs w:val="32"/>
          <w:highlight w:val="none"/>
          <w:lang w:val="en-US" w:eastAsia="zh-CN"/>
        </w:rPr>
        <w:t>按交易合同约定曲线执行。</w:t>
      </w:r>
    </w:p>
    <w:p>
      <w:pPr>
        <w:pStyle w:val="32"/>
        <w:spacing w:before="156" w:after="156"/>
        <w:ind w:firstLine="643"/>
        <w:rPr>
          <w:highlight w:val="none"/>
        </w:rPr>
      </w:pPr>
      <w:bookmarkStart w:id="29" w:name="_Toc27195"/>
      <w:r>
        <w:rPr>
          <w:rFonts w:hint="eastAsia"/>
          <w:highlight w:val="none"/>
        </w:rPr>
        <w:t>省内中长期交易电量的曲线分解</w:t>
      </w:r>
      <w:bookmarkEnd w:id="29"/>
    </w:p>
    <w:p>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省内中长期交易合同（计划）电量分解包括发电侧交易电量分解和用电侧交易电量分解。</w:t>
      </w:r>
    </w:p>
    <w:p>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发电侧交易电量分解包括非现货市场机组和现货市场机组的交易合同（计划）电量分解。</w:t>
      </w:r>
    </w:p>
    <w:p>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用电侧交易电量分解包括市场交易电量（含电网企业代理购电）的分解。</w:t>
      </w:r>
    </w:p>
    <w:p>
      <w:pPr>
        <w:pStyle w:val="33"/>
        <w:spacing w:before="156" w:after="156"/>
        <w:ind w:firstLine="643"/>
        <w:rPr>
          <w:highlight w:val="none"/>
        </w:rPr>
      </w:pPr>
      <w:bookmarkStart w:id="30" w:name="_Toc1476"/>
      <w:bookmarkStart w:id="31" w:name="_Toc28539"/>
      <w:r>
        <w:rPr>
          <w:rFonts w:hint="eastAsia"/>
          <w:highlight w:val="none"/>
        </w:rPr>
        <w:t>省内发电侧合同（计划）的曲线分解</w:t>
      </w:r>
      <w:bookmarkEnd w:id="30"/>
      <w:bookmarkEnd w:id="31"/>
    </w:p>
    <w:p>
      <w:pPr>
        <w:pStyle w:val="34"/>
        <w:spacing w:before="156" w:after="156"/>
        <w:ind w:firstLine="643"/>
        <w:rPr>
          <w:highlight w:val="none"/>
        </w:rPr>
      </w:pPr>
      <w:r>
        <w:rPr>
          <w:rFonts w:hint="eastAsia"/>
          <w:highlight w:val="none"/>
        </w:rPr>
        <w:t>非现货市场机组曲线分解</w:t>
      </w:r>
    </w:p>
    <w:p>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对于省内非现货市场机组，由调度机构根据</w:t>
      </w:r>
      <w:r>
        <w:rPr>
          <w:rFonts w:hint="eastAsia" w:ascii="仿宋_GB2312" w:hAnsi="仿宋_GB2312" w:eastAsia="仿宋_GB2312" w:cs="仿宋_GB2312"/>
          <w:sz w:val="32"/>
          <w:szCs w:val="32"/>
          <w:highlight w:val="none"/>
          <w:lang w:val="en-US" w:eastAsia="zh-CN"/>
        </w:rPr>
        <w:t>负荷预测和电力供需平衡</w:t>
      </w:r>
      <w:r>
        <w:rPr>
          <w:rFonts w:hint="eastAsia" w:ascii="仿宋_GB2312" w:hAnsi="仿宋_GB2312" w:eastAsia="仿宋_GB2312" w:cs="仿宋_GB2312"/>
          <w:sz w:val="32"/>
          <w:szCs w:val="32"/>
          <w:highlight w:val="none"/>
        </w:rPr>
        <w:t>需要等相关要求，分解形成日96个时段分时曲线。若非现货市场机组参与省内中长期交易，则按</w:t>
      </w:r>
      <w:r>
        <w:rPr>
          <w:rFonts w:hint="eastAsia" w:ascii="仿宋_GB2312" w:hAnsi="仿宋_GB2312" w:eastAsia="仿宋_GB2312" w:cs="仿宋_GB2312"/>
          <w:bCs/>
          <w:sz w:val="32"/>
          <w:szCs w:val="32"/>
          <w:highlight w:val="none"/>
        </w:rPr>
        <w:t>5.2.1.2执行。</w:t>
      </w:r>
    </w:p>
    <w:p>
      <w:pPr>
        <w:pStyle w:val="34"/>
        <w:spacing w:before="156" w:after="156"/>
        <w:ind w:firstLine="643"/>
        <w:rPr>
          <w:highlight w:val="none"/>
        </w:rPr>
      </w:pPr>
      <w:r>
        <w:rPr>
          <w:rFonts w:hint="eastAsia"/>
          <w:highlight w:val="none"/>
        </w:rPr>
        <w:t>现货市场机组曲线分解</w:t>
      </w:r>
    </w:p>
    <w:p>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对于省内现货市场机组，在</w:t>
      </w:r>
      <w:r>
        <w:rPr>
          <w:rFonts w:hint="eastAsia" w:ascii="仿宋_GB2312" w:hAnsi="仿宋_GB2312" w:eastAsia="仿宋_GB2312" w:cs="仿宋_GB2312"/>
          <w:sz w:val="32"/>
          <w:szCs w:val="32"/>
          <w:highlight w:val="none"/>
          <w:lang w:val="en-US" w:eastAsia="zh-CN"/>
        </w:rPr>
        <w:t>中长期</w:t>
      </w:r>
      <w:r>
        <w:rPr>
          <w:rFonts w:hint="eastAsia" w:ascii="仿宋_GB2312" w:hAnsi="仿宋_GB2312" w:eastAsia="仿宋_GB2312" w:cs="仿宋_GB2312"/>
          <w:sz w:val="32"/>
          <w:szCs w:val="32"/>
          <w:highlight w:val="none"/>
        </w:rPr>
        <w:t>交易组织及合同签订时，应形成日</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个时段分时曲线：</w:t>
      </w:r>
    </w:p>
    <w:p>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（1）双边协商交易合约。对于年度和月（月内）双边协商交易电量，由购售双方自主协商交易电量、交易价格、双方自定义日</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个时段分时曲线，签订双边协商交易合约，报送交易机构。也可选取典型的交易曲线。</w:t>
      </w:r>
    </w:p>
    <w:p>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集中交易合约。对于年度和月（月内）集中交易电量，由交易机构通过交易平台组织开展日典型曲线品种的集中交易，购售双方可以自主选择日典型曲线品种。交易平台根据交易成交结果，按日典型曲线的分解类型自动分解形成日</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个时段分时曲线。</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（3）挂牌交易合约分解。对于年度和月（月内）挂牌交易：由交易机构通过交易平台统一开展，挂牌交易曲线可采用日典型曲线</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也可由挂牌方自行定义交易曲线</w:t>
      </w:r>
      <w:r>
        <w:rPr>
          <w:rFonts w:hint="eastAsia" w:ascii="仿宋_GB2312" w:hAnsi="仿宋_GB2312" w:eastAsia="仿宋_GB2312" w:cs="仿宋_GB2312"/>
          <w:sz w:val="32"/>
          <w:szCs w:val="32"/>
          <w:highlight w:val="none"/>
          <w:lang w:eastAsia="zh-CN"/>
        </w:rPr>
        <w:t>，经营主体</w:t>
      </w:r>
      <w:r>
        <w:rPr>
          <w:rFonts w:hint="eastAsia" w:ascii="仿宋_GB2312" w:hAnsi="仿宋_GB2312" w:eastAsia="仿宋_GB2312" w:cs="仿宋_GB2312"/>
          <w:sz w:val="32"/>
          <w:szCs w:val="32"/>
          <w:highlight w:val="none"/>
        </w:rPr>
        <w:t>通过挂牌、摘牌形成交易结果。交易平台根据交易成交结果，按日典型曲线的分解类型</w:t>
      </w:r>
      <w:r>
        <w:rPr>
          <w:rFonts w:hint="eastAsia" w:ascii="仿宋_GB2312" w:hAnsi="仿宋_GB2312" w:eastAsia="仿宋_GB2312" w:cs="仿宋_GB2312"/>
          <w:sz w:val="32"/>
          <w:szCs w:val="32"/>
          <w:highlight w:val="none"/>
          <w:lang w:val="en-US" w:eastAsia="zh-CN"/>
        </w:rPr>
        <w:t>或</w:t>
      </w:r>
      <w:r>
        <w:rPr>
          <w:rFonts w:hint="eastAsia" w:ascii="仿宋_GB2312" w:hAnsi="仿宋_GB2312" w:eastAsia="仿宋_GB2312" w:cs="仿宋_GB2312"/>
          <w:sz w:val="32"/>
          <w:szCs w:val="32"/>
          <w:highlight w:val="none"/>
        </w:rPr>
        <w:t>挂牌方自行定义交易曲线自动分解形成日</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个时段分时曲线。</w:t>
      </w:r>
    </w:p>
    <w:p>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对于省内现货市场机组已按电量成交未约定日</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个时段分时曲线的年度、月（月内）交易，由</w:t>
      </w:r>
      <w:r>
        <w:rPr>
          <w:rFonts w:hint="eastAsia" w:ascii="仿宋_GB2312" w:hAnsi="仿宋_GB2312" w:eastAsia="仿宋_GB2312" w:cs="仿宋_GB2312"/>
          <w:sz w:val="32"/>
          <w:szCs w:val="32"/>
          <w:highlight w:val="none"/>
          <w:lang w:eastAsia="zh-CN"/>
        </w:rPr>
        <w:t>经营主体</w:t>
      </w:r>
      <w:r>
        <w:rPr>
          <w:rFonts w:hint="eastAsia" w:ascii="仿宋_GB2312" w:hAnsi="仿宋_GB2312" w:eastAsia="仿宋_GB2312" w:cs="仿宋_GB2312"/>
          <w:sz w:val="32"/>
          <w:szCs w:val="32"/>
          <w:highlight w:val="none"/>
        </w:rPr>
        <w:t>将每个合约期内的电量按合约周期（天数）分解为日电量，根据不同的交易方式，双方协商约定或按典型曲线分解形成日</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个时段分时曲线</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分解电量之和不得超过已</w:t>
      </w:r>
      <w:r>
        <w:rPr>
          <w:rFonts w:hint="eastAsia" w:ascii="仿宋_GB2312" w:hAnsi="仿宋_GB2312" w:eastAsia="仿宋_GB2312" w:cs="仿宋_GB2312"/>
          <w:sz w:val="32"/>
          <w:szCs w:val="32"/>
          <w:highlight w:val="none"/>
        </w:rPr>
        <w:t>成交未约定日</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个时段分时曲线电量</w:t>
      </w:r>
      <w:r>
        <w:rPr>
          <w:rFonts w:hint="eastAsia" w:ascii="仿宋_GB2312" w:hAnsi="仿宋_GB2312" w:eastAsia="仿宋_GB2312" w:cs="仿宋_GB2312"/>
          <w:sz w:val="32"/>
          <w:szCs w:val="32"/>
          <w:highlight w:val="none"/>
          <w:lang w:val="en-US" w:eastAsia="zh-CN"/>
        </w:rPr>
        <w:t>之和</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经营主体</w:t>
      </w:r>
      <w:r>
        <w:rPr>
          <w:rFonts w:hint="eastAsia" w:ascii="仿宋_GB2312" w:hAnsi="仿宋_GB2312" w:eastAsia="仿宋_GB2312" w:cs="仿宋_GB2312"/>
          <w:sz w:val="32"/>
          <w:szCs w:val="32"/>
          <w:highlight w:val="none"/>
        </w:rPr>
        <w:t>可在规定时间内，选择确认一种典型曲线类型。</w:t>
      </w:r>
    </w:p>
    <w:p>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中长期交易合约典型分解曲线包括年度、月（月内）典型分解曲线，由电网企业根据省内市场化用户的负荷特性组织测算编制，经市场管理委员会审议，报经政府电力主管部门、监管机构批准后发布。</w:t>
      </w:r>
    </w:p>
    <w:p>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目前日</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个时段分时曲线暂设置六种形式：</w:t>
      </w:r>
    </w:p>
    <w:p>
      <w:pPr>
        <w:numPr>
          <w:ilvl w:val="0"/>
          <w:numId w:val="2"/>
        </w:num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全天平均曲线D1：将日电量平均分解，形成日</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个时段分时曲线。</w:t>
      </w:r>
    </w:p>
    <w:p>
      <w:pPr>
        <w:ind w:firstLine="640" w:firstLineChars="200"/>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）峰平谷曲线D</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：将日划分为</w:t>
      </w:r>
      <w:r>
        <w:rPr>
          <w:rFonts w:hint="eastAsia" w:ascii="仿宋_GB2312" w:hAnsi="仿宋_GB2312" w:eastAsia="仿宋_GB2312" w:cs="仿宋_GB2312"/>
          <w:sz w:val="32"/>
          <w:szCs w:val="32"/>
          <w:highlight w:val="none"/>
          <w:lang w:val="en-US" w:eastAsia="zh-CN"/>
        </w:rPr>
        <w:t>尖</w:t>
      </w:r>
      <w:r>
        <w:rPr>
          <w:rFonts w:hint="eastAsia" w:ascii="仿宋_GB2312" w:hAnsi="仿宋_GB2312" w:eastAsia="仿宋_GB2312" w:cs="仿宋_GB2312"/>
          <w:sz w:val="32"/>
          <w:szCs w:val="32"/>
          <w:highlight w:val="none"/>
        </w:rPr>
        <w:t>峰、</w:t>
      </w:r>
      <w:r>
        <w:rPr>
          <w:rFonts w:hint="eastAsia" w:ascii="仿宋_GB2312" w:hAnsi="仿宋_GB2312" w:eastAsia="仿宋_GB2312" w:cs="仿宋_GB2312"/>
          <w:sz w:val="32"/>
          <w:szCs w:val="32"/>
          <w:highlight w:val="none"/>
          <w:lang w:val="en-US" w:eastAsia="zh-CN"/>
        </w:rPr>
        <w:t>高峰、</w:t>
      </w:r>
      <w:r>
        <w:rPr>
          <w:rFonts w:hint="eastAsia" w:ascii="仿宋_GB2312" w:hAnsi="仿宋_GB2312" w:eastAsia="仿宋_GB2312" w:cs="仿宋_GB2312"/>
          <w:sz w:val="32"/>
          <w:szCs w:val="32"/>
          <w:highlight w:val="none"/>
        </w:rPr>
        <w:t>平段和</w:t>
      </w:r>
      <w:r>
        <w:rPr>
          <w:rFonts w:hint="eastAsia" w:ascii="仿宋_GB2312" w:hAnsi="仿宋_GB2312" w:eastAsia="仿宋_GB2312" w:cs="仿宋_GB2312"/>
          <w:sz w:val="32"/>
          <w:szCs w:val="32"/>
          <w:highlight w:val="none"/>
          <w:lang w:val="en-US" w:eastAsia="zh-CN"/>
        </w:rPr>
        <w:t>低</w:t>
      </w:r>
      <w:r>
        <w:rPr>
          <w:rFonts w:hint="eastAsia" w:ascii="仿宋_GB2312" w:hAnsi="仿宋_GB2312" w:eastAsia="仿宋_GB2312" w:cs="仿宋_GB2312"/>
          <w:sz w:val="32"/>
          <w:szCs w:val="32"/>
          <w:highlight w:val="none"/>
        </w:rPr>
        <w:t>谷</w:t>
      </w:r>
      <w:r>
        <w:rPr>
          <w:rFonts w:hint="eastAsia" w:ascii="仿宋_GB2312" w:hAnsi="仿宋_GB2312" w:eastAsia="仿宋_GB2312" w:cs="仿宋_GB2312"/>
          <w:sz w:val="32"/>
          <w:szCs w:val="32"/>
          <w:highlight w:val="none"/>
          <w:lang w:val="en-US" w:eastAsia="zh-CN"/>
        </w:rPr>
        <w:t>四个时</w:t>
      </w:r>
      <w:r>
        <w:rPr>
          <w:rFonts w:hint="eastAsia" w:ascii="仿宋_GB2312" w:hAnsi="仿宋_GB2312" w:eastAsia="仿宋_GB2312" w:cs="仿宋_GB2312"/>
          <w:sz w:val="32"/>
          <w:szCs w:val="32"/>
          <w:highlight w:val="none"/>
        </w:rPr>
        <w:t>段，根据</w:t>
      </w:r>
      <w:r>
        <w:rPr>
          <w:rFonts w:hint="eastAsia" w:ascii="仿宋_GB2312" w:hAnsi="仿宋_GB2312" w:eastAsia="仿宋_GB2312" w:cs="仿宋_GB2312"/>
          <w:sz w:val="32"/>
          <w:szCs w:val="32"/>
          <w:highlight w:val="none"/>
          <w:lang w:val="en-US" w:eastAsia="zh-CN"/>
        </w:rPr>
        <w:t>电网</w:t>
      </w:r>
      <w:r>
        <w:rPr>
          <w:rFonts w:hint="eastAsia" w:ascii="仿宋_GB2312" w:hAnsi="仿宋_GB2312" w:eastAsia="仿宋_GB2312" w:cs="仿宋_GB2312"/>
          <w:sz w:val="32"/>
          <w:szCs w:val="32"/>
          <w:highlight w:val="none"/>
        </w:rPr>
        <w:t>历史负荷特性，确定</w:t>
      </w:r>
      <w:r>
        <w:rPr>
          <w:rFonts w:hint="eastAsia" w:ascii="仿宋_GB2312" w:hAnsi="仿宋_GB2312" w:eastAsia="仿宋_GB2312" w:cs="仿宋_GB2312"/>
          <w:sz w:val="32"/>
          <w:szCs w:val="32"/>
          <w:highlight w:val="none"/>
          <w:lang w:val="en-US" w:eastAsia="zh-CN"/>
        </w:rPr>
        <w:t>各时</w:t>
      </w:r>
      <w:r>
        <w:rPr>
          <w:rFonts w:hint="eastAsia" w:ascii="仿宋_GB2312" w:hAnsi="仿宋_GB2312" w:eastAsia="仿宋_GB2312" w:cs="仿宋_GB2312"/>
          <w:sz w:val="32"/>
          <w:szCs w:val="32"/>
          <w:highlight w:val="none"/>
        </w:rPr>
        <w:t>段负荷比例，将日电量分解为日</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个时段分时曲线。按照工作日、非工作日分别形成日</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个时段分时曲线。</w:t>
      </w:r>
    </w:p>
    <w:p>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）尖峰时段曲线D</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：将日电量平均分解至尖峰时段，其余时段为零，形成日</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个时段分时曲线。</w:t>
      </w:r>
    </w:p>
    <w:p>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）高峰时段曲线D</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：将日电量平均分解至</w:t>
      </w:r>
      <w:r>
        <w:rPr>
          <w:rFonts w:hint="eastAsia" w:ascii="仿宋_GB2312" w:hAnsi="仿宋_GB2312" w:eastAsia="仿宋_GB2312" w:cs="仿宋_GB2312"/>
          <w:sz w:val="32"/>
          <w:szCs w:val="32"/>
          <w:highlight w:val="none"/>
          <w:lang w:val="en-US" w:eastAsia="zh-CN"/>
        </w:rPr>
        <w:t>高</w:t>
      </w:r>
      <w:r>
        <w:rPr>
          <w:rFonts w:hint="eastAsia" w:ascii="仿宋_GB2312" w:hAnsi="仿宋_GB2312" w:eastAsia="仿宋_GB2312" w:cs="仿宋_GB2312"/>
          <w:sz w:val="32"/>
          <w:szCs w:val="32"/>
          <w:highlight w:val="none"/>
        </w:rPr>
        <w:t>峰</w:t>
      </w:r>
      <w:r>
        <w:rPr>
          <w:rFonts w:hint="eastAsia" w:ascii="仿宋_GB2312" w:hAnsi="仿宋_GB2312" w:eastAsia="仿宋_GB2312" w:cs="仿宋_GB2312"/>
          <w:sz w:val="32"/>
          <w:szCs w:val="32"/>
          <w:highlight w:val="none"/>
          <w:lang w:val="en-US" w:eastAsia="zh-CN"/>
        </w:rPr>
        <w:t>时</w:t>
      </w:r>
      <w:r>
        <w:rPr>
          <w:rFonts w:hint="eastAsia" w:ascii="仿宋_GB2312" w:hAnsi="仿宋_GB2312" w:eastAsia="仿宋_GB2312" w:cs="仿宋_GB2312"/>
          <w:sz w:val="32"/>
          <w:szCs w:val="32"/>
          <w:highlight w:val="none"/>
        </w:rPr>
        <w:t>段，其余时段为零，形成日</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个时段分时曲线。</w:t>
      </w:r>
    </w:p>
    <w:p>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）平段曲线D</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：将日电量平均分解至平段，其余时段为零，形成日</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个时段分时曲线。</w:t>
      </w:r>
    </w:p>
    <w:p>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）低谷时段曲线D</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：将日电量平均分解至低谷时段，其余时段为零，形成日</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个时段分时曲线。</w:t>
      </w:r>
    </w:p>
    <w:p>
      <w:pPr>
        <w:pStyle w:val="33"/>
        <w:spacing w:before="156" w:after="156"/>
        <w:ind w:firstLine="643"/>
        <w:rPr>
          <w:highlight w:val="none"/>
        </w:rPr>
      </w:pPr>
      <w:bookmarkStart w:id="32" w:name="_Toc4766"/>
      <w:bookmarkStart w:id="33" w:name="_Toc21582"/>
      <w:r>
        <w:rPr>
          <w:rFonts w:hint="eastAsia"/>
          <w:highlight w:val="none"/>
        </w:rPr>
        <w:t>用电侧合同（计划）电量的分解</w:t>
      </w:r>
      <w:bookmarkEnd w:id="32"/>
      <w:bookmarkEnd w:id="33"/>
    </w:p>
    <w:p>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对于省内市场交易合同电量，分解方法同5.2.1.2。</w:t>
      </w:r>
    </w:p>
    <w:p>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对于已按电量成交未约定日</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个时段分时曲线的年度、月（月内）交易，分解方法同5.2.1.2。</w:t>
      </w:r>
    </w:p>
    <w:sectPr>
      <w:footerReference r:id="rId6" w:type="first"/>
      <w:footerReference r:id="rId5"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6469507"/>
    </w:sdtPr>
    <w:sdtContent>
      <w:p>
        <w:pPr>
          <w:pStyle w:val="7"/>
          <w:jc w:val="center"/>
        </w:pPr>
        <w:r>
          <w:fldChar w:fldCharType="begin"/>
        </w:r>
        <w:r>
          <w:instrText xml:space="preserve">PAGE   \* MERGEFORMAT</w:instrText>
        </w:r>
        <w:r>
          <w:fldChar w:fldCharType="separate"/>
        </w:r>
        <w:r>
          <w:rPr>
            <w:lang w:val="zh-CN"/>
          </w:rPr>
          <w:t>5</w:t>
        </w:r>
        <w:r>
          <w:fldChar w:fldCharType="end"/>
        </w:r>
      </w:p>
    </w:sdtContent>
  </w:sdt>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3229290"/>
    </w:sdtPr>
    <w:sdtContent>
      <w:p>
        <w:pPr>
          <w:pStyle w:val="7"/>
          <w:jc w:val="center"/>
        </w:pPr>
        <w:r>
          <w:fldChar w:fldCharType="begin"/>
        </w:r>
        <w:r>
          <w:instrText xml:space="preserve">PAGE   \* MERGEFORMAT</w:instrText>
        </w:r>
        <w:r>
          <w:fldChar w:fldCharType="separate"/>
        </w:r>
        <w:r>
          <w:rPr>
            <w:lang w:val="zh-CN"/>
          </w:rPr>
          <w:t>1</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0F46E3"/>
    <w:multiLevelType w:val="multilevel"/>
    <w:tmpl w:val="470F46E3"/>
    <w:lvl w:ilvl="0" w:tentative="0">
      <w:start w:val="1"/>
      <w:numFmt w:val="decimal"/>
      <w:pStyle w:val="29"/>
      <w:lvlText w:val="%1."/>
      <w:lvlJc w:val="left"/>
      <w:pPr>
        <w:ind w:left="425" w:hanging="425"/>
      </w:pPr>
      <w:rPr>
        <w:rFonts w:hint="default" w:ascii="仿宋_GB2312" w:hAnsi="仿宋_GB2312" w:eastAsia="仿宋_GB2312" w:cs="仿宋_GB2312"/>
        <w:sz w:val="32"/>
        <w:szCs w:val="32"/>
      </w:rPr>
    </w:lvl>
    <w:lvl w:ilvl="1" w:tentative="0">
      <w:start w:val="1"/>
      <w:numFmt w:val="decimal"/>
      <w:pStyle w:val="32"/>
      <w:lvlText w:val="%1.%2"/>
      <w:lvlJc w:val="left"/>
      <w:pPr>
        <w:ind w:left="992" w:hanging="567"/>
      </w:pPr>
      <w:rPr>
        <w:rFonts w:hint="default" w:ascii="仿宋_GB2312" w:hAnsi="仿宋_GB2312" w:eastAsia="仿宋_GB2312" w:cs="仿宋_GB2312"/>
        <w:sz w:val="32"/>
        <w:szCs w:val="32"/>
      </w:rPr>
    </w:lvl>
    <w:lvl w:ilvl="2" w:tentative="0">
      <w:start w:val="1"/>
      <w:numFmt w:val="decimal"/>
      <w:pStyle w:val="33"/>
      <w:lvlText w:val="%1.%2.%3"/>
      <w:lvlJc w:val="left"/>
      <w:pPr>
        <w:ind w:left="1418" w:hanging="567"/>
      </w:pPr>
      <w:rPr>
        <w:rFonts w:hint="default" w:ascii="仿宋_GB2312" w:hAnsi="仿宋_GB2312" w:eastAsia="仿宋_GB2312" w:cs="仿宋_GB2312"/>
        <w:sz w:val="32"/>
        <w:szCs w:val="32"/>
      </w:rPr>
    </w:lvl>
    <w:lvl w:ilvl="3" w:tentative="0">
      <w:start w:val="1"/>
      <w:numFmt w:val="decimal"/>
      <w:pStyle w:val="34"/>
      <w:lvlText w:val="%1.%2.%3.%4"/>
      <w:lvlJc w:val="left"/>
      <w:pPr>
        <w:ind w:left="1984" w:hanging="708"/>
      </w:pPr>
      <w:rPr>
        <w:rFonts w:hint="default" w:ascii="仿宋_GB2312" w:hAnsi="仿宋_GB2312" w:eastAsia="仿宋_GB2312" w:cs="仿宋_GB2312"/>
        <w:b/>
        <w:bCs/>
        <w:sz w:val="32"/>
        <w:szCs w:val="32"/>
      </w:rPr>
    </w:lvl>
    <w:lvl w:ilvl="4" w:tentative="0">
      <w:start w:val="1"/>
      <w:numFmt w:val="decimal"/>
      <w:lvlText w:val="%1.%2.%3.%4.%5"/>
      <w:lvlJc w:val="left"/>
      <w:pPr>
        <w:ind w:left="2551" w:hanging="850"/>
      </w:pPr>
      <w:rPr>
        <w:rFonts w:hint="default" w:ascii="仿宋_GB2312" w:hAnsi="仿宋_GB2312" w:eastAsia="仿宋_GB2312" w:cs="仿宋_GB2312"/>
        <w:sz w:val="32"/>
        <w:szCs w:val="32"/>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5D75BB65"/>
    <w:multiLevelType w:val="singleLevel"/>
    <w:tmpl w:val="5D75BB6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307F77"/>
    <w:rsid w:val="0001679A"/>
    <w:rsid w:val="000240A7"/>
    <w:rsid w:val="000364FC"/>
    <w:rsid w:val="00036617"/>
    <w:rsid w:val="00037F4A"/>
    <w:rsid w:val="000430A9"/>
    <w:rsid w:val="000453C9"/>
    <w:rsid w:val="00061FC2"/>
    <w:rsid w:val="00084512"/>
    <w:rsid w:val="000B0E9B"/>
    <w:rsid w:val="000B716D"/>
    <w:rsid w:val="000C1F83"/>
    <w:rsid w:val="000E13C1"/>
    <w:rsid w:val="000E4148"/>
    <w:rsid w:val="000F1AB4"/>
    <w:rsid w:val="000F2C4A"/>
    <w:rsid w:val="000F34E8"/>
    <w:rsid w:val="000F3667"/>
    <w:rsid w:val="000F4E15"/>
    <w:rsid w:val="000F57D3"/>
    <w:rsid w:val="00142312"/>
    <w:rsid w:val="0015361B"/>
    <w:rsid w:val="0017639C"/>
    <w:rsid w:val="00177837"/>
    <w:rsid w:val="001A526C"/>
    <w:rsid w:val="001B099B"/>
    <w:rsid w:val="001C3BEE"/>
    <w:rsid w:val="001D4B29"/>
    <w:rsid w:val="001D5651"/>
    <w:rsid w:val="001E01A0"/>
    <w:rsid w:val="00207A6F"/>
    <w:rsid w:val="00210126"/>
    <w:rsid w:val="00211EEC"/>
    <w:rsid w:val="00230435"/>
    <w:rsid w:val="00232F5A"/>
    <w:rsid w:val="0023666E"/>
    <w:rsid w:val="00237127"/>
    <w:rsid w:val="00237C88"/>
    <w:rsid w:val="002816EF"/>
    <w:rsid w:val="00282606"/>
    <w:rsid w:val="00291310"/>
    <w:rsid w:val="002A2DCE"/>
    <w:rsid w:val="002C08D0"/>
    <w:rsid w:val="002C290F"/>
    <w:rsid w:val="002D102E"/>
    <w:rsid w:val="002E24B3"/>
    <w:rsid w:val="002E4185"/>
    <w:rsid w:val="002E53DB"/>
    <w:rsid w:val="00307F77"/>
    <w:rsid w:val="00312D96"/>
    <w:rsid w:val="00314723"/>
    <w:rsid w:val="00317B5A"/>
    <w:rsid w:val="00326BE4"/>
    <w:rsid w:val="0035310B"/>
    <w:rsid w:val="00362E97"/>
    <w:rsid w:val="0036718D"/>
    <w:rsid w:val="003674A0"/>
    <w:rsid w:val="00391D6D"/>
    <w:rsid w:val="00393152"/>
    <w:rsid w:val="003933D2"/>
    <w:rsid w:val="00396B47"/>
    <w:rsid w:val="003A3F97"/>
    <w:rsid w:val="003A5EDD"/>
    <w:rsid w:val="003D1D1D"/>
    <w:rsid w:val="003D208E"/>
    <w:rsid w:val="003D2462"/>
    <w:rsid w:val="003D52C8"/>
    <w:rsid w:val="003F6930"/>
    <w:rsid w:val="004152E7"/>
    <w:rsid w:val="004164EA"/>
    <w:rsid w:val="00416948"/>
    <w:rsid w:val="00420A48"/>
    <w:rsid w:val="004210DC"/>
    <w:rsid w:val="00453B20"/>
    <w:rsid w:val="004562A3"/>
    <w:rsid w:val="00461005"/>
    <w:rsid w:val="004B1C76"/>
    <w:rsid w:val="004C0435"/>
    <w:rsid w:val="004C076C"/>
    <w:rsid w:val="004C1570"/>
    <w:rsid w:val="004C1F7B"/>
    <w:rsid w:val="004D3560"/>
    <w:rsid w:val="005303C5"/>
    <w:rsid w:val="00530BCA"/>
    <w:rsid w:val="005332EF"/>
    <w:rsid w:val="005460D5"/>
    <w:rsid w:val="00556157"/>
    <w:rsid w:val="005568BB"/>
    <w:rsid w:val="00575422"/>
    <w:rsid w:val="0057567E"/>
    <w:rsid w:val="00585B2F"/>
    <w:rsid w:val="005902FF"/>
    <w:rsid w:val="005D778F"/>
    <w:rsid w:val="005E214D"/>
    <w:rsid w:val="005E3BF5"/>
    <w:rsid w:val="00603EC3"/>
    <w:rsid w:val="00604EEA"/>
    <w:rsid w:val="00606773"/>
    <w:rsid w:val="00607D46"/>
    <w:rsid w:val="0061010D"/>
    <w:rsid w:val="006172ED"/>
    <w:rsid w:val="00642FD1"/>
    <w:rsid w:val="00651143"/>
    <w:rsid w:val="0065295E"/>
    <w:rsid w:val="00654B42"/>
    <w:rsid w:val="006929EA"/>
    <w:rsid w:val="0069587E"/>
    <w:rsid w:val="00697B58"/>
    <w:rsid w:val="006C71ED"/>
    <w:rsid w:val="006D10B8"/>
    <w:rsid w:val="006D280D"/>
    <w:rsid w:val="006D371A"/>
    <w:rsid w:val="006D5D91"/>
    <w:rsid w:val="006D7207"/>
    <w:rsid w:val="00702984"/>
    <w:rsid w:val="00703EC5"/>
    <w:rsid w:val="00704A65"/>
    <w:rsid w:val="00705375"/>
    <w:rsid w:val="00723634"/>
    <w:rsid w:val="00727F9F"/>
    <w:rsid w:val="0073596E"/>
    <w:rsid w:val="00735B54"/>
    <w:rsid w:val="0075179A"/>
    <w:rsid w:val="0077087F"/>
    <w:rsid w:val="0078384F"/>
    <w:rsid w:val="00790DAA"/>
    <w:rsid w:val="00796D71"/>
    <w:rsid w:val="007A66E8"/>
    <w:rsid w:val="007A79E7"/>
    <w:rsid w:val="007B5315"/>
    <w:rsid w:val="007C7F2D"/>
    <w:rsid w:val="007D3A4D"/>
    <w:rsid w:val="007F11D0"/>
    <w:rsid w:val="007F632E"/>
    <w:rsid w:val="008100C3"/>
    <w:rsid w:val="00811693"/>
    <w:rsid w:val="008211D9"/>
    <w:rsid w:val="008452F6"/>
    <w:rsid w:val="00864BC7"/>
    <w:rsid w:val="00882F85"/>
    <w:rsid w:val="008A1EC0"/>
    <w:rsid w:val="008A215B"/>
    <w:rsid w:val="008B296C"/>
    <w:rsid w:val="008C6BF3"/>
    <w:rsid w:val="008D27C1"/>
    <w:rsid w:val="008E44EB"/>
    <w:rsid w:val="008E6FBE"/>
    <w:rsid w:val="008F605A"/>
    <w:rsid w:val="008F6EB4"/>
    <w:rsid w:val="008F6FFF"/>
    <w:rsid w:val="009035E1"/>
    <w:rsid w:val="00912620"/>
    <w:rsid w:val="0093213E"/>
    <w:rsid w:val="00945DBD"/>
    <w:rsid w:val="009468A2"/>
    <w:rsid w:val="009761B7"/>
    <w:rsid w:val="009824E7"/>
    <w:rsid w:val="00997633"/>
    <w:rsid w:val="009E0332"/>
    <w:rsid w:val="00A02961"/>
    <w:rsid w:val="00A05C1A"/>
    <w:rsid w:val="00A216C0"/>
    <w:rsid w:val="00A23A01"/>
    <w:rsid w:val="00A24956"/>
    <w:rsid w:val="00A30DB1"/>
    <w:rsid w:val="00A44E44"/>
    <w:rsid w:val="00A468BB"/>
    <w:rsid w:val="00A52D86"/>
    <w:rsid w:val="00A618B3"/>
    <w:rsid w:val="00A6710C"/>
    <w:rsid w:val="00A673E9"/>
    <w:rsid w:val="00A775F4"/>
    <w:rsid w:val="00A862DE"/>
    <w:rsid w:val="00A93813"/>
    <w:rsid w:val="00AA0AF9"/>
    <w:rsid w:val="00AA328B"/>
    <w:rsid w:val="00AD0E47"/>
    <w:rsid w:val="00AD749A"/>
    <w:rsid w:val="00AE2449"/>
    <w:rsid w:val="00AF4AF4"/>
    <w:rsid w:val="00AF6322"/>
    <w:rsid w:val="00B249C6"/>
    <w:rsid w:val="00B25E9E"/>
    <w:rsid w:val="00B26FA4"/>
    <w:rsid w:val="00B2767A"/>
    <w:rsid w:val="00B34C55"/>
    <w:rsid w:val="00B408CF"/>
    <w:rsid w:val="00B65E2E"/>
    <w:rsid w:val="00B764C0"/>
    <w:rsid w:val="00BC5624"/>
    <w:rsid w:val="00BD1817"/>
    <w:rsid w:val="00BF1B6D"/>
    <w:rsid w:val="00BF2F57"/>
    <w:rsid w:val="00BF77AF"/>
    <w:rsid w:val="00C00637"/>
    <w:rsid w:val="00C0368C"/>
    <w:rsid w:val="00C05FDF"/>
    <w:rsid w:val="00C12DC2"/>
    <w:rsid w:val="00C2341A"/>
    <w:rsid w:val="00C32E55"/>
    <w:rsid w:val="00C346AA"/>
    <w:rsid w:val="00C46334"/>
    <w:rsid w:val="00C61DC7"/>
    <w:rsid w:val="00C632DC"/>
    <w:rsid w:val="00C63B28"/>
    <w:rsid w:val="00C754F0"/>
    <w:rsid w:val="00C77D71"/>
    <w:rsid w:val="00C94750"/>
    <w:rsid w:val="00C94BA4"/>
    <w:rsid w:val="00C979A8"/>
    <w:rsid w:val="00CC2DF9"/>
    <w:rsid w:val="00CC5DC2"/>
    <w:rsid w:val="00CD0D48"/>
    <w:rsid w:val="00D14BB6"/>
    <w:rsid w:val="00D25D3C"/>
    <w:rsid w:val="00D300A0"/>
    <w:rsid w:val="00D451FE"/>
    <w:rsid w:val="00D53890"/>
    <w:rsid w:val="00D84C7A"/>
    <w:rsid w:val="00D85557"/>
    <w:rsid w:val="00DD2188"/>
    <w:rsid w:val="00DD2312"/>
    <w:rsid w:val="00DD5BD2"/>
    <w:rsid w:val="00DF181F"/>
    <w:rsid w:val="00DF4E9D"/>
    <w:rsid w:val="00E01E45"/>
    <w:rsid w:val="00E06CBA"/>
    <w:rsid w:val="00E13358"/>
    <w:rsid w:val="00E13D5E"/>
    <w:rsid w:val="00E159AC"/>
    <w:rsid w:val="00E21485"/>
    <w:rsid w:val="00E2154C"/>
    <w:rsid w:val="00E22E12"/>
    <w:rsid w:val="00E25358"/>
    <w:rsid w:val="00E26D06"/>
    <w:rsid w:val="00E27283"/>
    <w:rsid w:val="00E42D34"/>
    <w:rsid w:val="00E5107B"/>
    <w:rsid w:val="00E601D1"/>
    <w:rsid w:val="00E64550"/>
    <w:rsid w:val="00E65C6E"/>
    <w:rsid w:val="00E677D2"/>
    <w:rsid w:val="00E74849"/>
    <w:rsid w:val="00E805E6"/>
    <w:rsid w:val="00EA4529"/>
    <w:rsid w:val="00EA6C5C"/>
    <w:rsid w:val="00EB6A73"/>
    <w:rsid w:val="00EC5044"/>
    <w:rsid w:val="00ED22D3"/>
    <w:rsid w:val="00ED345C"/>
    <w:rsid w:val="00EE42C8"/>
    <w:rsid w:val="00EE6127"/>
    <w:rsid w:val="00EF2E26"/>
    <w:rsid w:val="00F07844"/>
    <w:rsid w:val="00F07D2B"/>
    <w:rsid w:val="00F30168"/>
    <w:rsid w:val="00F302C7"/>
    <w:rsid w:val="00F305C0"/>
    <w:rsid w:val="00F37BFC"/>
    <w:rsid w:val="00F47167"/>
    <w:rsid w:val="00F568C8"/>
    <w:rsid w:val="00F60F5D"/>
    <w:rsid w:val="00F649D4"/>
    <w:rsid w:val="00F64DBF"/>
    <w:rsid w:val="00F72E85"/>
    <w:rsid w:val="00F7694C"/>
    <w:rsid w:val="00F8448B"/>
    <w:rsid w:val="00F95F0E"/>
    <w:rsid w:val="00FA6251"/>
    <w:rsid w:val="00FA7506"/>
    <w:rsid w:val="00FB2780"/>
    <w:rsid w:val="00FB3FBE"/>
    <w:rsid w:val="00FB66CE"/>
    <w:rsid w:val="00FB7E4D"/>
    <w:rsid w:val="00FD22FA"/>
    <w:rsid w:val="00FF3A74"/>
    <w:rsid w:val="0291357C"/>
    <w:rsid w:val="02BB6CAE"/>
    <w:rsid w:val="04F46611"/>
    <w:rsid w:val="051E3526"/>
    <w:rsid w:val="056455A6"/>
    <w:rsid w:val="057D738F"/>
    <w:rsid w:val="06175239"/>
    <w:rsid w:val="0920590D"/>
    <w:rsid w:val="092F650B"/>
    <w:rsid w:val="0A87368A"/>
    <w:rsid w:val="0B662604"/>
    <w:rsid w:val="0B906904"/>
    <w:rsid w:val="0DAF598A"/>
    <w:rsid w:val="0E726BF1"/>
    <w:rsid w:val="0FAA6B80"/>
    <w:rsid w:val="14362B08"/>
    <w:rsid w:val="14C140E6"/>
    <w:rsid w:val="154115B9"/>
    <w:rsid w:val="155D7EA7"/>
    <w:rsid w:val="160C3D24"/>
    <w:rsid w:val="17037250"/>
    <w:rsid w:val="17E26326"/>
    <w:rsid w:val="18F34E14"/>
    <w:rsid w:val="1A907A38"/>
    <w:rsid w:val="1E142D65"/>
    <w:rsid w:val="1EEC572B"/>
    <w:rsid w:val="1F6C36C7"/>
    <w:rsid w:val="206E33E0"/>
    <w:rsid w:val="21A54F52"/>
    <w:rsid w:val="21D24696"/>
    <w:rsid w:val="22DA78DA"/>
    <w:rsid w:val="23A6657F"/>
    <w:rsid w:val="25F55F04"/>
    <w:rsid w:val="272519AF"/>
    <w:rsid w:val="29D33678"/>
    <w:rsid w:val="29F60228"/>
    <w:rsid w:val="2D1837CE"/>
    <w:rsid w:val="30340AF2"/>
    <w:rsid w:val="30E712FF"/>
    <w:rsid w:val="313875FC"/>
    <w:rsid w:val="31630EC3"/>
    <w:rsid w:val="32BA11AC"/>
    <w:rsid w:val="337B312D"/>
    <w:rsid w:val="33AB56A3"/>
    <w:rsid w:val="33E20CB6"/>
    <w:rsid w:val="342C07A9"/>
    <w:rsid w:val="360D5FDE"/>
    <w:rsid w:val="36703A6B"/>
    <w:rsid w:val="38A46BBC"/>
    <w:rsid w:val="393D3AE5"/>
    <w:rsid w:val="39A07186"/>
    <w:rsid w:val="3ACD7F54"/>
    <w:rsid w:val="3BAC1FDB"/>
    <w:rsid w:val="3D2E79E2"/>
    <w:rsid w:val="3DC82B80"/>
    <w:rsid w:val="3E326C1E"/>
    <w:rsid w:val="3ED24EF0"/>
    <w:rsid w:val="3FEA5238"/>
    <w:rsid w:val="413F1C8F"/>
    <w:rsid w:val="43135ED3"/>
    <w:rsid w:val="44281A27"/>
    <w:rsid w:val="447D23FC"/>
    <w:rsid w:val="44B05719"/>
    <w:rsid w:val="46920E4C"/>
    <w:rsid w:val="48054EE2"/>
    <w:rsid w:val="486F4478"/>
    <w:rsid w:val="498D1C3A"/>
    <w:rsid w:val="49BC0B66"/>
    <w:rsid w:val="4B1A53F0"/>
    <w:rsid w:val="4C465DD1"/>
    <w:rsid w:val="4C835A28"/>
    <w:rsid w:val="4D0A4F4C"/>
    <w:rsid w:val="50D005E8"/>
    <w:rsid w:val="50E42A17"/>
    <w:rsid w:val="522B6594"/>
    <w:rsid w:val="52731B36"/>
    <w:rsid w:val="5626066A"/>
    <w:rsid w:val="56A11D7D"/>
    <w:rsid w:val="586603B4"/>
    <w:rsid w:val="59545290"/>
    <w:rsid w:val="5A05715B"/>
    <w:rsid w:val="5BA55645"/>
    <w:rsid w:val="5DC9222C"/>
    <w:rsid w:val="5FEB2C03"/>
    <w:rsid w:val="60A20553"/>
    <w:rsid w:val="60CA14A6"/>
    <w:rsid w:val="61117019"/>
    <w:rsid w:val="6213686F"/>
    <w:rsid w:val="62325E03"/>
    <w:rsid w:val="634A5C9E"/>
    <w:rsid w:val="63EF4A2C"/>
    <w:rsid w:val="640C5C0D"/>
    <w:rsid w:val="643B3AB8"/>
    <w:rsid w:val="649B0BC8"/>
    <w:rsid w:val="64E07B68"/>
    <w:rsid w:val="69F76297"/>
    <w:rsid w:val="6AE20D2A"/>
    <w:rsid w:val="6C835CA0"/>
    <w:rsid w:val="6C997FBE"/>
    <w:rsid w:val="6CAA2801"/>
    <w:rsid w:val="6CD81CBF"/>
    <w:rsid w:val="6EA630E5"/>
    <w:rsid w:val="6F581DEA"/>
    <w:rsid w:val="6FC020D3"/>
    <w:rsid w:val="70063977"/>
    <w:rsid w:val="72FA325D"/>
    <w:rsid w:val="735E471F"/>
    <w:rsid w:val="76B63A69"/>
    <w:rsid w:val="77DA5317"/>
    <w:rsid w:val="78372848"/>
    <w:rsid w:val="7A0C7E57"/>
    <w:rsid w:val="7A884628"/>
    <w:rsid w:val="7C0454D0"/>
    <w:rsid w:val="7C104382"/>
    <w:rsid w:val="7D7A5565"/>
    <w:rsid w:val="7D827903"/>
    <w:rsid w:val="7D834D48"/>
    <w:rsid w:val="7E2C634E"/>
    <w:rsid w:val="7E2E3DF6"/>
    <w:rsid w:val="7F5232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rPr>
      <w:sz w:val="22"/>
    </w:rPr>
  </w:style>
  <w:style w:type="paragraph" w:styleId="3">
    <w:name w:val="annotation text"/>
    <w:basedOn w:val="1"/>
    <w:link w:val="19"/>
    <w:semiHidden/>
    <w:unhideWhenUsed/>
    <w:qFormat/>
    <w:uiPriority w:val="99"/>
    <w:pPr>
      <w:jc w:val="left"/>
    </w:pPr>
  </w:style>
  <w:style w:type="paragraph" w:styleId="4">
    <w:name w:val="toc 3"/>
    <w:basedOn w:val="1"/>
    <w:next w:val="1"/>
    <w:semiHidden/>
    <w:unhideWhenUsed/>
    <w:qFormat/>
    <w:uiPriority w:val="39"/>
    <w:pPr>
      <w:ind w:left="840" w:leftChars="400"/>
    </w:pPr>
  </w:style>
  <w:style w:type="paragraph" w:styleId="5">
    <w:name w:val="Date"/>
    <w:basedOn w:val="1"/>
    <w:next w:val="1"/>
    <w:link w:val="27"/>
    <w:semiHidden/>
    <w:unhideWhenUsed/>
    <w:qFormat/>
    <w:uiPriority w:val="99"/>
    <w:pPr>
      <w:ind w:left="100" w:leftChars="2500"/>
    </w:pPr>
  </w:style>
  <w:style w:type="paragraph" w:styleId="6">
    <w:name w:val="Balloon Text"/>
    <w:basedOn w:val="1"/>
    <w:link w:val="16"/>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paragraph" w:styleId="11">
    <w:name w:val="annotation subject"/>
    <w:basedOn w:val="3"/>
    <w:next w:val="3"/>
    <w:link w:val="21"/>
    <w:semiHidden/>
    <w:unhideWhenUsed/>
    <w:qFormat/>
    <w:uiPriority w:val="99"/>
    <w:rPr>
      <w:b/>
      <w:bCs/>
    </w:r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styleId="15">
    <w:name w:val="annotation reference"/>
    <w:basedOn w:val="13"/>
    <w:semiHidden/>
    <w:unhideWhenUsed/>
    <w:qFormat/>
    <w:uiPriority w:val="99"/>
    <w:rPr>
      <w:sz w:val="21"/>
      <w:szCs w:val="21"/>
    </w:rPr>
  </w:style>
  <w:style w:type="character" w:customStyle="1" w:styleId="16">
    <w:name w:val="批注框文本 字符"/>
    <w:basedOn w:val="13"/>
    <w:link w:val="6"/>
    <w:semiHidden/>
    <w:qFormat/>
    <w:uiPriority w:val="99"/>
    <w:rPr>
      <w:sz w:val="18"/>
      <w:szCs w:val="18"/>
    </w:rPr>
  </w:style>
  <w:style w:type="character" w:customStyle="1" w:styleId="17">
    <w:name w:val="页眉 字符"/>
    <w:basedOn w:val="13"/>
    <w:link w:val="8"/>
    <w:qFormat/>
    <w:uiPriority w:val="99"/>
    <w:rPr>
      <w:sz w:val="18"/>
      <w:szCs w:val="18"/>
    </w:rPr>
  </w:style>
  <w:style w:type="character" w:customStyle="1" w:styleId="18">
    <w:name w:val="页脚 字符"/>
    <w:basedOn w:val="13"/>
    <w:link w:val="7"/>
    <w:qFormat/>
    <w:uiPriority w:val="99"/>
    <w:rPr>
      <w:sz w:val="18"/>
      <w:szCs w:val="18"/>
    </w:rPr>
  </w:style>
  <w:style w:type="character" w:customStyle="1" w:styleId="19">
    <w:name w:val="批注文字 字符"/>
    <w:basedOn w:val="13"/>
    <w:link w:val="3"/>
    <w:semiHidden/>
    <w:qFormat/>
    <w:uiPriority w:val="99"/>
  </w:style>
  <w:style w:type="paragraph" w:styleId="20">
    <w:name w:val="List Paragraph"/>
    <w:basedOn w:val="1"/>
    <w:qFormat/>
    <w:uiPriority w:val="34"/>
    <w:pPr>
      <w:ind w:firstLine="420" w:firstLineChars="200"/>
    </w:pPr>
  </w:style>
  <w:style w:type="character" w:customStyle="1" w:styleId="21">
    <w:name w:val="批注主题 字符"/>
    <w:basedOn w:val="19"/>
    <w:link w:val="11"/>
    <w:semiHidden/>
    <w:qFormat/>
    <w:uiPriority w:val="99"/>
    <w:rPr>
      <w:b/>
      <w:bCs/>
    </w:rPr>
  </w:style>
  <w:style w:type="paragraph" w:customStyle="1" w:styleId="22">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3">
    <w:name w:val="fontstyle01"/>
    <w:basedOn w:val="13"/>
    <w:qFormat/>
    <w:uiPriority w:val="0"/>
    <w:rPr>
      <w:rFonts w:hint="eastAsia" w:ascii="Arial Unicode MS" w:hAnsi="Arial Unicode MS" w:eastAsia="Arial Unicode MS" w:cs="Arial Unicode MS"/>
      <w:color w:val="000000"/>
      <w:sz w:val="30"/>
      <w:szCs w:val="30"/>
    </w:rPr>
  </w:style>
  <w:style w:type="paragraph" w:customStyle="1" w:styleId="24">
    <w:name w:val="内容"/>
    <w:basedOn w:val="1"/>
    <w:link w:val="25"/>
    <w:qFormat/>
    <w:uiPriority w:val="0"/>
    <w:pPr>
      <w:tabs>
        <w:tab w:val="left" w:pos="0"/>
        <w:tab w:val="left" w:pos="1429"/>
        <w:tab w:val="left" w:pos="2268"/>
      </w:tabs>
      <w:ind w:firstLine="200" w:firstLineChars="200"/>
    </w:pPr>
    <w:rPr>
      <w:rFonts w:ascii="Times New Roman" w:hAnsi="Times New Roman" w:eastAsia="仿宋_GB2312" w:cs="Times New Roman"/>
      <w:sz w:val="32"/>
      <w:szCs w:val="32"/>
      <w:lang w:val="zh-CN"/>
    </w:rPr>
  </w:style>
  <w:style w:type="character" w:customStyle="1" w:styleId="25">
    <w:name w:val="内容 字符"/>
    <w:basedOn w:val="13"/>
    <w:link w:val="24"/>
    <w:qFormat/>
    <w:uiPriority w:val="0"/>
    <w:rPr>
      <w:rFonts w:ascii="Times New Roman" w:hAnsi="Times New Roman" w:eastAsia="仿宋_GB2312"/>
      <w:kern w:val="2"/>
      <w:sz w:val="32"/>
      <w:szCs w:val="32"/>
      <w:lang w:val="zh-CN"/>
    </w:rPr>
  </w:style>
  <w:style w:type="paragraph" w:customStyle="1" w:styleId="26">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7">
    <w:name w:val="日期 字符"/>
    <w:basedOn w:val="13"/>
    <w:link w:val="5"/>
    <w:semiHidden/>
    <w:qFormat/>
    <w:uiPriority w:val="99"/>
    <w:rPr>
      <w:rFonts w:asciiTheme="minorHAnsi" w:hAnsiTheme="minorHAnsi" w:eastAsiaTheme="minorEastAsia" w:cstheme="minorBidi"/>
      <w:kern w:val="2"/>
      <w:sz w:val="21"/>
      <w:szCs w:val="22"/>
    </w:rPr>
  </w:style>
  <w:style w:type="paragraph" w:customStyle="1" w:styleId="28">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9">
    <w:name w:val="一级标题"/>
    <w:basedOn w:val="30"/>
    <w:qFormat/>
    <w:uiPriority w:val="0"/>
    <w:pPr>
      <w:numPr>
        <w:ilvl w:val="0"/>
        <w:numId w:val="1"/>
      </w:numPr>
      <w:adjustRightInd w:val="0"/>
      <w:snapToGrid w:val="0"/>
      <w:spacing w:before="50" w:after="50" w:line="240" w:lineRule="auto"/>
      <w:ind w:left="0" w:firstLine="1040" w:firstLineChars="200"/>
      <w:jc w:val="left"/>
    </w:pPr>
    <w:rPr>
      <w:rFonts w:eastAsia="仿宋_GB2312"/>
      <w:b/>
    </w:rPr>
  </w:style>
  <w:style w:type="paragraph" w:customStyle="1" w:styleId="30">
    <w:name w:val="章"/>
    <w:basedOn w:val="1"/>
    <w:next w:val="31"/>
    <w:qFormat/>
    <w:uiPriority w:val="0"/>
    <w:pPr>
      <w:spacing w:beforeLines="50" w:afterLines="50" w:line="360" w:lineRule="auto"/>
      <w:jc w:val="center"/>
      <w:outlineLvl w:val="0"/>
    </w:pPr>
    <w:rPr>
      <w:rFonts w:ascii="Times New Roman" w:hAnsi="Times New Roman" w:eastAsia="黑体"/>
      <w:sz w:val="32"/>
    </w:rPr>
  </w:style>
  <w:style w:type="paragraph" w:customStyle="1" w:styleId="31">
    <w:name w:val="条"/>
    <w:basedOn w:val="1"/>
    <w:qFormat/>
    <w:uiPriority w:val="0"/>
    <w:pPr>
      <w:tabs>
        <w:tab w:val="left" w:pos="1986"/>
      </w:tabs>
    </w:pPr>
    <w:rPr>
      <w:rFonts w:ascii="仿宋" w:hAnsi="仿宋" w:eastAsia="仿宋"/>
      <w:sz w:val="32"/>
    </w:rPr>
  </w:style>
  <w:style w:type="paragraph" w:customStyle="1" w:styleId="32">
    <w:name w:val="二级标题"/>
    <w:basedOn w:val="29"/>
    <w:qFormat/>
    <w:uiPriority w:val="0"/>
    <w:pPr>
      <w:numPr>
        <w:ilvl w:val="1"/>
      </w:numPr>
      <w:ind w:left="0" w:firstLine="1040"/>
      <w:outlineLvl w:val="1"/>
    </w:pPr>
  </w:style>
  <w:style w:type="paragraph" w:customStyle="1" w:styleId="33">
    <w:name w:val="三级标题"/>
    <w:basedOn w:val="32"/>
    <w:qFormat/>
    <w:uiPriority w:val="0"/>
    <w:pPr>
      <w:numPr>
        <w:ilvl w:val="2"/>
      </w:numPr>
      <w:ind w:left="0"/>
      <w:outlineLvl w:val="2"/>
    </w:pPr>
  </w:style>
  <w:style w:type="paragraph" w:customStyle="1" w:styleId="34">
    <w:name w:val="四级标题"/>
    <w:basedOn w:val="33"/>
    <w:qFormat/>
    <w:uiPriority w:val="0"/>
    <w:pPr>
      <w:numPr>
        <w:ilvl w:val="3"/>
      </w:numPr>
      <w:ind w:left="0"/>
      <w:outlineLvl w:val="3"/>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1D6F6-C21E-438F-ABF2-F62A5A61882A}">
  <ds:schemaRefs/>
</ds:datastoreItem>
</file>

<file path=docProps/app.xml><?xml version="1.0" encoding="utf-8"?>
<Properties xmlns="http://schemas.openxmlformats.org/officeDocument/2006/extended-properties" xmlns:vt="http://schemas.openxmlformats.org/officeDocument/2006/docPropsVTypes">
  <Template>Normal.dotm</Template>
  <Company>HUNANSHENGDIANLI</Company>
  <Pages>7</Pages>
  <Words>415</Words>
  <Characters>2370</Characters>
  <Lines>19</Lines>
  <Paragraphs>5</Paragraphs>
  <TotalTime>14</TotalTime>
  <ScaleCrop>false</ScaleCrop>
  <LinksUpToDate>false</LinksUpToDate>
  <CharactersWithSpaces>2780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2022-04-11T06:39:00Z</dcterms:created>
  <dc:creator>YZ</dc:creator>
  <cp:lastModifiedBy>调度计划1</cp:lastModifiedBy>
  <cp:lastPrinted>2022-04-29T08:13:00Z</cp:lastPrinted>
  <dcterms:modified xsi:type="dcterms:W3CDTF">2023-10-24T09:43:32Z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1BDE6E5FCE8D446099E626013CEAE873</vt:lpwstr>
  </property>
</Properties>
</file>