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0" w:right="280"/>
        <w:jc w:val="center"/>
        <w:rPr>
          <w:rFonts w:ascii="仿宋_GB2312" w:hAnsi="仿宋_GB2312" w:cs="仿宋_GB2312"/>
          <w:b/>
          <w:color w:val="000000" w:themeColor="text1"/>
          <w14:textFill>
            <w14:solidFill>
              <w14:schemeClr w14:val="tx1"/>
            </w14:solidFill>
          </w14:textFill>
        </w:rPr>
      </w:pPr>
      <w:bookmarkStart w:id="72" w:name="_GoBack"/>
      <w:bookmarkEnd w:id="72"/>
    </w:p>
    <w:p>
      <w:pPr>
        <w:ind w:left="-280" w:right="280" w:firstLine="643"/>
        <w:jc w:val="center"/>
        <w:rPr>
          <w:rFonts w:ascii="仿宋_GB2312" w:hAnsi="仿宋_GB2312" w:cs="仿宋_GB2312"/>
          <w:b/>
          <w:color w:val="000000" w:themeColor="text1"/>
          <w14:textFill>
            <w14:solidFill>
              <w14:schemeClr w14:val="tx1"/>
            </w14:solidFill>
          </w14:textFill>
        </w:rPr>
      </w:pPr>
    </w:p>
    <w:p>
      <w:pPr>
        <w:ind w:left="-280" w:right="280" w:firstLine="643"/>
        <w:jc w:val="center"/>
        <w:rPr>
          <w:rFonts w:ascii="仿宋_GB2312" w:hAnsi="仿宋_GB2312" w:cs="仿宋_GB2312"/>
          <w:b/>
          <w:color w:val="000000" w:themeColor="text1"/>
          <w14:textFill>
            <w14:solidFill>
              <w14:schemeClr w14:val="tx1"/>
            </w14:solidFill>
          </w14:textFill>
        </w:rPr>
      </w:pPr>
    </w:p>
    <w:p>
      <w:pPr>
        <w:ind w:left="-280" w:right="280" w:firstLine="643"/>
        <w:jc w:val="center"/>
        <w:rPr>
          <w:rFonts w:ascii="仿宋_GB2312" w:hAnsi="仿宋_GB2312" w:cs="仿宋_GB2312"/>
          <w:b/>
          <w:color w:val="000000" w:themeColor="text1"/>
          <w14:textFill>
            <w14:solidFill>
              <w14:schemeClr w14:val="tx1"/>
            </w14:solidFill>
          </w14:textFill>
        </w:rPr>
      </w:pPr>
    </w:p>
    <w:p>
      <w:pPr>
        <w:ind w:right="-58" w:firstLine="1040"/>
        <w:jc w:val="center"/>
        <w:rPr>
          <w:rFonts w:ascii="仿宋_GB2312" w:hAnsi="仿宋_GB2312" w:cs="仿宋_GB2312"/>
          <w:kern w:val="0"/>
          <w:sz w:val="52"/>
          <w:szCs w:val="22"/>
          <w:lang w:val="zh-CN"/>
        </w:rPr>
      </w:pPr>
    </w:p>
    <w:p>
      <w:pPr>
        <w:spacing w:line="560" w:lineRule="exact"/>
        <w:ind w:right="-58" w:firstLine="1040"/>
        <w:jc w:val="center"/>
        <w:rPr>
          <w:rFonts w:ascii="仿宋_GB2312" w:hAnsi="仿宋_GB2312" w:cs="仿宋_GB2312"/>
          <w:kern w:val="0"/>
          <w:sz w:val="52"/>
          <w:szCs w:val="22"/>
          <w:lang w:val="zh-CN"/>
        </w:rPr>
      </w:pPr>
    </w:p>
    <w:p>
      <w:pPr>
        <w:suppressAutoHyphens/>
        <w:spacing w:before="156" w:beforeLines="50"/>
        <w:ind w:firstLine="0" w:firstLineChars="0"/>
        <w:jc w:val="center"/>
        <w:rPr>
          <w:rFonts w:ascii="方正小标宋_GBK" w:hAnsi="方正小标宋_GBK" w:eastAsia="方正小标宋_GBK" w:cs="方正小标宋_GBK"/>
          <w:kern w:val="0"/>
          <w:sz w:val="52"/>
          <w:lang w:val="zh-CN"/>
        </w:rPr>
      </w:pPr>
      <w:r>
        <w:rPr>
          <w:rFonts w:hint="eastAsia" w:ascii="方正小标宋_GBK" w:hAnsi="方正小标宋_GBK" w:eastAsia="方正小标宋_GBK" w:cs="方正小标宋_GBK"/>
          <w:kern w:val="0"/>
          <w:sz w:val="52"/>
          <w:lang w:val="zh-CN"/>
        </w:rPr>
        <w:t>湖南省电力市场管理实施细则</w:t>
      </w:r>
    </w:p>
    <w:p>
      <w:pPr>
        <w:suppressAutoHyphens/>
        <w:spacing w:before="156" w:beforeLines="50"/>
        <w:ind w:firstLine="0" w:firstLineChars="0"/>
        <w:jc w:val="center"/>
        <w:rPr>
          <w:rFonts w:ascii="方正小标宋_GBK" w:hAnsi="方正小标宋_GBK" w:eastAsia="方正小标宋_GBK" w:cs="方正小标宋_GBK"/>
          <w:kern w:val="0"/>
          <w:sz w:val="52"/>
          <w:lang w:val="zh-CN"/>
        </w:rPr>
      </w:pPr>
      <w:r>
        <w:rPr>
          <w:rFonts w:hint="eastAsia" w:ascii="方正小标宋_GBK" w:hAnsi="方正小标宋_GBK" w:eastAsia="方正小标宋_GBK" w:cs="方正小标宋_GBK"/>
          <w:kern w:val="0"/>
          <w:sz w:val="52"/>
          <w:lang w:val="zh-CN"/>
        </w:rPr>
        <w:t>（</w:t>
      </w:r>
      <w:r>
        <w:rPr>
          <w:rFonts w:hint="eastAsia" w:ascii="方正小标宋_GBK" w:hAnsi="方正小标宋_GBK" w:eastAsia="方正小标宋_GBK" w:cs="方正小标宋_GBK"/>
          <w:kern w:val="0"/>
          <w:sz w:val="52"/>
        </w:rPr>
        <w:t>准入与退出</w:t>
      </w:r>
      <w:r>
        <w:rPr>
          <w:rFonts w:hint="eastAsia" w:ascii="方正小标宋_GBK" w:hAnsi="方正小标宋_GBK" w:eastAsia="方正小标宋_GBK" w:cs="方正小标宋_GBK"/>
          <w:kern w:val="0"/>
          <w:sz w:val="52"/>
          <w:lang w:val="zh-CN"/>
        </w:rPr>
        <w:t>部分）</w:t>
      </w:r>
    </w:p>
    <w:p>
      <w:pPr>
        <w:suppressAutoHyphens/>
        <w:spacing w:before="156" w:beforeLines="50"/>
        <w:ind w:firstLine="0" w:firstLineChars="0"/>
        <w:jc w:val="center"/>
        <w:rPr>
          <w:rFonts w:ascii="方正小标宋_GBK" w:hAnsi="方正小标宋_GBK" w:eastAsia="方正小标宋_GBK" w:cs="方正小标宋_GBK"/>
          <w:kern w:val="0"/>
          <w:szCs w:val="32"/>
          <w:lang w:val="zh-CN"/>
        </w:rPr>
      </w:pPr>
      <w:r>
        <w:rPr>
          <w:rFonts w:hint="eastAsia" w:ascii="方正小标宋_GBK" w:hAnsi="方正小标宋_GBK" w:eastAsia="方正小标宋_GBK" w:cs="方正小标宋_GBK"/>
          <w:kern w:val="0"/>
          <w:szCs w:val="32"/>
          <w:lang w:val="zh-CN"/>
        </w:rPr>
        <w:t>（征求意见稿）</w:t>
      </w:r>
    </w:p>
    <w:p>
      <w:pPr>
        <w:spacing w:line="560" w:lineRule="exact"/>
        <w:ind w:right="-58" w:firstLine="1040"/>
        <w:jc w:val="center"/>
        <w:rPr>
          <w:rFonts w:ascii="方正小标宋_GBK" w:hAnsi="方正小标宋_GBK" w:eastAsia="方正小标宋_GBK" w:cs="方正小标宋_GBK"/>
          <w:kern w:val="0"/>
          <w:sz w:val="52"/>
          <w:szCs w:val="22"/>
          <w:lang w:val="zh-CN"/>
        </w:rPr>
      </w:pPr>
    </w:p>
    <w:p>
      <w:pPr>
        <w:spacing w:line="560" w:lineRule="exact"/>
        <w:ind w:left="-280" w:right="280" w:firstLine="643"/>
        <w:jc w:val="center"/>
        <w:rPr>
          <w:rFonts w:ascii="仿宋_GB2312" w:hAnsi="仿宋_GB2312" w:cs="仿宋_GB2312"/>
          <w:b/>
          <w:color w:val="000000" w:themeColor="text1"/>
          <w14:textFill>
            <w14:solidFill>
              <w14:schemeClr w14:val="tx1"/>
            </w14:solidFill>
          </w14:textFill>
        </w:rPr>
      </w:pPr>
    </w:p>
    <w:p>
      <w:pPr>
        <w:spacing w:line="560" w:lineRule="exact"/>
        <w:ind w:left="-280" w:right="280" w:firstLine="643"/>
        <w:jc w:val="center"/>
        <w:rPr>
          <w:rFonts w:ascii="仿宋_GB2312" w:hAnsi="仿宋_GB2312" w:cs="仿宋_GB2312"/>
          <w:b/>
          <w:color w:val="000000" w:themeColor="text1"/>
          <w14:textFill>
            <w14:solidFill>
              <w14:schemeClr w14:val="tx1"/>
            </w14:solidFill>
          </w14:textFill>
        </w:rPr>
      </w:pPr>
    </w:p>
    <w:p>
      <w:pPr>
        <w:spacing w:line="560" w:lineRule="exact"/>
        <w:ind w:left="-280" w:right="280" w:firstLine="643"/>
        <w:jc w:val="center"/>
        <w:rPr>
          <w:rFonts w:ascii="仿宋_GB2312" w:hAnsi="仿宋_GB2312" w:cs="仿宋_GB2312"/>
          <w:b/>
          <w:color w:val="000000" w:themeColor="text1"/>
          <w14:textFill>
            <w14:solidFill>
              <w14:schemeClr w14:val="tx1"/>
            </w14:solidFill>
          </w14:textFill>
        </w:rPr>
      </w:pPr>
    </w:p>
    <w:p>
      <w:pPr>
        <w:tabs>
          <w:tab w:val="center" w:pos="4309"/>
          <w:tab w:val="left" w:pos="7399"/>
        </w:tabs>
        <w:spacing w:before="156" w:beforeLines="50" w:line="560" w:lineRule="exact"/>
        <w:ind w:firstLine="800"/>
        <w:jc w:val="center"/>
        <w:rPr>
          <w:rFonts w:ascii="仿宋_GB2312" w:hAnsi="仿宋_GB2312" w:cs="仿宋_GB2312"/>
          <w:sz w:val="40"/>
        </w:rPr>
      </w:pPr>
    </w:p>
    <w:p>
      <w:pPr>
        <w:spacing w:line="560" w:lineRule="exact"/>
        <w:ind w:left="-280" w:right="280" w:firstLine="643"/>
        <w:jc w:val="center"/>
        <w:rPr>
          <w:rFonts w:ascii="仿宋_GB2312" w:hAnsi="仿宋_GB2312" w:cs="仿宋_GB2312"/>
          <w:b/>
          <w:color w:val="000000" w:themeColor="text1"/>
          <w:szCs w:val="28"/>
          <w:lang w:val="zh-CN"/>
          <w14:textFill>
            <w14:solidFill>
              <w14:schemeClr w14:val="tx1"/>
            </w14:solidFill>
          </w14:textFill>
        </w:rPr>
      </w:pPr>
    </w:p>
    <w:p>
      <w:pPr>
        <w:ind w:firstLine="0" w:firstLineChars="0"/>
        <w:jc w:val="center"/>
        <w:rPr>
          <w:rFonts w:ascii="宋体" w:hAnsi="宋体" w:eastAsia="宋体"/>
          <w:sz w:val="21"/>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3" w:bottom="1440" w:left="1803" w:header="851" w:footer="992" w:gutter="0"/>
          <w:pgNumType w:fmt="decimal" w:start="1"/>
          <w:cols w:space="0" w:num="1"/>
          <w:titlePg/>
          <w:docGrid w:type="lines" w:linePitch="312" w:charSpace="0"/>
        </w:sectPr>
      </w:pPr>
      <w:bookmarkStart w:id="0" w:name="_Toc450742657"/>
      <w:bookmarkEnd w:id="0"/>
      <w:bookmarkStart w:id="1" w:name="_Toc450742658"/>
      <w:bookmarkEnd w:id="1"/>
      <w:bookmarkStart w:id="2" w:name="_Toc450817663"/>
      <w:bookmarkEnd w:id="2"/>
      <w:bookmarkStart w:id="3" w:name="_Toc450742655"/>
      <w:bookmarkEnd w:id="3"/>
      <w:bookmarkStart w:id="4" w:name="_Toc450742500"/>
      <w:bookmarkEnd w:id="4"/>
      <w:bookmarkStart w:id="5" w:name="_Toc450817756"/>
      <w:bookmarkEnd w:id="5"/>
      <w:bookmarkStart w:id="6" w:name="_Toc450742735"/>
      <w:bookmarkEnd w:id="6"/>
      <w:bookmarkStart w:id="7" w:name="_Toc450742578"/>
      <w:bookmarkEnd w:id="7"/>
      <w:bookmarkStart w:id="8" w:name="_Toc450817662"/>
      <w:bookmarkEnd w:id="8"/>
      <w:bookmarkStart w:id="9" w:name="_Toc450742499"/>
      <w:bookmarkEnd w:id="9"/>
      <w:bookmarkStart w:id="10" w:name="_Toc450817661"/>
      <w:bookmarkEnd w:id="10"/>
      <w:bookmarkStart w:id="11" w:name="_Toc450817660"/>
      <w:bookmarkEnd w:id="11"/>
      <w:bookmarkStart w:id="12" w:name="_Toc450817754"/>
      <w:bookmarkEnd w:id="12"/>
      <w:bookmarkStart w:id="13" w:name="_Toc450817753"/>
      <w:bookmarkEnd w:id="13"/>
      <w:bookmarkStart w:id="14" w:name="_Toc450742501"/>
      <w:bookmarkEnd w:id="14"/>
      <w:bookmarkStart w:id="15" w:name="_Toc450742734"/>
      <w:bookmarkEnd w:id="15"/>
      <w:bookmarkStart w:id="16" w:name="_Toc450742732"/>
      <w:bookmarkEnd w:id="16"/>
      <w:bookmarkStart w:id="17" w:name="_Toc450817755"/>
      <w:bookmarkEnd w:id="17"/>
      <w:bookmarkStart w:id="18" w:name="_Toc450742580"/>
      <w:bookmarkEnd w:id="18"/>
      <w:bookmarkStart w:id="19" w:name="_Toc450742498"/>
      <w:bookmarkEnd w:id="19"/>
      <w:bookmarkStart w:id="20" w:name="_Toc450742656"/>
      <w:bookmarkEnd w:id="20"/>
      <w:bookmarkStart w:id="21" w:name="_Toc450742581"/>
      <w:bookmarkEnd w:id="21"/>
      <w:bookmarkStart w:id="22" w:name="_Toc450742733"/>
      <w:bookmarkEnd w:id="22"/>
      <w:bookmarkStart w:id="23" w:name="_Toc450742579"/>
      <w:bookmarkEnd w:id="23"/>
      <w:bookmarkStart w:id="24" w:name="_Toc69712710"/>
      <w:bookmarkStart w:id="25" w:name="_Toc18839"/>
      <w:bookmarkStart w:id="26" w:name="_Toc15112"/>
      <w:bookmarkStart w:id="27" w:name="_Toc9710"/>
      <w:bookmarkStart w:id="28" w:name="_Toc474356253"/>
      <w:bookmarkStart w:id="29" w:name="_Toc369"/>
      <w:bookmarkStart w:id="30" w:name="_Toc453164783"/>
      <w:bookmarkStart w:id="31" w:name="_Toc31099"/>
      <w:bookmarkStart w:id="32" w:name="_Toc474356250"/>
    </w:p>
    <w:sdt>
      <w:sdtPr>
        <w:rPr>
          <w:rFonts w:hint="eastAsia" w:ascii="仿宋_GB2312" w:hAnsi="仿宋_GB2312" w:eastAsia="仿宋_GB2312" w:cs="仿宋_GB2312"/>
          <w:sz w:val="44"/>
          <w:szCs w:val="44"/>
        </w:rPr>
        <w:id w:val="147483340"/>
        <w:docPartObj>
          <w:docPartGallery w:val="Table of Contents"/>
          <w:docPartUnique/>
        </w:docPartObj>
      </w:sdtPr>
      <w:sdtEndPr>
        <w:rPr>
          <w:rFonts w:hint="eastAsia" w:ascii="宋体" w:hAnsi="宋体" w:eastAsia="宋体" w:cs="仿宋_GB2312"/>
          <w:sz w:val="21"/>
          <w:szCs w:val="44"/>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z w:val="44"/>
              <w:szCs w:val="44"/>
              <w:lang w:val="en-US" w:eastAsia="zh-CN"/>
            </w:rPr>
            <w:t xml:space="preserve">  </w:t>
          </w:r>
          <w:r>
            <w:rPr>
              <w:rFonts w:hint="eastAsia" w:ascii="仿宋_GB2312" w:hAnsi="仿宋_GB2312" w:eastAsia="仿宋_GB2312" w:cs="仿宋_GB2312"/>
              <w:sz w:val="44"/>
              <w:szCs w:val="44"/>
            </w:rPr>
            <w:t>录</w:t>
          </w:r>
        </w:p>
        <w:p>
          <w:pPr>
            <w:pStyle w:val="23"/>
            <w:keepNext w:val="0"/>
            <w:keepLines w:val="0"/>
            <w:pageBreakBefore w:val="0"/>
            <w:widowControl w:val="0"/>
            <w:tabs>
              <w:tab w:val="right" w:leader="dot" w:pos="8733"/>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_Toc15486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 概述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_Toc15486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3"/>
            <w:keepNext w:val="0"/>
            <w:keepLines w:val="0"/>
            <w:pageBreakBefore w:val="0"/>
            <w:widowControl w:val="0"/>
            <w:tabs>
              <w:tab w:val="right" w:leader="dot" w:pos="8733"/>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_Toc29842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 准入条件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_Toc29842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_Toc20030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 基本准入条件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_Toc14709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 电力批发交易准入条件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3"/>
            <w:keepNext w:val="0"/>
            <w:keepLines w:val="0"/>
            <w:pageBreakBefore w:val="0"/>
            <w:widowControl w:val="0"/>
            <w:tabs>
              <w:tab w:val="right" w:leader="dot" w:pos="8733"/>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_Toc21837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 市场注册程序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_Toc22205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 市场注册原则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3.2 </w:t>
          </w:r>
          <w:r>
            <w:rPr>
              <w:rFonts w:hint="eastAsia" w:ascii="仿宋_GB2312" w:hAnsi="仿宋_GB2312" w:cs="仿宋_GB2312"/>
              <w:sz w:val="28"/>
              <w:szCs w:val="28"/>
              <w:lang w:eastAsia="zh-CN"/>
            </w:rPr>
            <w:t>经营主体</w:t>
          </w:r>
          <w:r>
            <w:rPr>
              <w:rFonts w:hint="eastAsia" w:ascii="仿宋_GB2312" w:hAnsi="仿宋_GB2312" w:eastAsia="仿宋_GB2312" w:cs="仿宋_GB2312"/>
              <w:sz w:val="28"/>
              <w:szCs w:val="28"/>
            </w:rPr>
            <w:t>承诺及注册流程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_Toc23685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 零售用户注册所需材料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_Toc23685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_Toc4528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 发电企业注册所需材料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_Toc22297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 批发市场电力用户注册所需材料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3.6 售电公司注册所需材料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_Toc11172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 拥有配电网运营权的售电公司还需提供材料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6"/>
            <w:keepNext w:val="0"/>
            <w:keepLines w:val="0"/>
            <w:pageBreakBefore w:val="0"/>
            <w:widowControl w:val="0"/>
            <w:tabs>
              <w:tab w:val="right" w:leader="dot" w:pos="8733"/>
            </w:tabs>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_Toc25941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 公示流程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3"/>
            <w:keepNext w:val="0"/>
            <w:keepLines w:val="0"/>
            <w:pageBreakBefore w:val="0"/>
            <w:widowControl w:val="0"/>
            <w:tabs>
              <w:tab w:val="right" w:leader="dot" w:pos="8733"/>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 注册信息变更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3"/>
            <w:keepNext w:val="0"/>
            <w:keepLines w:val="0"/>
            <w:pageBreakBefore w:val="0"/>
            <w:widowControl w:val="0"/>
            <w:tabs>
              <w:tab w:val="right" w:leader="dot" w:pos="8733"/>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_Toc19844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 市场退出管理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r>
            <w:rPr>
              <w:rFonts w:hint="eastAsia" w:ascii="仿宋_GB2312" w:hAnsi="仿宋_GB2312" w:eastAsia="仿宋_GB2312" w:cs="仿宋_GB2312"/>
              <w:sz w:val="28"/>
              <w:szCs w:val="28"/>
            </w:rPr>
            <w:fldChar w:fldCharType="end"/>
          </w:r>
        </w:p>
      </w:sdtContent>
    </w:sdt>
    <w:p>
      <w:pPr>
        <w:sectPr>
          <w:footerReference r:id="rId13" w:type="first"/>
          <w:footerReference r:id="rId11" w:type="default"/>
          <w:footerReference r:id="rId12" w:type="even"/>
          <w:pgSz w:w="11907" w:h="16840"/>
          <w:pgMar w:top="1984" w:right="1587" w:bottom="1814" w:left="1587" w:header="851" w:footer="992" w:gutter="0"/>
          <w:pgNumType w:fmt="decimal" w:start="1"/>
          <w:cols w:space="0" w:num="1"/>
          <w:docGrid w:type="lines" w:linePitch="312" w:charSpace="0"/>
        </w:sectPr>
      </w:pPr>
    </w:p>
    <w:p>
      <w:pPr>
        <w:pStyle w:val="101"/>
        <w:spacing w:before="156" w:after="156"/>
        <w:ind w:firstLine="643"/>
      </w:pPr>
      <w:bookmarkStart w:id="33" w:name="_Toc15486"/>
      <w:r>
        <w:rPr>
          <w:rFonts w:hint="eastAsia"/>
        </w:rPr>
        <w:t>概</w:t>
      </w:r>
      <w:bookmarkEnd w:id="24"/>
      <w:r>
        <w:rPr>
          <w:rFonts w:hint="eastAsia"/>
        </w:rPr>
        <w:t>述</w:t>
      </w:r>
      <w:bookmarkEnd w:id="25"/>
      <w:bookmarkEnd w:id="33"/>
    </w:p>
    <w:p>
      <w:pPr>
        <w:spacing w:line="560" w:lineRule="exact"/>
        <w:rPr>
          <w:rFonts w:hAnsi="仿宋_GB2312"/>
          <w:bCs/>
          <w:szCs w:val="32"/>
        </w:rPr>
      </w:pPr>
      <w:r>
        <w:rPr>
          <w:rFonts w:hint="eastAsia" w:ascii="仿宋_GB2312" w:hAnsi="仿宋_GB2312" w:cs="仿宋_GB2312"/>
          <w:szCs w:val="32"/>
          <w:lang w:eastAsia="zh-CN"/>
        </w:rPr>
        <w:t>经营主体</w:t>
      </w:r>
      <w:r>
        <w:rPr>
          <w:rFonts w:hint="eastAsia" w:ascii="仿宋_GB2312" w:hAnsi="仿宋_GB2312" w:cs="仿宋_GB2312"/>
          <w:szCs w:val="32"/>
        </w:rPr>
        <w:t>资格采取注册管理制度，电力交易机构负责</w:t>
      </w:r>
      <w:r>
        <w:rPr>
          <w:rFonts w:hint="eastAsia" w:ascii="仿宋_GB2312" w:hAnsi="仿宋_GB2312" w:cs="仿宋_GB2312"/>
          <w:szCs w:val="32"/>
          <w:lang w:eastAsia="zh-CN"/>
        </w:rPr>
        <w:t>经营主体</w:t>
      </w:r>
      <w:r>
        <w:rPr>
          <w:rFonts w:hint="eastAsia" w:ascii="仿宋_GB2312" w:hAnsi="仿宋_GB2312" w:cs="仿宋_GB2312"/>
          <w:szCs w:val="32"/>
        </w:rPr>
        <w:t>注册管理。</w:t>
      </w:r>
      <w:r>
        <w:rPr>
          <w:rFonts w:hint="eastAsia" w:hAnsi="仿宋_GB2312"/>
          <w:bCs/>
          <w:szCs w:val="32"/>
          <w:lang w:eastAsia="zh-CN"/>
        </w:rPr>
        <w:t>经营主体</w:t>
      </w:r>
      <w:r>
        <w:rPr>
          <w:rFonts w:hAnsi="仿宋_GB2312"/>
          <w:bCs/>
          <w:szCs w:val="32"/>
        </w:rPr>
        <w:t>包括各类发电企业、电力用户、售电公司</w:t>
      </w:r>
      <w:r>
        <w:rPr>
          <w:rFonts w:hint="eastAsia" w:hAnsi="仿宋_GB2312"/>
          <w:bCs/>
          <w:szCs w:val="32"/>
        </w:rPr>
        <w:t>、</w:t>
      </w:r>
      <w:r>
        <w:rPr>
          <w:rFonts w:hAnsi="仿宋_GB2312"/>
          <w:bCs/>
          <w:szCs w:val="32"/>
        </w:rPr>
        <w:t>电网企业和储能企业等。</w:t>
      </w:r>
    </w:p>
    <w:p>
      <w:pPr>
        <w:spacing w:line="560" w:lineRule="exact"/>
        <w:rPr>
          <w:rFonts w:ascii="仿宋_GB2312" w:hAnsi="仿宋_GB2312" w:cs="仿宋_GB2312"/>
        </w:rPr>
      </w:pPr>
      <w:r>
        <w:rPr>
          <w:rFonts w:hint="eastAsia" w:ascii="仿宋_GB2312" w:hAnsi="仿宋_GB2312" w:cs="仿宋_GB2312"/>
        </w:rPr>
        <w:t>电力市场分为电力批发市场和电力零售市场。电力批发市场的交易主体包括各类发电企业、电力用户、售电公司、电网企业（含省级电网企业、地方电网企业、拥有配电网运营权的配售电企业，下同）和储能等</w:t>
      </w:r>
      <w:r>
        <w:rPr>
          <w:rFonts w:hint="eastAsia" w:ascii="仿宋_GB2312" w:hAnsi="仿宋_GB2312" w:cs="仿宋_GB2312"/>
          <w:lang w:eastAsia="zh-CN"/>
        </w:rPr>
        <w:t>经营主体</w:t>
      </w:r>
      <w:r>
        <w:rPr>
          <w:rFonts w:hint="eastAsia" w:ascii="仿宋_GB2312" w:hAnsi="仿宋_GB2312" w:cs="仿宋_GB2312"/>
        </w:rPr>
        <w:t>。电力零售市场的交易主体为电力用户、售电公司和电网企业等。</w:t>
      </w:r>
    </w:p>
    <w:p>
      <w:pPr>
        <w:spacing w:line="560" w:lineRule="exact"/>
        <w:rPr>
          <w:rFonts w:ascii="仿宋_GB2312" w:hAnsi="仿宋_GB2312" w:cs="仿宋_GB2312"/>
          <w:szCs w:val="32"/>
        </w:rPr>
      </w:pPr>
      <w:r>
        <w:rPr>
          <w:rFonts w:hint="eastAsia" w:ascii="仿宋_GB2312" w:hAnsi="仿宋_GB2312" w:cs="仿宋_GB2312"/>
          <w:szCs w:val="32"/>
          <w:lang w:eastAsia="zh-CN"/>
        </w:rPr>
        <w:t>经营主体</w:t>
      </w:r>
      <w:r>
        <w:rPr>
          <w:rFonts w:hint="eastAsia" w:ascii="仿宋_GB2312" w:hAnsi="仿宋_GB2312" w:cs="仿宋_GB2312"/>
          <w:szCs w:val="32"/>
        </w:rPr>
        <w:t>参与电力市场交易，应符合国家及湖南省有关电力市场交易的准入条件，在电力交易机构办理市场注册，并按程序完成注册。</w:t>
      </w:r>
    </w:p>
    <w:p>
      <w:pPr>
        <w:spacing w:line="560" w:lineRule="exact"/>
        <w:rPr>
          <w:rFonts w:ascii="仿宋_GB2312" w:hAnsi="仿宋_GB2312" w:cs="仿宋_GB2312"/>
        </w:rPr>
      </w:pPr>
      <w:r>
        <w:rPr>
          <w:rFonts w:hint="eastAsia" w:ascii="仿宋_GB2312" w:hAnsi="仿宋_GB2312" w:cs="仿宋_GB2312"/>
        </w:rPr>
        <w:t>电力用户按照注册分类管理要求选择参加批发交易或零售交易，同一时期只能选择一种方式(暂未直接参与市场购电的工商业用户由电网企业代理购电)。批发市场电力用户允许在合同期（最短为六个月）满后，选择参加零售交易。零售用户同一时期只允许选择一家售电公司开展零售交易，允许在合同期（最短为六个月）满后，变更代理关系或按照准入条件选择参加批发交易。所有直接参与市场交易的电力用户，其符合入市条件的全部电量应进入市场。</w:t>
      </w:r>
    </w:p>
    <w:p>
      <w:pPr>
        <w:spacing w:line="560" w:lineRule="exact"/>
        <w:rPr>
          <w:rFonts w:ascii="仿宋_GB2312" w:hAnsi="仿宋_GB2312" w:cs="仿宋_GB2312"/>
        </w:rPr>
      </w:pPr>
      <w:r>
        <w:rPr>
          <w:rFonts w:hint="eastAsia" w:ascii="仿宋_GB2312" w:hAnsi="仿宋_GB2312" w:cs="仿宋_GB2312"/>
        </w:rPr>
        <w:t>进入市场的电力用户原则上不得自行退市或转为电网企业代理购电，确需退市或转为电网电企业代理购电者应符合有关市场规则、政府有关文件规定，且按规定办理相关手续并履行完相关义务。</w:t>
      </w:r>
    </w:p>
    <w:p>
      <w:pPr>
        <w:pStyle w:val="101"/>
        <w:spacing w:before="156" w:after="156"/>
        <w:ind w:firstLine="643"/>
        <w:rPr>
          <w:rFonts w:ascii="仿宋_GB2312" w:hAnsi="仿宋_GB2312" w:cs="仿宋_GB2312"/>
        </w:rPr>
      </w:pPr>
      <w:bookmarkStart w:id="34" w:name="_Toc69712711"/>
      <w:bookmarkStart w:id="35" w:name="_Toc3476"/>
      <w:bookmarkStart w:id="36" w:name="_Toc29842"/>
      <w:r>
        <w:rPr>
          <w:rFonts w:hint="eastAsia" w:ascii="仿宋_GB2312" w:hAnsi="仿宋_GB2312" w:cs="仿宋_GB2312"/>
        </w:rPr>
        <w:t>准入条</w:t>
      </w:r>
      <w:bookmarkEnd w:id="34"/>
      <w:r>
        <w:rPr>
          <w:rFonts w:hint="eastAsia" w:ascii="仿宋_GB2312" w:hAnsi="仿宋_GB2312" w:cs="仿宋_GB2312"/>
        </w:rPr>
        <w:t>件</w:t>
      </w:r>
      <w:bookmarkEnd w:id="35"/>
      <w:bookmarkEnd w:id="36"/>
      <w:bookmarkStart w:id="37" w:name="_Toc69712712"/>
    </w:p>
    <w:bookmarkEnd w:id="37"/>
    <w:p>
      <w:pPr>
        <w:pStyle w:val="4"/>
        <w:numPr>
          <w:ilvl w:val="1"/>
          <w:numId w:val="0"/>
        </w:numPr>
        <w:spacing w:after="156"/>
        <w:ind w:firstLine="643" w:firstLineChars="200"/>
        <w:rPr>
          <w:rFonts w:cs="仿宋_GB2312"/>
        </w:rPr>
      </w:pPr>
      <w:bookmarkStart w:id="38" w:name="_Toc108106243"/>
      <w:bookmarkStart w:id="39" w:name="_Toc542"/>
      <w:bookmarkStart w:id="40" w:name="_Toc20030"/>
      <w:bookmarkStart w:id="41" w:name="_Toc69712714"/>
      <w:r>
        <w:rPr>
          <w:rFonts w:hint="eastAsia" w:cs="仿宋_GB2312"/>
        </w:rPr>
        <w:t>2.1 基本准入条件</w:t>
      </w:r>
      <w:bookmarkEnd w:id="38"/>
      <w:bookmarkEnd w:id="39"/>
      <w:bookmarkEnd w:id="40"/>
    </w:p>
    <w:p>
      <w:pPr>
        <w:pStyle w:val="57"/>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cs="仿宋_GB2312"/>
          <w:szCs w:val="32"/>
        </w:rPr>
      </w:pPr>
      <w:r>
        <w:rPr>
          <w:rFonts w:hint="eastAsia" w:ascii="仿宋_GB2312" w:hAnsi="仿宋_GB2312" w:cs="仿宋_GB2312"/>
          <w:szCs w:val="32"/>
        </w:rPr>
        <w:t>参加市场交易的</w:t>
      </w:r>
      <w:r>
        <w:rPr>
          <w:rFonts w:hint="eastAsia" w:ascii="仿宋_GB2312" w:hAnsi="仿宋_GB2312" w:cs="仿宋_GB2312"/>
          <w:szCs w:val="32"/>
          <w:lang w:eastAsia="zh-CN"/>
        </w:rPr>
        <w:t>经营主体</w:t>
      </w:r>
      <w:r>
        <w:rPr>
          <w:rFonts w:hint="eastAsia" w:ascii="仿宋_GB2312" w:hAnsi="仿宋_GB2312" w:cs="仿宋_GB2312"/>
          <w:szCs w:val="32"/>
        </w:rPr>
        <w:t>，应当是符合国家相关政策要求,具有法人资格、财务独立核算、信用良好、能够独立承担民事责任的经济实体。内部核算的</w:t>
      </w:r>
      <w:r>
        <w:rPr>
          <w:rFonts w:hint="eastAsia" w:ascii="仿宋_GB2312" w:hAnsi="仿宋_GB2312" w:cs="仿宋_GB2312"/>
          <w:szCs w:val="32"/>
          <w:lang w:eastAsia="zh-CN"/>
        </w:rPr>
        <w:t>经营主体</w:t>
      </w:r>
      <w:r>
        <w:rPr>
          <w:rFonts w:hint="eastAsia" w:ascii="仿宋_GB2312" w:hAnsi="仿宋_GB2312" w:cs="仿宋_GB2312"/>
          <w:szCs w:val="32"/>
        </w:rPr>
        <w:t>（电网企业保留的调峰调频电厂除外）经法人单位授权，可参与相应电力交易。企事业单位、机关团体等具有必要的单位名称、法人代表（或负责人）、统一社会信用代码，可参与相应电力交易。</w:t>
      </w:r>
    </w:p>
    <w:p>
      <w:pPr>
        <w:pStyle w:val="57"/>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cs="仿宋_GB2312"/>
          <w:szCs w:val="32"/>
        </w:rPr>
      </w:pPr>
      <w:r>
        <w:rPr>
          <w:rFonts w:hint="eastAsia" w:ascii="仿宋_GB2312" w:hAnsi="仿宋_GB2312" w:cs="仿宋_GB2312"/>
          <w:szCs w:val="32"/>
          <w:lang w:eastAsia="zh-CN"/>
        </w:rPr>
        <w:t>经营主体</w:t>
      </w:r>
      <w:r>
        <w:rPr>
          <w:rFonts w:hint="eastAsia" w:ascii="仿宋_GB2312" w:hAnsi="仿宋_GB2312" w:cs="仿宋_GB2312"/>
          <w:szCs w:val="32"/>
        </w:rPr>
        <w:t>资格采取注册制度。应符合国家及湖南省有关电力市场交易的准入条件，并按程序完成注册后方可参与电力市场交易。</w:t>
      </w:r>
    </w:p>
    <w:p>
      <w:pPr>
        <w:pStyle w:val="4"/>
        <w:numPr>
          <w:ilvl w:val="1"/>
          <w:numId w:val="0"/>
        </w:numPr>
        <w:spacing w:after="156"/>
        <w:ind w:left="640" w:leftChars="200"/>
        <w:rPr>
          <w:rFonts w:cs="仿宋_GB2312"/>
        </w:rPr>
      </w:pPr>
      <w:bookmarkStart w:id="42" w:name="_Toc8623"/>
      <w:bookmarkStart w:id="43" w:name="_Toc14709"/>
      <w:bookmarkStart w:id="44" w:name="_Toc108106244"/>
      <w:r>
        <w:rPr>
          <w:rFonts w:hint="eastAsia" w:cs="仿宋_GB2312"/>
        </w:rPr>
        <w:t>2.2 电力批发交易准入条件</w:t>
      </w:r>
      <w:bookmarkEnd w:id="42"/>
      <w:bookmarkEnd w:id="43"/>
      <w:bookmarkEnd w:id="44"/>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（一）发电企业</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 xml:space="preserve">1.依法取得发电项目核准或者备案文件，依法取得或者豁免电力业务许可证（发电类）；暂未取得电力业务许可证（发电类）的新投产发电企业可先行申请办理市场注册，但应在机组通过试运行后三个月内（风电、光伏发电项目应当在并网后6个月内）取得电力业务许可证（发电类）。在规定期限内，因自身原因仍未取得电力业务许可证（发电类）， </w:t>
      </w:r>
      <w:r>
        <w:rPr>
          <w:rFonts w:hint="eastAsia" w:ascii="仿宋_GB2312" w:hAnsi="仿宋_GB2312" w:cs="仿宋_GB2312"/>
          <w:szCs w:val="32"/>
        </w:rPr>
        <w:t>仍不满足准入条件，造成合同不能履行的，由发电企业承担相应责任。</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2.并网自备电厂公平承担发电企业社会责任、</w:t>
      </w:r>
      <w:r>
        <w:rPr>
          <w:rFonts w:hint="eastAsia" w:ascii="仿宋_GB2312" w:hAnsi="仿宋_GB2312" w:cs="仿宋_GB2312"/>
          <w:szCs w:val="32"/>
        </w:rPr>
        <w:t>承担国家依法依规设立的政府性基金及附加、政策性交叉补贴和系统备用容量费，取得电力业务许可证（发电类），达到能效、环保要求，可作为</w:t>
      </w:r>
      <w:r>
        <w:rPr>
          <w:rFonts w:hint="eastAsia" w:ascii="仿宋_GB2312" w:hAnsi="仿宋_GB2312" w:cs="仿宋_GB2312"/>
          <w:szCs w:val="32"/>
          <w:lang w:eastAsia="zh-CN"/>
        </w:rPr>
        <w:t>经营主体</w:t>
      </w:r>
      <w:r>
        <w:rPr>
          <w:rFonts w:hint="eastAsia" w:ascii="仿宋_GB2312" w:hAnsi="仿宋_GB2312" w:cs="仿宋_GB2312"/>
          <w:szCs w:val="32"/>
        </w:rPr>
        <w:t>参与市场交易；</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3.分布式发电企业符合分布式发电市场交易试点规则要求。</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（二）电力用户</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1.工商业用户全部进入电力市场；</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2.符合电网接入规范、满足电网安全技术要求，与电网企业签订正式供用电合同；</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3.具有相应的计量能力或者技术替代手段，满足市场计量和结算要求。</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（三）售电公司</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1.符合《售电公司管理办法》（发改体改规〔 2021〕 1595 号）和湖南省售电公司有关管理规定；</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2.拥有配电网运营权的配售电企业应取得电力业务许可证（供电类）。</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（四）电网企业</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1.应取得电力业务许可证（供电类） ；</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2.开展代理购电的电网企业，应在电力交易机构履行相关注册手续。</w:t>
      </w:r>
    </w:p>
    <w:p>
      <w:pPr>
        <w:pStyle w:val="57"/>
        <w:numPr>
          <w:ilvl w:val="255"/>
          <w:numId w:val="0"/>
        </w:num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lang w:eastAsia="zh-CN"/>
        </w:rPr>
        <w:t>（五）新兴经营主体</w:t>
      </w:r>
      <w:r>
        <w:rPr>
          <w:rFonts w:hint="eastAsia" w:ascii="仿宋_GB2312" w:hAnsi="仿宋_GB2312" w:cs="仿宋_GB2312"/>
          <w:szCs w:val="32"/>
        </w:rPr>
        <w:t xml:space="preserve"> </w:t>
      </w:r>
    </w:p>
    <w:p>
      <w:pPr>
        <w:pStyle w:val="57"/>
        <w:numPr>
          <w:ilvl w:val="255"/>
          <w:numId w:val="0"/>
        </w:num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储能企业、负荷聚合商等新兴</w:t>
      </w:r>
      <w:r>
        <w:rPr>
          <w:rFonts w:hint="eastAsia" w:ascii="仿宋_GB2312" w:hAnsi="仿宋_GB2312" w:cs="仿宋_GB2312"/>
          <w:szCs w:val="32"/>
          <w:lang w:eastAsia="zh-CN"/>
        </w:rPr>
        <w:t>经营主体</w:t>
      </w:r>
      <w:r>
        <w:rPr>
          <w:rFonts w:hint="eastAsia" w:ascii="仿宋_GB2312" w:hAnsi="仿宋_GB2312" w:cs="仿宋_GB2312"/>
          <w:szCs w:val="32"/>
        </w:rPr>
        <w:t>准入条件按相关文件执行。</w:t>
      </w:r>
    </w:p>
    <w:bookmarkEnd w:id="41"/>
    <w:p>
      <w:pPr>
        <w:pStyle w:val="101"/>
        <w:spacing w:before="156" w:after="156"/>
        <w:ind w:firstLine="643"/>
        <w:rPr>
          <w:rFonts w:ascii="仿宋_GB2312" w:hAnsi="仿宋_GB2312" w:cs="仿宋_GB2312"/>
        </w:rPr>
      </w:pPr>
      <w:bookmarkStart w:id="45" w:name="_Toc69712715"/>
      <w:bookmarkStart w:id="46" w:name="_Toc20318"/>
      <w:bookmarkStart w:id="47" w:name="_Toc21837"/>
      <w:r>
        <w:rPr>
          <w:rFonts w:hint="eastAsia" w:ascii="仿宋_GB2312" w:hAnsi="仿宋_GB2312" w:cs="仿宋_GB2312"/>
        </w:rPr>
        <w:t>市场注册程</w:t>
      </w:r>
      <w:bookmarkEnd w:id="45"/>
      <w:r>
        <w:rPr>
          <w:rFonts w:hint="eastAsia" w:ascii="仿宋_GB2312" w:hAnsi="仿宋_GB2312" w:cs="仿宋_GB2312"/>
        </w:rPr>
        <w:t>序</w:t>
      </w:r>
      <w:bookmarkEnd w:id="46"/>
      <w:bookmarkEnd w:id="47"/>
    </w:p>
    <w:p>
      <w:pPr>
        <w:pStyle w:val="4"/>
        <w:numPr>
          <w:ilvl w:val="1"/>
          <w:numId w:val="0"/>
        </w:numPr>
        <w:spacing w:after="156"/>
        <w:ind w:left="640" w:leftChars="200"/>
        <w:rPr>
          <w:rFonts w:cs="仿宋_GB2312"/>
        </w:rPr>
      </w:pPr>
      <w:bookmarkStart w:id="48" w:name="_Toc21859"/>
      <w:bookmarkStart w:id="49" w:name="_Toc22205"/>
      <w:bookmarkStart w:id="50" w:name="_Toc69712716"/>
      <w:r>
        <w:rPr>
          <w:rFonts w:hint="eastAsia" w:cs="仿宋_GB2312"/>
        </w:rPr>
        <w:t>3.1 市场注册原则</w:t>
      </w:r>
      <w:bookmarkEnd w:id="48"/>
      <w:bookmarkEnd w:id="49"/>
    </w:p>
    <w:p>
      <w:pPr>
        <w:numPr>
          <w:ilvl w:val="255"/>
          <w:numId w:val="0"/>
        </w:numPr>
        <w:tabs>
          <w:tab w:val="left" w:pos="-142"/>
        </w:tabs>
        <w:adjustRightInd w:val="0"/>
        <w:snapToGrid w:val="0"/>
        <w:spacing w:line="560" w:lineRule="exact"/>
        <w:ind w:firstLine="640" w:firstLineChars="200"/>
        <w:jc w:val="left"/>
        <w:rPr>
          <w:rFonts w:ascii="仿宋_GB2312" w:hAnsi="仿宋_GB2312" w:cs="仿宋_GB2312"/>
          <w:szCs w:val="32"/>
        </w:rPr>
      </w:pPr>
      <w:r>
        <w:rPr>
          <w:rFonts w:hint="eastAsia" w:ascii="仿宋_GB2312" w:hAnsi="仿宋_GB2312" w:cs="仿宋_GB2312"/>
          <w:szCs w:val="32"/>
          <w:lang w:eastAsia="zh-CN"/>
        </w:rPr>
        <w:t>经营主体</w:t>
      </w:r>
      <w:r>
        <w:rPr>
          <w:rFonts w:hint="eastAsia" w:ascii="仿宋_GB2312" w:hAnsi="仿宋_GB2312" w:cs="仿宋_GB2312"/>
          <w:szCs w:val="32"/>
        </w:rPr>
        <w:t>参与电力市场交易，应当符合湖南省电力市场准入条件，在电力交易机构办理市场注册并保证注册提交材料的真实性、完整性。</w:t>
      </w:r>
      <w:r>
        <w:rPr>
          <w:rFonts w:hint="eastAsia" w:ascii="仿宋_GB2312" w:hAnsi="仿宋_GB2312" w:cs="仿宋_GB2312"/>
          <w:szCs w:val="32"/>
          <w:lang w:eastAsia="zh-CN"/>
        </w:rPr>
        <w:t>经营主体</w:t>
      </w:r>
      <w:r>
        <w:rPr>
          <w:rFonts w:hint="eastAsia" w:ascii="仿宋_GB2312" w:hAnsi="仿宋_GB2312" w:cs="仿宋_GB2312"/>
          <w:szCs w:val="32"/>
        </w:rPr>
        <w:t>注册遵循以下原则：</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（1）拟参加电力交易的发电企业、售电公司、批发市场电力用户、代理购电电网企业等</w:t>
      </w:r>
      <w:r>
        <w:rPr>
          <w:rFonts w:hint="eastAsia" w:ascii="仿宋_GB2312" w:hAnsi="仿宋_GB2312" w:cs="仿宋_GB2312"/>
          <w:szCs w:val="32"/>
          <w:lang w:eastAsia="zh-CN"/>
        </w:rPr>
        <w:t>经营主体</w:t>
      </w:r>
      <w:r>
        <w:rPr>
          <w:rFonts w:hint="eastAsia" w:ascii="仿宋_GB2312" w:hAnsi="仿宋_GB2312" w:cs="仿宋_GB2312"/>
          <w:szCs w:val="32"/>
        </w:rPr>
        <w:t>对照政府有关部门发布的准入条件，按照有关规定履行承诺、公示、注册、备案等相关手续，自愿注册成为合格的</w:t>
      </w:r>
      <w:r>
        <w:rPr>
          <w:rFonts w:hint="eastAsia" w:ascii="仿宋_GB2312" w:hAnsi="仿宋_GB2312" w:cs="仿宋_GB2312"/>
          <w:szCs w:val="32"/>
          <w:lang w:eastAsia="zh-CN"/>
        </w:rPr>
        <w:t>经营主体</w:t>
      </w:r>
      <w:r>
        <w:rPr>
          <w:rFonts w:hint="eastAsia" w:ascii="仿宋_GB2312" w:hAnsi="仿宋_GB2312" w:cs="仿宋_GB2312"/>
          <w:szCs w:val="32"/>
        </w:rPr>
        <w:t>，参与电力市场交易。</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（2）除豁免情形外，暂未取得发电业务许可证的新投发电企业可申请办理市场注册手续，分批投产的发电项目可分批办理。</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（3）对于发电企业或电力用户增项成立的售电公司，在电力交易机构注册时，应按照不同</w:t>
      </w:r>
      <w:r>
        <w:rPr>
          <w:rFonts w:hint="eastAsia" w:ascii="仿宋_GB2312" w:hAnsi="仿宋_GB2312" w:cs="仿宋_GB2312"/>
          <w:szCs w:val="32"/>
          <w:lang w:eastAsia="zh-CN"/>
        </w:rPr>
        <w:t>经营主体</w:t>
      </w:r>
      <w:r>
        <w:rPr>
          <w:rFonts w:hint="eastAsia" w:ascii="仿宋_GB2312" w:hAnsi="仿宋_GB2312" w:cs="仿宋_GB2312"/>
          <w:szCs w:val="32"/>
        </w:rPr>
        <w:t>类型分类注册管理。该类发电企业或电力用户同其自身增项的售电公司在电力交易平台开展业务时，相关流程严格按照一般售电公司业务执行，防止不正当竞争。</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（4）电力交易机构按照“公平、公正、公开”的原则提供市场注册服务。所有符合准入条件的</w:t>
      </w:r>
      <w:r>
        <w:rPr>
          <w:rFonts w:hint="eastAsia" w:ascii="仿宋_GB2312" w:hAnsi="仿宋_GB2312" w:cs="仿宋_GB2312"/>
          <w:szCs w:val="32"/>
          <w:lang w:eastAsia="zh-CN"/>
        </w:rPr>
        <w:t>经营主体</w:t>
      </w:r>
      <w:r>
        <w:rPr>
          <w:rFonts w:hint="eastAsia" w:ascii="仿宋_GB2312" w:hAnsi="仿宋_GB2312" w:cs="仿宋_GB2312"/>
          <w:szCs w:val="32"/>
        </w:rPr>
        <w:t>按照“自主自愿、自由选择”的原则开展注册工作。</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（5）当国家政策调整或交易规则发生重大变化时，电力交易机构可以视情况组织已注册</w:t>
      </w:r>
      <w:r>
        <w:rPr>
          <w:rFonts w:hint="eastAsia" w:ascii="仿宋_GB2312" w:hAnsi="仿宋_GB2312" w:cs="仿宋_GB2312"/>
          <w:szCs w:val="32"/>
          <w:lang w:eastAsia="zh-CN"/>
        </w:rPr>
        <w:t>经营主体</w:t>
      </w:r>
      <w:r>
        <w:rPr>
          <w:rFonts w:hint="eastAsia" w:ascii="仿宋_GB2312" w:hAnsi="仿宋_GB2312" w:cs="仿宋_GB2312"/>
          <w:szCs w:val="32"/>
        </w:rPr>
        <w:t>重新签订入市承诺书、办理注册手续。</w:t>
      </w:r>
    </w:p>
    <w:p>
      <w:pPr>
        <w:spacing w:line="560" w:lineRule="exact"/>
        <w:rPr>
          <w:rFonts w:ascii="仿宋_GB2312" w:hAnsi="仿宋_GB2312" w:cs="仿宋_GB2312"/>
        </w:rPr>
      </w:pPr>
      <w:r>
        <w:rPr>
          <w:rFonts w:hint="eastAsia" w:ascii="仿宋_GB2312" w:hAnsi="仿宋_GB2312" w:cs="仿宋_GB2312"/>
        </w:rPr>
        <w:t>电力用户按照注册分类管理要求选择参加批发交易或零售交易。35kV及以上电压等级的工商业电力用户可以选择参与批发市场交易，直接向发电企业购电；也可选择参与零售市场交易，向售电公司购电；但两种方式同期只能选择其一(暂未直接参与市场购电的工商业用户由电网企业代理购电)。10kV及以下电压等级的工商业用户不能直接参与批发市场交易，只能选择零售市场交易向售电公司购电或由电网企业代理购电。</w:t>
      </w:r>
    </w:p>
    <w:p>
      <w:pPr>
        <w:spacing w:line="560" w:lineRule="exact"/>
        <w:rPr>
          <w:rFonts w:ascii="仿宋_GB2312" w:hAnsi="仿宋_GB2312" w:cs="仿宋_GB2312"/>
        </w:rPr>
      </w:pPr>
      <w:r>
        <w:rPr>
          <w:rFonts w:hint="eastAsia" w:ascii="仿宋_GB2312" w:hAnsi="仿宋_GB2312" w:cs="仿宋_GB2312"/>
        </w:rPr>
        <w:t>所有直接参与市场交易的电力用户，其符合入市条件的全部电量应进入市场。选择批发市场交易的电力用户（简称批发市场电力用户），在电力交易机构完成注册手续后视为进入市场；当交易规则发生重大变化时，电力交易机构可以视情况组织已注册</w:t>
      </w:r>
      <w:r>
        <w:rPr>
          <w:rFonts w:hint="eastAsia" w:ascii="仿宋_GB2312" w:hAnsi="仿宋_GB2312" w:cs="仿宋_GB2312"/>
          <w:lang w:eastAsia="zh-CN"/>
        </w:rPr>
        <w:t>经营主体</w:t>
      </w:r>
      <w:r>
        <w:rPr>
          <w:rFonts w:hint="eastAsia" w:ascii="仿宋_GB2312" w:hAnsi="仿宋_GB2312" w:cs="仿宋_GB2312"/>
        </w:rPr>
        <w:t>重新签订入市承诺书。选择零售市场交易的电力用户（简称零售用户），与售电公司在电力交易机构完成代理关系确认后视为直接参与市场交易。</w:t>
      </w:r>
    </w:p>
    <w:p>
      <w:pPr>
        <w:spacing w:line="560" w:lineRule="exact"/>
        <w:rPr>
          <w:rFonts w:ascii="仿宋_GB2312" w:hAnsi="仿宋_GB2312" w:cs="仿宋_GB2312"/>
        </w:rPr>
      </w:pPr>
      <w:bookmarkStart w:id="51" w:name="_Toc14733"/>
      <w:r>
        <w:rPr>
          <w:rFonts w:hint="eastAsia" w:ascii="仿宋_GB2312" w:hAnsi="仿宋_GB2312" w:cs="仿宋_GB2312"/>
        </w:rPr>
        <w:t>进入市场的电力用户原则上不得自行退市或转为电网企业代理购电，确需退市或转为电网电企业代理购电者应符合有关市场规则、政府有关文件规定，且按规定办理相关手续并履行完相关义务。符合退市或转为电网电企业代理购电规定的电力用户在办理正常手续后可以退市或转为电网企业代理购电用户。无正当理由退市或转为电网电企业代理购电的电力用户其购电价格执行市场规则、政府有关文件规定。</w:t>
      </w:r>
    </w:p>
    <w:p>
      <w:pPr>
        <w:spacing w:line="560" w:lineRule="exact"/>
        <w:rPr>
          <w:rFonts w:ascii="仿宋_GB2312" w:hAnsi="仿宋_GB2312" w:cs="仿宋_GB2312"/>
        </w:rPr>
      </w:pPr>
      <w:r>
        <w:rPr>
          <w:rFonts w:hint="eastAsia" w:ascii="仿宋_GB2312" w:hAnsi="仿宋_GB2312" w:cs="仿宋_GB2312"/>
        </w:rPr>
        <w:t>批发市场电力用户允许在合同期（最短为六个月）满后，选择参加零售交易。零售用户同一时期只允许选择一家售电公司开展零售交易，允许在合同期（最短为六个月）满后，变更代理关系或按照准入条件选择参加批发交易。但当售电公司违约（含退出市场）无法满足用户需求时，其代理的电力用户可以作如下选择：</w:t>
      </w:r>
    </w:p>
    <w:p>
      <w:pPr>
        <w:spacing w:line="560" w:lineRule="exact"/>
        <w:rPr>
          <w:rFonts w:ascii="仿宋_GB2312" w:hAnsi="仿宋_GB2312" w:cs="仿宋_GB2312"/>
        </w:rPr>
      </w:pPr>
      <w:r>
        <w:rPr>
          <w:rFonts w:hint="eastAsia" w:ascii="仿宋_GB2312" w:hAnsi="仿宋_GB2312" w:cs="仿宋_GB2312"/>
        </w:rPr>
        <w:t>（1）向其它售电公司购电；</w:t>
      </w:r>
    </w:p>
    <w:p>
      <w:pPr>
        <w:spacing w:line="560" w:lineRule="exact"/>
        <w:rPr>
          <w:rFonts w:ascii="仿宋_GB2312" w:hAnsi="仿宋_GB2312" w:cs="仿宋_GB2312"/>
        </w:rPr>
      </w:pPr>
      <w:r>
        <w:rPr>
          <w:rFonts w:hint="eastAsia" w:ascii="仿宋_GB2312" w:hAnsi="仿宋_GB2312" w:cs="仿宋_GB2312"/>
        </w:rPr>
        <w:t>（2）属35kV及以上零售用户可向电力交易机构申请批发交易；</w:t>
      </w:r>
    </w:p>
    <w:p>
      <w:pPr>
        <w:spacing w:line="560" w:lineRule="exact"/>
        <w:rPr>
          <w:rFonts w:ascii="仿宋_GB2312" w:hAnsi="仿宋_GB2312" w:cs="仿宋_GB2312"/>
        </w:rPr>
      </w:pPr>
      <w:r>
        <w:rPr>
          <w:rFonts w:hint="eastAsia" w:ascii="仿宋_GB2312" w:hAnsi="仿宋_GB2312" w:cs="仿宋_GB2312"/>
        </w:rPr>
        <w:t>（3）经批准由保底售电公司、电网企业提供保底售电服务；</w:t>
      </w:r>
    </w:p>
    <w:p>
      <w:pPr>
        <w:spacing w:line="560" w:lineRule="exact"/>
        <w:rPr>
          <w:rFonts w:ascii="仿宋_GB2312" w:hAnsi="仿宋_GB2312" w:cs="仿宋_GB2312"/>
        </w:rPr>
      </w:pPr>
      <w:r>
        <w:rPr>
          <w:rFonts w:hint="eastAsia" w:ascii="仿宋_GB2312" w:hAnsi="仿宋_GB2312" w:cs="仿宋_GB2312"/>
        </w:rPr>
        <w:t>（4）由电网企业代理购电服务；</w:t>
      </w:r>
    </w:p>
    <w:p>
      <w:pPr>
        <w:spacing w:line="560" w:lineRule="exact"/>
        <w:rPr>
          <w:rFonts w:ascii="仿宋_GB2312" w:hAnsi="仿宋_GB2312" w:cs="仿宋_GB2312"/>
        </w:rPr>
      </w:pPr>
      <w:r>
        <w:rPr>
          <w:rFonts w:hint="eastAsia" w:ascii="仿宋_GB2312" w:hAnsi="仿宋_GB2312" w:cs="仿宋_GB2312"/>
        </w:rPr>
        <w:t>（5）符合规定的其它形式。</w:t>
      </w:r>
    </w:p>
    <w:p>
      <w:pPr>
        <w:spacing w:line="560" w:lineRule="exact"/>
        <w:rPr>
          <w:rFonts w:hint="eastAsia" w:ascii="仿宋_GB2312" w:hAnsi="仿宋_GB2312" w:cs="仿宋_GB2312"/>
          <w:lang w:val="en-US" w:eastAsia="zh-CN"/>
        </w:rPr>
      </w:pPr>
      <w:r>
        <w:rPr>
          <w:rFonts w:hint="eastAsia" w:ascii="仿宋_GB2312" w:hAnsi="仿宋_GB2312" w:cs="仿宋_GB2312"/>
        </w:rPr>
        <w:t>因上述特殊原因，电力用户一个结算月度内向超过一家售电公司购电或同时参与月内批发交易或改由电网企业代理购电时，</w:t>
      </w:r>
      <w:r>
        <w:rPr>
          <w:rFonts w:hint="eastAsia" w:ascii="仿宋_GB2312" w:hAnsi="仿宋_GB2312" w:cs="仿宋_GB2312"/>
          <w:lang w:val="en-US" w:eastAsia="zh-CN"/>
        </w:rPr>
        <w:t>电力用户和售电公司可做如下选择：</w:t>
      </w:r>
    </w:p>
    <w:p>
      <w:pPr>
        <w:pStyle w:val="2"/>
        <w:numPr>
          <w:ilvl w:val="0"/>
          <w:numId w:val="5"/>
        </w:numPr>
        <w:spacing w:line="560" w:lineRule="exact"/>
        <w:rPr>
          <w:rFonts w:hint="eastAsia"/>
          <w:lang w:val="en-US" w:eastAsia="zh-CN"/>
        </w:rPr>
      </w:pPr>
      <w:r>
        <w:rPr>
          <w:rFonts w:hint="eastAsia"/>
          <w:lang w:val="en-US" w:eastAsia="zh-CN"/>
        </w:rPr>
        <w:t>双方可协商一致解除合同；</w:t>
      </w:r>
    </w:p>
    <w:p>
      <w:pPr>
        <w:pStyle w:val="2"/>
        <w:numPr>
          <w:ilvl w:val="0"/>
          <w:numId w:val="5"/>
        </w:numPr>
        <w:spacing w:line="560" w:lineRule="exact"/>
        <w:rPr>
          <w:rFonts w:hint="default"/>
          <w:lang w:val="en-US" w:eastAsia="zh-CN"/>
        </w:rPr>
      </w:pPr>
      <w:r>
        <w:rPr>
          <w:rFonts w:hint="eastAsia"/>
          <w:lang w:val="en-US" w:eastAsia="zh-CN"/>
        </w:rPr>
        <w:t>因不可抗力导致合同无法履约的，应当根据不可抗力的具体情况，部分或全部免除违约方责任</w:t>
      </w:r>
      <w:r>
        <w:rPr>
          <w:rFonts w:hint="eastAsia" w:ascii="仿宋_GB2312" w:hAnsi="仿宋_GB2312" w:cs="仿宋_GB2312"/>
          <w:lang w:eastAsia="zh-CN"/>
        </w:rPr>
        <w:t>；</w:t>
      </w:r>
    </w:p>
    <w:p>
      <w:pPr>
        <w:pStyle w:val="2"/>
        <w:numPr>
          <w:ilvl w:val="0"/>
          <w:numId w:val="5"/>
        </w:numPr>
        <w:spacing w:line="560" w:lineRule="exact"/>
        <w:rPr>
          <w:rFonts w:hint="default"/>
          <w:lang w:val="en-US" w:eastAsia="zh-CN"/>
        </w:rPr>
      </w:pPr>
      <w:r>
        <w:rPr>
          <w:rFonts w:hint="eastAsia" w:ascii="仿宋_GB2312" w:hAnsi="仿宋_GB2312" w:cs="仿宋_GB2312"/>
          <w:lang w:val="en-US" w:eastAsia="zh-CN"/>
        </w:rPr>
        <w:t>因违约方个人因素导致合同无法履约的，违约方应当按合同约定或法律规定承担相应的违约责任。</w:t>
      </w:r>
    </w:p>
    <w:p>
      <w:pPr>
        <w:pStyle w:val="4"/>
        <w:numPr>
          <w:ilvl w:val="1"/>
          <w:numId w:val="0"/>
        </w:numPr>
        <w:spacing w:after="156"/>
        <w:ind w:left="640" w:leftChars="200"/>
        <w:rPr>
          <w:rFonts w:cs="仿宋_GB2312"/>
        </w:rPr>
      </w:pPr>
      <w:bookmarkStart w:id="52" w:name="_Toc19247"/>
      <w:r>
        <w:rPr>
          <w:rFonts w:hint="eastAsia" w:cs="仿宋_GB2312"/>
        </w:rPr>
        <w:t xml:space="preserve">3.2 </w:t>
      </w:r>
      <w:r>
        <w:rPr>
          <w:rFonts w:hint="eastAsia" w:cs="仿宋_GB2312"/>
          <w:lang w:eastAsia="zh-CN"/>
        </w:rPr>
        <w:t>经营主体</w:t>
      </w:r>
      <w:r>
        <w:rPr>
          <w:rFonts w:hint="eastAsia" w:cs="仿宋_GB2312"/>
        </w:rPr>
        <w:t>承诺及注册流程</w:t>
      </w:r>
      <w:bookmarkEnd w:id="51"/>
      <w:bookmarkEnd w:id="52"/>
    </w:p>
    <w:p>
      <w:pPr>
        <w:adjustRightInd w:val="0"/>
        <w:snapToGrid w:val="0"/>
        <w:spacing w:line="560" w:lineRule="exact"/>
        <w:rPr>
          <w:rFonts w:hint="eastAsia" w:ascii="仿宋_GB2312" w:hAnsi="仿宋_GB2312" w:eastAsia="仿宋_GB2312" w:cs="仿宋_GB2312"/>
          <w:szCs w:val="32"/>
          <w:lang w:eastAsia="zh-CN"/>
        </w:rPr>
      </w:pPr>
      <w:r>
        <w:rPr>
          <w:rFonts w:hint="eastAsia" w:ascii="仿宋_GB2312" w:hAnsi="仿宋_GB2312" w:cs="仿宋_GB2312"/>
          <w:szCs w:val="32"/>
        </w:rPr>
        <w:t>（1）</w:t>
      </w:r>
      <w:r>
        <w:rPr>
          <w:rFonts w:hint="eastAsia" w:ascii="仿宋_GB2312" w:hAnsi="仿宋_GB2312" w:cs="仿宋_GB2312"/>
          <w:szCs w:val="32"/>
          <w:lang w:eastAsia="zh-CN"/>
        </w:rPr>
        <w:t>经营主体</w:t>
      </w:r>
      <w:r>
        <w:rPr>
          <w:rFonts w:hint="eastAsia" w:ascii="仿宋_GB2312" w:hAnsi="仿宋_GB2312" w:cs="仿宋_GB2312"/>
          <w:szCs w:val="32"/>
        </w:rPr>
        <w:t>提前准备注册需提交的材料，办理第三方数字证书（零售用户无需办理第三方数字证书），填写基础信息资料和编写相关说明性材料，相关资料需本单位法定代表人（或授权委托人）签字并加盖单位公章。企事业单位、机关团体等相关资料需本单位法人代表（或负责人）签字并加盖单位公章</w:t>
      </w:r>
      <w:r>
        <w:rPr>
          <w:rFonts w:hint="eastAsia" w:ascii="仿宋_GB2312" w:hAnsi="仿宋_GB2312" w:cs="仿宋_GB2312"/>
          <w:szCs w:val="32"/>
          <w:lang w:eastAsia="zh-CN"/>
        </w:rPr>
        <w:t>。</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（2）</w:t>
      </w:r>
      <w:r>
        <w:rPr>
          <w:rFonts w:hint="eastAsia" w:ascii="仿宋_GB2312" w:hAnsi="仿宋_GB2312" w:cs="仿宋_GB2312"/>
          <w:szCs w:val="32"/>
          <w:lang w:eastAsia="zh-CN"/>
        </w:rPr>
        <w:t>经营主体</w:t>
      </w:r>
      <w:r>
        <w:rPr>
          <w:rFonts w:hint="eastAsia" w:ascii="仿宋_GB2312" w:hAnsi="仿宋_GB2312" w:cs="仿宋_GB2312"/>
          <w:szCs w:val="32"/>
        </w:rPr>
        <w:t>自行登录湖南电力交易平台,根据网站提示线上办理用户注册手续，录入信息并上传</w:t>
      </w:r>
      <w:r>
        <w:rPr>
          <w:rFonts w:hint="eastAsia" w:ascii="仿宋_GB2312" w:hAnsi="仿宋_GB2312" w:cs="仿宋_GB2312"/>
          <w:szCs w:val="32"/>
          <w:lang w:eastAsia="zh-CN"/>
        </w:rPr>
        <w:t>相关资料</w:t>
      </w:r>
      <w:r>
        <w:rPr>
          <w:rFonts w:hint="eastAsia" w:ascii="仿宋_GB2312" w:hAnsi="仿宋_GB2312" w:cs="仿宋_GB2312"/>
          <w:szCs w:val="32"/>
        </w:rPr>
        <w:t>。零售用户需在电力交易平台提交电网企业营销系统户号及查询密码，获取营销系统的计量点档案信息，完成用电单元信息登记。</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（3）电力交易机构在收到</w:t>
      </w:r>
      <w:r>
        <w:rPr>
          <w:rFonts w:hint="eastAsia" w:ascii="仿宋_GB2312" w:hAnsi="仿宋_GB2312" w:cs="仿宋_GB2312"/>
          <w:szCs w:val="32"/>
          <w:lang w:eastAsia="zh-CN"/>
        </w:rPr>
        <w:t>经营主体</w:t>
      </w:r>
      <w:r>
        <w:rPr>
          <w:rFonts w:hint="eastAsia" w:ascii="仿宋_GB2312" w:hAnsi="仿宋_GB2312" w:cs="仿宋_GB2312"/>
          <w:szCs w:val="32"/>
        </w:rPr>
        <w:t>提交的注册申请和相关资料后，原则上5个工作日内完成注册资料的形式审查，对资料不全和不合规范的，电力交易机构予以驳回注册申请并注明驳回原因，</w:t>
      </w:r>
      <w:r>
        <w:rPr>
          <w:rFonts w:hint="eastAsia" w:ascii="仿宋_GB2312" w:hAnsi="仿宋_GB2312" w:cs="仿宋_GB2312"/>
          <w:szCs w:val="32"/>
          <w:lang w:eastAsia="zh-CN"/>
        </w:rPr>
        <w:t>经营主体</w:t>
      </w:r>
      <w:r>
        <w:rPr>
          <w:rFonts w:hint="eastAsia" w:ascii="仿宋_GB2312" w:hAnsi="仿宋_GB2312" w:cs="仿宋_GB2312"/>
          <w:szCs w:val="32"/>
        </w:rPr>
        <w:t>可补充资料后再次提交注册申请。注册申请形式审查通过后，发电企业、售电公司、批发市场电力用户、代理购电电网企业等</w:t>
      </w:r>
      <w:r>
        <w:rPr>
          <w:rFonts w:hint="eastAsia" w:ascii="仿宋_GB2312" w:hAnsi="仿宋_GB2312" w:cs="仿宋_GB2312"/>
          <w:szCs w:val="32"/>
          <w:lang w:eastAsia="zh-CN"/>
        </w:rPr>
        <w:t>经营主体</w:t>
      </w:r>
      <w:r>
        <w:rPr>
          <w:rFonts w:hint="eastAsia" w:ascii="仿宋_GB2312" w:hAnsi="仿宋_GB2312" w:cs="仿宋_GB2312"/>
          <w:szCs w:val="32"/>
        </w:rPr>
        <w:t>须前往电力交易机构进行一致性审查。</w:t>
      </w:r>
      <w:r>
        <w:rPr>
          <w:rFonts w:hint="eastAsia" w:ascii="仿宋_GB2312" w:hAnsi="仿宋_GB2312" w:cs="仿宋_GB2312"/>
          <w:szCs w:val="32"/>
        </w:rPr>
        <w:tab/>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（4）电力交易机构将审查通过的</w:t>
      </w:r>
      <w:r>
        <w:rPr>
          <w:rFonts w:hint="eastAsia" w:ascii="仿宋_GB2312" w:hAnsi="仿宋_GB2312" w:cs="仿宋_GB2312"/>
          <w:szCs w:val="32"/>
          <w:lang w:eastAsia="zh-CN"/>
        </w:rPr>
        <w:t>经营主体</w:t>
      </w:r>
      <w:r>
        <w:rPr>
          <w:rFonts w:hint="eastAsia" w:ascii="仿宋_GB2312" w:hAnsi="仿宋_GB2312" w:cs="仿宋_GB2312"/>
          <w:szCs w:val="32"/>
        </w:rPr>
        <w:t>相关信息在湖南电力交易平台等网站进行公示，公示通过后，注册生效。</w:t>
      </w:r>
    </w:p>
    <w:p>
      <w:pPr>
        <w:adjustRightInd w:val="0"/>
        <w:snapToGrid w:val="0"/>
        <w:spacing w:line="560" w:lineRule="exact"/>
        <w:rPr>
          <w:rFonts w:ascii="仿宋_GB2312" w:hAnsi="仿宋_GB2312" w:cs="仿宋_GB2312"/>
          <w:szCs w:val="32"/>
        </w:rPr>
      </w:pPr>
      <w:r>
        <w:rPr>
          <w:rFonts w:hint="eastAsia" w:ascii="仿宋_GB2312" w:hAnsi="仿宋_GB2312" w:cs="仿宋_GB2312"/>
          <w:szCs w:val="32"/>
        </w:rPr>
        <w:t>（5）售电公司的注册信息由电力交易机构在售电公司完成注册工作后5个工作日内推送至电网企业。</w:t>
      </w:r>
    </w:p>
    <w:p>
      <w:pPr>
        <w:pStyle w:val="4"/>
        <w:numPr>
          <w:ilvl w:val="1"/>
          <w:numId w:val="0"/>
        </w:numPr>
        <w:spacing w:after="156"/>
        <w:ind w:left="640" w:leftChars="200"/>
        <w:rPr>
          <w:rFonts w:cs="仿宋_GB2312"/>
        </w:rPr>
      </w:pPr>
      <w:bookmarkStart w:id="53" w:name="_Toc17"/>
      <w:bookmarkStart w:id="54" w:name="_Toc23685"/>
      <w:r>
        <w:rPr>
          <w:rFonts w:hint="eastAsia" w:cs="仿宋_GB2312"/>
        </w:rPr>
        <w:t>3.3 零售用户注册所需材料</w:t>
      </w:r>
      <w:bookmarkEnd w:id="53"/>
      <w:bookmarkEnd w:id="54"/>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信用</w:t>
      </w:r>
      <w:r>
        <w:rPr>
          <w:rFonts w:hint="eastAsia" w:ascii="仿宋_GB2312" w:hAnsi="仿宋_GB2312" w:cs="仿宋_GB2312"/>
          <w:szCs w:val="32"/>
        </w:rPr>
        <w:t>承诺书</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（2）营业执照</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（3）法定代表人（或授权委托人）身份证</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（4）第一联系人授权委托书</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企事业单位、机关团体等需提供法人代表（或负责人）身份证原件扫描件。</w:t>
      </w:r>
    </w:p>
    <w:p>
      <w:pPr>
        <w:pStyle w:val="4"/>
        <w:numPr>
          <w:ilvl w:val="1"/>
          <w:numId w:val="0"/>
        </w:numPr>
        <w:spacing w:after="156"/>
        <w:ind w:firstLine="643" w:firstLineChars="200"/>
        <w:rPr>
          <w:rFonts w:cs="仿宋_GB2312"/>
        </w:rPr>
      </w:pPr>
      <w:bookmarkStart w:id="55" w:name="_Toc4718"/>
      <w:bookmarkStart w:id="56" w:name="_Toc4528"/>
      <w:r>
        <w:rPr>
          <w:rFonts w:hint="eastAsia" w:cs="仿宋_GB2312"/>
        </w:rPr>
        <w:t>3.4 发电企业注册所需材料</w:t>
      </w:r>
      <w:bookmarkEnd w:id="55"/>
      <w:bookmarkEnd w:id="56"/>
      <w:r>
        <w:rPr>
          <w:rFonts w:hint="eastAsia" w:cs="仿宋_GB2312"/>
        </w:rPr>
        <w:t xml:space="preserve"> </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（1）注册申请表</w:t>
      </w:r>
      <w:r>
        <w:rPr>
          <w:rFonts w:hint="eastAsia" w:ascii="仿宋_GB2312" w:hAnsi="仿宋_GB2312" w:cs="仿宋_GB2312"/>
          <w:szCs w:val="32"/>
          <w:lang w:eastAsia="zh-CN"/>
        </w:rPr>
        <w:t>、</w:t>
      </w:r>
      <w:r>
        <w:rPr>
          <w:rFonts w:hint="eastAsia" w:ascii="仿宋_GB2312" w:hAnsi="仿宋_GB2312" w:cs="仿宋_GB2312"/>
          <w:szCs w:val="32"/>
          <w:lang w:val="en-US" w:eastAsia="zh-CN"/>
        </w:rPr>
        <w:t>信用承诺书</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（2）营业执照</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（3）法定代表人（或授权委托人）身份证</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hint="eastAsia" w:ascii="仿宋_GB2312" w:hAnsi="仿宋_GB2312" w:eastAsia="仿宋_GB2312" w:cs="仿宋_GB2312"/>
          <w:szCs w:val="32"/>
          <w:lang w:eastAsia="zh-CN"/>
        </w:rPr>
      </w:pPr>
      <w:r>
        <w:rPr>
          <w:rFonts w:hint="eastAsia" w:ascii="仿宋_GB2312" w:hAnsi="仿宋_GB2312" w:cs="仿宋_GB2312"/>
          <w:szCs w:val="32"/>
        </w:rPr>
        <w:t>（4）发电业务许可证（正本、副本）</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hint="eastAsia" w:ascii="仿宋_GB2312" w:hAnsi="仿宋_GB2312" w:cs="仿宋_GB2312"/>
          <w:szCs w:val="32"/>
          <w:lang w:eastAsia="zh-CN"/>
        </w:rPr>
      </w:pPr>
      <w:r>
        <w:rPr>
          <w:rFonts w:hint="eastAsia" w:ascii="仿宋_GB2312" w:hAnsi="仿宋_GB2312" w:cs="仿宋_GB2312"/>
          <w:szCs w:val="32"/>
        </w:rPr>
        <w:t>（5）政府核准文件</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hint="eastAsia" w:ascii="仿宋_GB2312" w:hAnsi="仿宋_GB2312" w:eastAsia="仿宋_GB2312" w:cs="仿宋_GB2312"/>
          <w:color w:val="000000" w:themeColor="text1"/>
          <w:szCs w:val="28"/>
          <w:lang w:val="en-US" w:eastAsia="zh-CN"/>
          <w14:textFill>
            <w14:solidFill>
              <w14:schemeClr w14:val="tx1"/>
            </w14:solidFill>
          </w14:textFill>
        </w:rPr>
      </w:pPr>
      <w:r>
        <w:rPr>
          <w:rFonts w:hint="eastAsia" w:ascii="仿宋_GB2312" w:hAnsi="仿宋_GB2312" w:cs="仿宋_GB2312"/>
          <w:szCs w:val="32"/>
        </w:rPr>
        <w:t>（6）</w:t>
      </w:r>
      <w:r>
        <w:rPr>
          <w:rFonts w:hint="eastAsia" w:ascii="仿宋_GB2312" w:hAnsi="仿宋_GB2312" w:eastAsia="仿宋_GB2312" w:cs="仿宋_GB2312"/>
          <w:color w:val="000000" w:themeColor="text1"/>
          <w:szCs w:val="28"/>
          <w:lang w:val="en-US" w:eastAsia="zh-CN"/>
          <w14:textFill>
            <w14:solidFill>
              <w14:schemeClr w14:val="tx1"/>
            </w14:solidFill>
          </w14:textFill>
        </w:rPr>
        <w:t>购售电合同</w:t>
      </w:r>
      <w:r>
        <w:rPr>
          <w:rFonts w:hint="eastAsia" w:ascii="仿宋_GB2312" w:hAnsi="仿宋_GB2312" w:cs="仿宋_GB2312"/>
          <w:color w:val="000000" w:themeColor="text1"/>
          <w:szCs w:val="28"/>
          <w:lang w:val="en-US" w:eastAsia="zh-CN"/>
          <w14:textFill>
            <w14:solidFill>
              <w14:schemeClr w14:val="tx1"/>
            </w14:solidFill>
          </w14:textFill>
        </w:rPr>
        <w:t>、</w:t>
      </w:r>
      <w:r>
        <w:rPr>
          <w:rFonts w:hint="default" w:ascii="仿宋_GB2312" w:hAnsi="仿宋_GB2312" w:eastAsia="仿宋_GB2312" w:cs="仿宋_GB2312"/>
          <w:color w:val="000000" w:themeColor="text1"/>
          <w:szCs w:val="28"/>
          <w:lang w:val="en-US" w:eastAsia="zh-CN"/>
          <w14:textFill>
            <w14:solidFill>
              <w14:schemeClr w14:val="tx1"/>
            </w14:solidFill>
          </w14:textFill>
        </w:rPr>
        <w:t>并网调度协议</w:t>
      </w:r>
      <w:r>
        <w:rPr>
          <w:rFonts w:hint="eastAsia" w:ascii="仿宋_GB2312" w:hAnsi="仿宋_GB2312" w:cs="仿宋_GB2312"/>
          <w:color w:val="000000" w:themeColor="text1"/>
          <w:szCs w:val="28"/>
          <w:lang w:val="en-US" w:eastAsia="zh-CN"/>
          <w14:textFill>
            <w14:solidFill>
              <w14:schemeClr w14:val="tx1"/>
            </w14:solidFill>
          </w14:textFill>
        </w:rPr>
        <w:t>；</w:t>
      </w:r>
    </w:p>
    <w:p>
      <w:pPr>
        <w:pStyle w:val="57"/>
        <w:adjustRightInd w:val="0"/>
        <w:snapToGrid w:val="0"/>
        <w:spacing w:line="560" w:lineRule="exact"/>
        <w:ind w:firstLine="646" w:firstLineChars="202"/>
        <w:rPr>
          <w:rFonts w:hint="eastAsia" w:ascii="仿宋_GB2312" w:hAnsi="仿宋_GB2312" w:eastAsia="仿宋_GB2312" w:cs="仿宋_GB2312"/>
          <w:szCs w:val="32"/>
          <w:lang w:eastAsia="zh-CN"/>
        </w:rPr>
      </w:pPr>
      <w:r>
        <w:rPr>
          <w:rFonts w:hint="eastAsia" w:ascii="仿宋_GB2312" w:hAnsi="仿宋_GB2312" w:cs="仿宋_GB2312"/>
          <w:szCs w:val="32"/>
        </w:rPr>
        <w:t>（</w:t>
      </w:r>
      <w:r>
        <w:rPr>
          <w:rFonts w:hint="eastAsia" w:ascii="仿宋_GB2312" w:hAnsi="仿宋_GB2312" w:cs="仿宋_GB2312"/>
          <w:szCs w:val="32"/>
          <w:lang w:val="en-US" w:eastAsia="zh-CN"/>
        </w:rPr>
        <w:t>7</w:t>
      </w:r>
      <w:r>
        <w:rPr>
          <w:rFonts w:hint="eastAsia" w:ascii="仿宋_GB2312" w:hAnsi="仿宋_GB2312" w:cs="仿宋_GB2312"/>
          <w:szCs w:val="32"/>
        </w:rPr>
        <w:t>）</w:t>
      </w:r>
      <w:r>
        <w:rPr>
          <w:rFonts w:hint="eastAsia" w:ascii="仿宋_GB2312" w:hAnsi="仿宋_GB2312" w:cs="仿宋_GB2312"/>
          <w:szCs w:val="32"/>
          <w:lang w:val="en-US" w:eastAsia="zh-CN"/>
        </w:rPr>
        <w:t>第一联系人</w:t>
      </w:r>
      <w:r>
        <w:rPr>
          <w:rFonts w:hint="eastAsia" w:ascii="仿宋_GB2312" w:hAnsi="仿宋_GB2312" w:cs="仿宋_GB2312"/>
          <w:szCs w:val="32"/>
        </w:rPr>
        <w:t>授权委托书</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w:t>
      </w:r>
      <w:r>
        <w:rPr>
          <w:rFonts w:hint="eastAsia" w:ascii="仿宋_GB2312" w:hAnsi="仿宋_GB2312" w:cs="仿宋_GB2312"/>
          <w:szCs w:val="32"/>
          <w:lang w:val="en-US" w:eastAsia="zh-CN"/>
        </w:rPr>
        <w:t>8</w:t>
      </w:r>
      <w:r>
        <w:rPr>
          <w:rFonts w:hint="eastAsia" w:ascii="仿宋_GB2312" w:hAnsi="仿宋_GB2312" w:cs="仿宋_GB2312"/>
          <w:szCs w:val="32"/>
        </w:rPr>
        <w:t>）交易员授权委托书</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w:t>
      </w:r>
      <w:r>
        <w:rPr>
          <w:rFonts w:hint="eastAsia" w:ascii="仿宋_GB2312" w:hAnsi="仿宋_GB2312" w:cs="仿宋_GB2312"/>
          <w:szCs w:val="32"/>
          <w:lang w:val="en-US" w:eastAsia="zh-CN"/>
        </w:rPr>
        <w:t>9</w:t>
      </w:r>
      <w:r>
        <w:rPr>
          <w:rFonts w:hint="eastAsia" w:ascii="仿宋_GB2312" w:hAnsi="仿宋_GB2312" w:cs="仿宋_GB2312"/>
          <w:szCs w:val="32"/>
        </w:rPr>
        <w:t>）签署</w:t>
      </w:r>
      <w:r>
        <w:rPr>
          <w:rFonts w:hint="eastAsia" w:ascii="仿宋_GB2312" w:hAnsi="仿宋_GB2312" w:cs="仿宋_GB2312"/>
          <w:szCs w:val="32"/>
          <w:lang w:val="en-US" w:eastAsia="zh-CN"/>
        </w:rPr>
        <w:t>入市</w:t>
      </w:r>
      <w:r>
        <w:rPr>
          <w:rFonts w:hint="eastAsia" w:ascii="仿宋_GB2312" w:hAnsi="仿宋_GB2312" w:cs="仿宋_GB2312"/>
          <w:szCs w:val="32"/>
        </w:rPr>
        <w:t>承诺书、入市协议</w:t>
      </w:r>
      <w:r>
        <w:rPr>
          <w:rFonts w:hint="eastAsia" w:ascii="仿宋_GB2312" w:hAnsi="仿宋_GB2312" w:cs="仿宋_GB2312"/>
          <w:szCs w:val="32"/>
          <w:lang w:eastAsia="zh-CN"/>
        </w:rPr>
        <w:t>；</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10</w:t>
      </w:r>
      <w:r>
        <w:rPr>
          <w:rFonts w:hint="eastAsia" w:ascii="仿宋_GB2312" w:hAnsi="仿宋_GB2312" w:cs="仿宋_GB2312"/>
          <w:szCs w:val="32"/>
        </w:rPr>
        <w:t>）其他文件（如有）。</w:t>
      </w:r>
    </w:p>
    <w:p>
      <w:pPr>
        <w:pStyle w:val="4"/>
        <w:numPr>
          <w:ilvl w:val="1"/>
          <w:numId w:val="0"/>
        </w:numPr>
        <w:spacing w:after="156"/>
        <w:ind w:left="640" w:leftChars="200"/>
        <w:rPr>
          <w:rFonts w:cs="仿宋_GB2312"/>
        </w:rPr>
      </w:pPr>
      <w:bookmarkStart w:id="57" w:name="_Toc22297"/>
      <w:bookmarkStart w:id="58" w:name="_Toc11473"/>
      <w:r>
        <w:rPr>
          <w:rFonts w:hint="eastAsia" w:cs="仿宋_GB2312"/>
        </w:rPr>
        <w:t>3.5 批发市场电力用户注册所需材料</w:t>
      </w:r>
      <w:bookmarkEnd w:id="57"/>
      <w:bookmarkEnd w:id="58"/>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（1）注册申请表</w:t>
      </w:r>
      <w:r>
        <w:rPr>
          <w:rFonts w:hint="eastAsia" w:ascii="仿宋_GB2312" w:hAnsi="仿宋_GB2312" w:cs="仿宋_GB2312"/>
          <w:szCs w:val="32"/>
          <w:lang w:eastAsia="zh-CN"/>
        </w:rPr>
        <w:t>、</w:t>
      </w:r>
      <w:r>
        <w:rPr>
          <w:rFonts w:hint="eastAsia" w:ascii="仿宋_GB2312" w:hAnsi="仿宋_GB2312" w:cs="仿宋_GB2312"/>
          <w:szCs w:val="32"/>
          <w:lang w:val="en-US" w:eastAsia="zh-CN"/>
        </w:rPr>
        <w:t>信用承诺书</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hint="eastAsia" w:ascii="仿宋_GB2312" w:hAnsi="仿宋_GB2312" w:eastAsia="仿宋_GB2312" w:cs="仿宋_GB2312"/>
          <w:szCs w:val="32"/>
          <w:lang w:eastAsia="zh-CN"/>
        </w:rPr>
      </w:pPr>
      <w:r>
        <w:rPr>
          <w:rFonts w:hint="eastAsia" w:ascii="仿宋_GB2312" w:hAnsi="仿宋_GB2312" w:cs="仿宋_GB2312"/>
          <w:szCs w:val="32"/>
        </w:rPr>
        <w:t>（2）营业执照</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（3）法定代表人（或授权委托人）身份证</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（4）供用电合同</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hint="eastAsia" w:ascii="仿宋_GB2312" w:hAnsi="仿宋_GB2312" w:eastAsia="仿宋_GB2312" w:cs="仿宋_GB2312"/>
          <w:szCs w:val="32"/>
          <w:lang w:eastAsia="zh-CN"/>
        </w:rPr>
      </w:pPr>
      <w:r>
        <w:rPr>
          <w:rFonts w:hint="eastAsia" w:ascii="仿宋_GB2312" w:hAnsi="仿宋_GB2312" w:cs="仿宋_GB2312"/>
          <w:szCs w:val="32"/>
        </w:rPr>
        <w:t>（5）</w:t>
      </w:r>
      <w:r>
        <w:rPr>
          <w:rFonts w:hint="eastAsia" w:ascii="仿宋_GB2312" w:hAnsi="仿宋_GB2312" w:cs="仿宋_GB2312"/>
          <w:szCs w:val="32"/>
          <w:lang w:val="en-US" w:eastAsia="zh-CN"/>
        </w:rPr>
        <w:t>第一联系人</w:t>
      </w:r>
      <w:r>
        <w:rPr>
          <w:rFonts w:hint="eastAsia" w:ascii="仿宋_GB2312" w:hAnsi="仿宋_GB2312" w:cs="仿宋_GB2312"/>
          <w:szCs w:val="32"/>
        </w:rPr>
        <w:t>授权委托书</w:t>
      </w:r>
      <w:r>
        <w:rPr>
          <w:rFonts w:hint="eastAsia" w:ascii="仿宋_GB2312" w:hAnsi="仿宋_GB2312" w:cs="仿宋_GB2312"/>
          <w:szCs w:val="32"/>
          <w:lang w:eastAsia="zh-CN"/>
        </w:rPr>
        <w:t>；</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（6）交易员授权委托书。</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（7）签署入市承诺书、入市协议。</w:t>
      </w:r>
    </w:p>
    <w:p>
      <w:pPr>
        <w:pStyle w:val="4"/>
        <w:numPr>
          <w:ilvl w:val="1"/>
          <w:numId w:val="0"/>
        </w:numPr>
        <w:spacing w:after="156"/>
        <w:ind w:left="640" w:leftChars="200"/>
        <w:rPr>
          <w:rFonts w:cs="仿宋_GB2312"/>
        </w:rPr>
      </w:pPr>
      <w:bookmarkStart w:id="59" w:name="_Toc8101"/>
      <w:bookmarkStart w:id="60" w:name="_Toc14038"/>
      <w:r>
        <w:rPr>
          <w:rFonts w:hint="eastAsia" w:cs="仿宋_GB2312"/>
        </w:rPr>
        <w:t>3.6 售电公司注册所需材料</w:t>
      </w:r>
      <w:bookmarkEnd w:id="59"/>
      <w:bookmarkEnd w:id="60"/>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（1）注册申请表</w:t>
      </w:r>
      <w:r>
        <w:rPr>
          <w:rFonts w:hint="eastAsia" w:ascii="仿宋_GB2312" w:hAnsi="仿宋_GB2312" w:cs="仿宋_GB2312"/>
          <w:szCs w:val="32"/>
          <w:lang w:eastAsia="zh-CN"/>
        </w:rPr>
        <w:t>、</w:t>
      </w:r>
      <w:r>
        <w:rPr>
          <w:rFonts w:hint="eastAsia" w:ascii="仿宋_GB2312" w:hAnsi="仿宋_GB2312" w:cs="仿宋_GB2312"/>
          <w:szCs w:val="32"/>
          <w:lang w:val="en-US" w:eastAsia="zh-CN"/>
        </w:rPr>
        <w:t>信用承诺书</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（2）营业执照</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（3）法定代表人身份</w:t>
      </w:r>
      <w:r>
        <w:rPr>
          <w:rFonts w:hint="eastAsia" w:ascii="仿宋_GB2312" w:hAnsi="仿宋_GB2312" w:cs="仿宋_GB2312"/>
          <w:szCs w:val="32"/>
          <w:lang w:eastAsia="zh-CN"/>
        </w:rPr>
        <w:t>；</w:t>
      </w:r>
    </w:p>
    <w:p>
      <w:pPr>
        <w:pStyle w:val="57"/>
        <w:adjustRightInd w:val="0"/>
        <w:snapToGrid w:val="0"/>
        <w:spacing w:line="560" w:lineRule="exact"/>
        <w:ind w:firstLine="640"/>
        <w:rPr>
          <w:rFonts w:hint="eastAsia" w:ascii="仿宋_GB2312" w:hAnsi="仿宋_GB2312" w:eastAsia="仿宋_GB2312" w:cs="仿宋_GB2312"/>
          <w:szCs w:val="32"/>
          <w:lang w:eastAsia="zh-CN"/>
        </w:rPr>
      </w:pPr>
      <w:r>
        <w:rPr>
          <w:rFonts w:hint="eastAsia" w:ascii="仿宋_GB2312" w:hAnsi="仿宋_GB2312" w:cs="仿宋_GB2312"/>
          <w:szCs w:val="32"/>
        </w:rPr>
        <w:t>（4）银行开户许可证或基本存款账户信息证明</w:t>
      </w:r>
      <w:r>
        <w:rPr>
          <w:rFonts w:hint="eastAsia" w:ascii="仿宋_GB2312" w:hAnsi="仿宋_GB2312" w:cs="仿宋_GB2312"/>
          <w:szCs w:val="32"/>
          <w:lang w:eastAsia="zh-CN"/>
        </w:rPr>
        <w:t>；</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5）资产证明，主要指具备资质、无不良信用记录的会计事务所出具的该售电公司近3个月内的资产评估报告，或近1年的审计报告，或近6个月的验资报告、银行流水，或开户银行出具的近1个月内的实收资本证明。审计报告、验资报告、银行流水、评估报告、实收资本证明等材料应大于或等于售电公司注册承诺的资产总额。</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（6）会计事务所信用证明，指为注册售电公司出具资产证明的会计事务所的信用证明。</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（7）企业及从业人员资质情况证明，包括企业人员职称证书、劳动合同和社保缴纳证明原件扫描件。</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（8）企业经营场所的商业地产不动产权证书</w:t>
      </w:r>
      <w:r>
        <w:rPr>
          <w:rFonts w:hint="eastAsia" w:ascii="仿宋_GB2312" w:hAnsi="仿宋_GB2312" w:cs="仿宋_GB2312"/>
          <w:szCs w:val="32"/>
          <w:lang w:val="en-US" w:eastAsia="zh-CN"/>
        </w:rPr>
        <w:t>和</w:t>
      </w:r>
      <w:r>
        <w:rPr>
          <w:rFonts w:hint="eastAsia" w:ascii="仿宋_GB2312" w:hAnsi="仿宋_GB2312" w:cs="仿宋_GB2312"/>
          <w:szCs w:val="32"/>
        </w:rPr>
        <w:t>一年及以上的租赁协议原件扫描件。</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（9）电力市场技术支持系统需要的信息系统和客户服务平台证明材料。</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（10）由信用中国网站出具的信用中国信用信息报告，中国人民银行出具的售电公司企业信用报告及法定代表人、主要股东（企业股东或个人股东）的征信报告，信用报告日期距离注册日期不得超过3个月。</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（11）</w:t>
      </w:r>
      <w:r>
        <w:rPr>
          <w:rFonts w:hint="eastAsia" w:ascii="仿宋_GB2312" w:hAnsi="仿宋_GB2312" w:cs="仿宋_GB2312"/>
          <w:szCs w:val="32"/>
          <w:lang w:val="en-US" w:eastAsia="zh-CN"/>
        </w:rPr>
        <w:t>第一联系人</w:t>
      </w:r>
      <w:r>
        <w:rPr>
          <w:rFonts w:hint="eastAsia" w:ascii="仿宋_GB2312" w:hAnsi="仿宋_GB2312" w:cs="仿宋_GB2312"/>
          <w:szCs w:val="32"/>
        </w:rPr>
        <w:t>授权委托书。</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（12）交易员授权委托书。</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（13）签署入市承诺书、入市协议。</w:t>
      </w:r>
    </w:p>
    <w:p>
      <w:pPr>
        <w:pStyle w:val="4"/>
        <w:numPr>
          <w:ilvl w:val="1"/>
          <w:numId w:val="0"/>
        </w:numPr>
        <w:spacing w:after="156"/>
        <w:ind w:left="640" w:leftChars="200"/>
        <w:rPr>
          <w:rFonts w:cs="仿宋_GB2312"/>
        </w:rPr>
      </w:pPr>
      <w:bookmarkStart w:id="61" w:name="_Toc7643"/>
      <w:bookmarkStart w:id="62" w:name="_Toc11172"/>
      <w:r>
        <w:rPr>
          <w:rFonts w:hint="eastAsia" w:cs="仿宋_GB2312"/>
        </w:rPr>
        <w:t>3.7 拥有配电网运营权的售电公司还需提供材料</w:t>
      </w:r>
      <w:bookmarkEnd w:id="61"/>
      <w:bookmarkEnd w:id="62"/>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（1）电力业务许可证（供电类）。</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（2）省级政府主管部门对配电网项目供电营业区的界定文件。</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（3）配电网电压等级，配电网地理接线图等相关资料。</w:t>
      </w:r>
    </w:p>
    <w:p>
      <w:pPr>
        <w:pStyle w:val="57"/>
        <w:adjustRightInd w:val="0"/>
        <w:snapToGrid w:val="0"/>
        <w:spacing w:line="560" w:lineRule="exact"/>
        <w:ind w:firstLine="525" w:firstLineChars="0"/>
        <w:rPr>
          <w:rFonts w:ascii="仿宋_GB2312" w:hAnsi="仿宋_GB2312" w:cs="仿宋_GB2312"/>
          <w:szCs w:val="32"/>
        </w:rPr>
      </w:pPr>
      <w:r>
        <w:rPr>
          <w:rFonts w:hint="eastAsia" w:ascii="仿宋_GB2312" w:hAnsi="仿宋_GB2312" w:cs="仿宋_GB2312"/>
          <w:szCs w:val="32"/>
        </w:rPr>
        <w:t>相关注册材料应提交扫描件，并注明“与原件一致”，由企业法定代表人（或授权委托人）签字并加盖公章；提交材料涉及签署，应使用黑色或蓝黑色钢笔或签字笔签署；未注明签署人的，自然人由本人签字，法人和其他组织由其法定代表人或授权委托人签字，并加盖公章</w:t>
      </w:r>
      <w:r>
        <w:rPr>
          <w:rFonts w:hint="eastAsia" w:ascii="仿宋_GB2312" w:hAnsi="仿宋_GB2312" w:cs="仿宋_GB2312"/>
          <w:szCs w:val="32"/>
          <w:lang w:eastAsia="zh-CN"/>
        </w:rPr>
        <w:t>，所有资料均需原件扫描件</w:t>
      </w:r>
      <w:r>
        <w:rPr>
          <w:rFonts w:hint="eastAsia" w:ascii="仿宋_GB2312" w:hAnsi="仿宋_GB2312" w:cs="仿宋_GB2312"/>
          <w:szCs w:val="32"/>
        </w:rPr>
        <w:t>。</w:t>
      </w:r>
    </w:p>
    <w:p>
      <w:pPr>
        <w:pStyle w:val="57"/>
        <w:adjustRightInd w:val="0"/>
        <w:snapToGrid w:val="0"/>
        <w:spacing w:line="560" w:lineRule="exact"/>
        <w:ind w:firstLine="525" w:firstLineChars="0"/>
        <w:rPr>
          <w:rFonts w:ascii="仿宋_GB2312" w:hAnsi="仿宋_GB2312" w:cs="仿宋_GB2312"/>
          <w:szCs w:val="32"/>
        </w:rPr>
      </w:pPr>
      <w:r>
        <w:rPr>
          <w:rFonts w:hint="eastAsia" w:ascii="仿宋_GB2312" w:hAnsi="仿宋_GB2312" w:cs="仿宋_GB2312"/>
          <w:szCs w:val="32"/>
        </w:rPr>
        <w:t>其他</w:t>
      </w:r>
      <w:r>
        <w:rPr>
          <w:rFonts w:hint="eastAsia" w:ascii="仿宋_GB2312" w:hAnsi="仿宋_GB2312" w:cs="仿宋_GB2312"/>
          <w:szCs w:val="32"/>
          <w:lang w:eastAsia="zh-CN"/>
        </w:rPr>
        <w:t>经营主体</w:t>
      </w:r>
      <w:r>
        <w:rPr>
          <w:rFonts w:hint="eastAsia" w:ascii="仿宋_GB2312" w:hAnsi="仿宋_GB2312" w:cs="仿宋_GB2312"/>
          <w:szCs w:val="32"/>
        </w:rPr>
        <w:t>准入条件由政府相关文件明确。电力交易机构提供注册服务。</w:t>
      </w:r>
    </w:p>
    <w:p>
      <w:pPr>
        <w:pStyle w:val="4"/>
        <w:numPr>
          <w:ilvl w:val="1"/>
          <w:numId w:val="0"/>
        </w:numPr>
        <w:spacing w:after="156"/>
        <w:ind w:left="640" w:leftChars="200"/>
        <w:rPr>
          <w:rFonts w:cs="仿宋_GB2312"/>
        </w:rPr>
      </w:pPr>
      <w:bookmarkStart w:id="63" w:name="_Toc2326"/>
      <w:bookmarkStart w:id="64" w:name="_Toc25941"/>
      <w:r>
        <w:rPr>
          <w:rFonts w:hint="eastAsia" w:cs="仿宋_GB2312"/>
        </w:rPr>
        <w:t>3.8 公示流程</w:t>
      </w:r>
      <w:bookmarkEnd w:id="63"/>
      <w:bookmarkEnd w:id="64"/>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（1）发电企业、售电公司注册申请通过后，电力交易机构通过湖南电力交易平台等网站，将</w:t>
      </w:r>
      <w:r>
        <w:rPr>
          <w:rFonts w:hint="eastAsia" w:ascii="仿宋_GB2312" w:hAnsi="仿宋_GB2312" w:cs="仿宋_GB2312"/>
          <w:szCs w:val="32"/>
          <w:lang w:eastAsia="zh-CN"/>
        </w:rPr>
        <w:t>经营主体</w:t>
      </w:r>
      <w:r>
        <w:rPr>
          <w:rFonts w:hint="eastAsia" w:ascii="仿宋_GB2312" w:hAnsi="仿宋_GB2312" w:cs="仿宋_GB2312"/>
          <w:szCs w:val="32"/>
        </w:rPr>
        <w:t>注册信息相关材料向社会公示，公示期为30天。</w:t>
      </w:r>
    </w:p>
    <w:p>
      <w:pPr>
        <w:pStyle w:val="57"/>
        <w:adjustRightInd w:val="0"/>
        <w:snapToGrid w:val="0"/>
        <w:spacing w:line="560" w:lineRule="exact"/>
        <w:ind w:firstLine="646" w:firstLineChars="202"/>
        <w:rPr>
          <w:rFonts w:ascii="仿宋_GB2312" w:hAnsi="仿宋_GB2312" w:cs="仿宋_GB2312"/>
          <w:szCs w:val="32"/>
        </w:rPr>
      </w:pPr>
      <w:r>
        <w:rPr>
          <w:rFonts w:hint="eastAsia" w:ascii="仿宋_GB2312" w:hAnsi="仿宋_GB2312" w:cs="仿宋_GB2312"/>
          <w:szCs w:val="32"/>
        </w:rPr>
        <w:t>（2）批发市场电力用户注册申请通过后，电力交易机构通过湖南电力交易平台等网站，将批发市场电力用户的信息相关材料向社会公示，公示期为10天。</w:t>
      </w:r>
    </w:p>
    <w:p>
      <w:pPr>
        <w:pStyle w:val="57"/>
        <w:adjustRightInd w:val="0"/>
        <w:snapToGrid w:val="0"/>
        <w:spacing w:line="560" w:lineRule="exact"/>
        <w:ind w:firstLine="640"/>
        <w:rPr>
          <w:rFonts w:ascii="仿宋_GB2312" w:hAnsi="仿宋_GB2312" w:cs="仿宋_GB2312"/>
          <w:szCs w:val="32"/>
        </w:rPr>
      </w:pPr>
      <w:r>
        <w:rPr>
          <w:rFonts w:hint="eastAsia" w:ascii="仿宋_GB2312" w:hAnsi="仿宋_GB2312" w:cs="仿宋_GB2312"/>
          <w:szCs w:val="32"/>
        </w:rPr>
        <w:t>（3）公示期满无异议的，</w:t>
      </w:r>
      <w:r>
        <w:rPr>
          <w:rFonts w:hint="eastAsia" w:ascii="仿宋_GB2312" w:hAnsi="仿宋_GB2312" w:cs="仿宋_GB2312"/>
          <w:szCs w:val="32"/>
          <w:lang w:eastAsia="zh-CN"/>
        </w:rPr>
        <w:t>经营主体</w:t>
      </w:r>
      <w:r>
        <w:rPr>
          <w:rFonts w:hint="eastAsia" w:ascii="仿宋_GB2312" w:hAnsi="仿宋_GB2312" w:cs="仿宋_GB2312"/>
          <w:szCs w:val="32"/>
        </w:rPr>
        <w:t>注册自动生效，电力交易机构为其交易账号配置权限。公示期间存在异议的，注册暂不生效，</w:t>
      </w:r>
      <w:r>
        <w:rPr>
          <w:rFonts w:hint="eastAsia" w:ascii="仿宋_GB2312" w:hAnsi="仿宋_GB2312" w:cs="仿宋_GB2312"/>
          <w:szCs w:val="32"/>
          <w:lang w:eastAsia="zh-CN"/>
        </w:rPr>
        <w:t>经营主体</w:t>
      </w:r>
      <w:r>
        <w:rPr>
          <w:rFonts w:hint="eastAsia" w:ascii="仿宋_GB2312" w:hAnsi="仿宋_GB2312" w:cs="仿宋_GB2312"/>
          <w:szCs w:val="32"/>
        </w:rPr>
        <w:t>可自愿提交补充材料并申请再次公示；经两次公示仍存在异议的，由湖南能源监管办、省发展改革委和省能源局核实处理。</w:t>
      </w:r>
    </w:p>
    <w:p>
      <w:pPr>
        <w:pStyle w:val="57"/>
        <w:adjustRightInd w:val="0"/>
        <w:snapToGrid w:val="0"/>
        <w:spacing w:line="560" w:lineRule="exact"/>
        <w:ind w:firstLine="640" w:firstLineChars="0"/>
        <w:rPr>
          <w:rFonts w:ascii="仿宋_GB2312" w:hAnsi="仿宋_GB2312" w:cs="仿宋_GB2312"/>
          <w:szCs w:val="32"/>
        </w:rPr>
      </w:pPr>
      <w:r>
        <w:rPr>
          <w:rFonts w:hint="eastAsia" w:ascii="仿宋_GB2312" w:hAnsi="仿宋_GB2312" w:cs="仿宋_GB2312"/>
          <w:szCs w:val="32"/>
        </w:rPr>
        <w:t>电力交易机构定期汇总</w:t>
      </w:r>
      <w:r>
        <w:rPr>
          <w:rFonts w:hint="eastAsia" w:ascii="仿宋_GB2312" w:hAnsi="仿宋_GB2312" w:cs="仿宋_GB2312"/>
          <w:szCs w:val="32"/>
          <w:lang w:eastAsia="zh-CN"/>
        </w:rPr>
        <w:t>经营主体</w:t>
      </w:r>
      <w:r>
        <w:rPr>
          <w:rFonts w:hint="eastAsia" w:ascii="仿宋_GB2312" w:hAnsi="仿宋_GB2312" w:cs="仿宋_GB2312"/>
          <w:szCs w:val="32"/>
        </w:rPr>
        <w:t>注册情况，建立交易</w:t>
      </w:r>
      <w:r>
        <w:rPr>
          <w:rFonts w:hint="eastAsia" w:ascii="仿宋_GB2312" w:hAnsi="仿宋_GB2312" w:cs="仿宋_GB2312"/>
          <w:szCs w:val="32"/>
          <w:lang w:eastAsia="zh-CN"/>
        </w:rPr>
        <w:t>经营主体</w:t>
      </w:r>
      <w:r>
        <w:rPr>
          <w:rFonts w:hint="eastAsia" w:ascii="仿宋_GB2312" w:hAnsi="仿宋_GB2312" w:cs="仿宋_GB2312"/>
          <w:szCs w:val="32"/>
        </w:rPr>
        <w:t>目录，实行动态管理，向湖南能源监管办、省发展改革委、省能源局和政府引入的第三方征信机构备案，并通过“信用中国”和电力交易平台向社会发布。</w:t>
      </w:r>
    </w:p>
    <w:p>
      <w:pPr>
        <w:pStyle w:val="57"/>
        <w:adjustRightInd w:val="0"/>
        <w:snapToGrid w:val="0"/>
        <w:spacing w:line="560" w:lineRule="exact"/>
        <w:ind w:firstLine="525" w:firstLineChars="0"/>
        <w:rPr>
          <w:rFonts w:ascii="仿宋_GB2312" w:hAnsi="仿宋_GB2312" w:cs="仿宋_GB2312"/>
          <w:szCs w:val="32"/>
        </w:rPr>
      </w:pPr>
      <w:r>
        <w:rPr>
          <w:rFonts w:hint="eastAsia" w:ascii="仿宋_GB2312" w:hAnsi="仿宋_GB2312" w:cs="仿宋_GB2312"/>
          <w:szCs w:val="32"/>
        </w:rPr>
        <w:t>电力交易机构对不满足准入条件的，应驳回注册申请并注明理由。对申请材料不符合要求的，应驳回注册申请并注明修改和补充意见，申请单位可按驳回意见完善申请材料并再次申请注册。申请单位修改和补充材料的时间不计算在审查工作时限内。</w:t>
      </w:r>
    </w:p>
    <w:p>
      <w:pPr>
        <w:pStyle w:val="57"/>
        <w:adjustRightInd w:val="0"/>
        <w:snapToGrid w:val="0"/>
        <w:spacing w:line="560" w:lineRule="exact"/>
        <w:ind w:firstLine="525" w:firstLineChars="0"/>
        <w:rPr>
          <w:rFonts w:ascii="仿宋_GB2312" w:hAnsi="仿宋_GB2312" w:cs="仿宋_GB2312"/>
          <w:szCs w:val="32"/>
        </w:rPr>
      </w:pPr>
      <w:r>
        <w:rPr>
          <w:rFonts w:hint="eastAsia" w:ascii="仿宋_GB2312" w:hAnsi="仿宋_GB2312" w:cs="仿宋_GB2312"/>
          <w:szCs w:val="32"/>
        </w:rPr>
        <w:t>对电力交易机构的决定有异议的，申请单位可以在收到处理通知之日起30日内向湖南能源监管办提请复议。</w:t>
      </w:r>
    </w:p>
    <w:p>
      <w:pPr>
        <w:pStyle w:val="57"/>
        <w:adjustRightInd w:val="0"/>
        <w:snapToGrid w:val="0"/>
        <w:spacing w:line="560" w:lineRule="exact"/>
        <w:ind w:firstLine="525" w:firstLineChars="0"/>
        <w:rPr>
          <w:rFonts w:ascii="仿宋_GB2312" w:hAnsi="仿宋_GB2312" w:cs="仿宋_GB2312"/>
          <w:szCs w:val="32"/>
        </w:rPr>
      </w:pPr>
      <w:r>
        <w:rPr>
          <w:rFonts w:hint="eastAsia" w:ascii="仿宋_GB2312" w:hAnsi="仿宋_GB2312" w:cs="仿宋_GB2312"/>
          <w:szCs w:val="32"/>
        </w:rPr>
        <w:t>对于参与批发市场的</w:t>
      </w:r>
      <w:r>
        <w:rPr>
          <w:rFonts w:hint="eastAsia" w:ascii="仿宋_GB2312" w:hAnsi="仿宋_GB2312" w:cs="仿宋_GB2312"/>
          <w:szCs w:val="32"/>
          <w:lang w:eastAsia="zh-CN"/>
        </w:rPr>
        <w:t>经营主体</w:t>
      </w:r>
      <w:r>
        <w:rPr>
          <w:rFonts w:hint="eastAsia" w:ascii="仿宋_GB2312" w:hAnsi="仿宋_GB2312" w:cs="仿宋_GB2312"/>
          <w:szCs w:val="32"/>
        </w:rPr>
        <w:t>，需使用数字证书UKey登录电力交易平台。</w:t>
      </w:r>
      <w:r>
        <w:rPr>
          <w:rFonts w:hint="eastAsia" w:ascii="仿宋_GB2312" w:hAnsi="仿宋_GB2312" w:cs="仿宋_GB2312"/>
          <w:szCs w:val="32"/>
          <w:lang w:eastAsia="zh-CN"/>
        </w:rPr>
        <w:t>经营主体</w:t>
      </w:r>
      <w:r>
        <w:rPr>
          <w:rFonts w:hint="eastAsia" w:ascii="仿宋_GB2312" w:hAnsi="仿宋_GB2312" w:cs="仿宋_GB2312"/>
          <w:szCs w:val="32"/>
        </w:rPr>
        <w:t>变更注册信息，须向电力交易机构提出申请，电力交易机构按照注册管理工作制度的规定办理。</w:t>
      </w:r>
    </w:p>
    <w:p>
      <w:pPr>
        <w:pStyle w:val="101"/>
        <w:spacing w:before="156" w:after="156"/>
        <w:ind w:firstLine="643"/>
        <w:rPr>
          <w:rFonts w:ascii="仿宋_GB2312" w:hAnsi="仿宋_GB2312" w:cs="仿宋_GB2312"/>
        </w:rPr>
      </w:pPr>
      <w:bookmarkStart w:id="65" w:name="_Toc13155"/>
      <w:bookmarkStart w:id="66" w:name="_Toc6148"/>
      <w:r>
        <w:rPr>
          <w:rFonts w:hint="eastAsia" w:ascii="仿宋_GB2312" w:hAnsi="仿宋_GB2312" w:cs="仿宋_GB2312"/>
        </w:rPr>
        <w:t>注册信息变</w:t>
      </w:r>
      <w:bookmarkEnd w:id="50"/>
      <w:r>
        <w:rPr>
          <w:rFonts w:hint="eastAsia" w:ascii="仿宋_GB2312" w:hAnsi="仿宋_GB2312" w:cs="仿宋_GB2312"/>
        </w:rPr>
        <w:t>更</w:t>
      </w:r>
      <w:bookmarkEnd w:id="65"/>
      <w:bookmarkEnd w:id="66"/>
    </w:p>
    <w:p>
      <w:pPr>
        <w:numPr>
          <w:ilvl w:val="1"/>
          <w:numId w:val="0"/>
        </w:numPr>
        <w:spacing w:after="156" w:line="560" w:lineRule="exact"/>
        <w:ind w:left="0" w:firstLine="640" w:firstLineChars="200"/>
        <w:rPr>
          <w:rFonts w:cs="仿宋_GB2312"/>
          <w:bCs/>
          <w:szCs w:val="32"/>
        </w:rPr>
      </w:pPr>
      <w:bookmarkStart w:id="67" w:name="_Toc13002"/>
      <w:r>
        <w:rPr>
          <w:rFonts w:hint="eastAsia" w:cs="仿宋_GB2312"/>
          <w:bCs/>
          <w:szCs w:val="32"/>
        </w:rPr>
        <w:t>4.1 信息变更</w:t>
      </w:r>
      <w:bookmarkEnd w:id="67"/>
    </w:p>
    <w:p>
      <w:pPr>
        <w:spacing w:line="560" w:lineRule="exact"/>
        <w:rPr>
          <w:rFonts w:ascii="仿宋_GB2312" w:hAnsi="仿宋_GB2312" w:cs="仿宋_GB2312"/>
        </w:rPr>
      </w:pPr>
      <w:r>
        <w:rPr>
          <w:rFonts w:hint="eastAsia" w:ascii="仿宋_GB2312" w:hAnsi="仿宋_GB2312" w:cs="仿宋_GB2312"/>
          <w:lang w:eastAsia="zh-CN"/>
        </w:rPr>
        <w:t>经营主体</w:t>
      </w:r>
      <w:r>
        <w:rPr>
          <w:rFonts w:hint="eastAsia" w:ascii="仿宋_GB2312" w:hAnsi="仿宋_GB2312" w:cs="仿宋_GB2312"/>
        </w:rPr>
        <w:t>注册信息变更时，须向电力交易机构提出申请，电力交易机构按照注册管理工作制度有关规定办理。信息变更包括但不限于：</w:t>
      </w:r>
    </w:p>
    <w:p>
      <w:pPr>
        <w:spacing w:line="560" w:lineRule="exact"/>
        <w:rPr>
          <w:rFonts w:ascii="仿宋_GB2312" w:hAnsi="仿宋_GB2312" w:cs="仿宋_GB2312"/>
        </w:rPr>
      </w:pPr>
      <w:r>
        <w:rPr>
          <w:rFonts w:hint="eastAsia" w:ascii="仿宋_GB2312" w:hAnsi="仿宋_GB2312" w:cs="仿宋_GB2312"/>
        </w:rPr>
        <w:t>（1）因新建、扩建、兼并、重组、合并、分立等导致</w:t>
      </w:r>
      <w:r>
        <w:rPr>
          <w:rFonts w:hint="eastAsia" w:ascii="仿宋_GB2312" w:hAnsi="仿宋_GB2312" w:cs="仿宋_GB2312"/>
          <w:lang w:eastAsia="zh-CN"/>
        </w:rPr>
        <w:t>经营主体</w:t>
      </w:r>
      <w:r>
        <w:rPr>
          <w:rFonts w:hint="eastAsia" w:ascii="仿宋_GB2312" w:hAnsi="仿宋_GB2312" w:cs="仿宋_GB2312"/>
        </w:rPr>
        <w:t>股权、经营权、营业范围发生变化的。</w:t>
      </w:r>
    </w:p>
    <w:p>
      <w:pPr>
        <w:spacing w:line="560" w:lineRule="exact"/>
        <w:rPr>
          <w:rFonts w:ascii="仿宋_GB2312" w:hAnsi="仿宋_GB2312" w:cs="仿宋_GB2312"/>
        </w:rPr>
      </w:pPr>
      <w:r>
        <w:rPr>
          <w:rFonts w:hint="eastAsia" w:ascii="仿宋_GB2312" w:hAnsi="仿宋_GB2312" w:cs="仿宋_GB2312"/>
        </w:rPr>
        <w:t>（2）企业更名、法人变更的。</w:t>
      </w:r>
    </w:p>
    <w:p>
      <w:pPr>
        <w:spacing w:line="560" w:lineRule="exact"/>
        <w:rPr>
          <w:rFonts w:ascii="仿宋_GB2312" w:hAnsi="仿宋_GB2312" w:cs="仿宋_GB2312"/>
        </w:rPr>
      </w:pPr>
      <w:r>
        <w:rPr>
          <w:rFonts w:hint="eastAsia" w:ascii="仿宋_GB2312" w:hAnsi="仿宋_GB2312" w:cs="仿宋_GB2312"/>
        </w:rPr>
        <w:t>（3）发电企业通过设备改造、大修、变更等，关键技术参数发生变化的。</w:t>
      </w:r>
    </w:p>
    <w:p>
      <w:pPr>
        <w:spacing w:line="560" w:lineRule="exact"/>
        <w:rPr>
          <w:rFonts w:ascii="仿宋_GB2312" w:hAnsi="仿宋_GB2312" w:cs="仿宋_GB2312"/>
        </w:rPr>
      </w:pPr>
      <w:r>
        <w:rPr>
          <w:rFonts w:hint="eastAsia" w:ascii="仿宋_GB2312" w:hAnsi="仿宋_GB2312" w:cs="仿宋_GB2312"/>
        </w:rPr>
        <w:t>（4）售电公司注册资本、资产总额、实缴资本、股东构成、统一社会信用代码变更的。</w:t>
      </w:r>
    </w:p>
    <w:p>
      <w:pPr>
        <w:spacing w:line="560" w:lineRule="exact"/>
        <w:rPr>
          <w:rFonts w:ascii="仿宋_GB2312" w:hAnsi="仿宋_GB2312" w:cs="仿宋_GB2312"/>
        </w:rPr>
      </w:pPr>
      <w:r>
        <w:rPr>
          <w:rFonts w:hint="eastAsia" w:ascii="仿宋_GB2312" w:hAnsi="仿宋_GB2312" w:cs="仿宋_GB2312"/>
        </w:rPr>
        <w:t>（5）其他与市场准入资质要求相关的信息变更等。</w:t>
      </w:r>
    </w:p>
    <w:p>
      <w:pPr>
        <w:numPr>
          <w:ilvl w:val="1"/>
          <w:numId w:val="0"/>
        </w:numPr>
        <w:spacing w:after="156" w:line="560" w:lineRule="exact"/>
        <w:ind w:left="640" w:leftChars="200" w:firstLine="0" w:firstLineChars="0"/>
        <w:rPr>
          <w:rFonts w:cs="仿宋_GB2312"/>
        </w:rPr>
      </w:pPr>
      <w:bookmarkStart w:id="68" w:name="_Toc8053"/>
      <w:r>
        <w:rPr>
          <w:rFonts w:hint="eastAsia" w:cs="仿宋_GB2312"/>
        </w:rPr>
        <w:t>4.2 变更流程</w:t>
      </w:r>
      <w:bookmarkEnd w:id="68"/>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（1）已在电力交易机构注册的</w:t>
      </w:r>
      <w:r>
        <w:rPr>
          <w:rFonts w:hint="eastAsia" w:ascii="仿宋_GB2312" w:hAnsi="仿宋_GB2312" w:cs="仿宋_GB2312"/>
          <w:szCs w:val="32"/>
          <w:lang w:eastAsia="zh-CN"/>
        </w:rPr>
        <w:t>经营主体</w:t>
      </w:r>
      <w:r>
        <w:rPr>
          <w:rFonts w:hint="eastAsia" w:ascii="仿宋_GB2312" w:hAnsi="仿宋_GB2312" w:cs="仿宋_GB2312"/>
          <w:szCs w:val="32"/>
        </w:rPr>
        <w:t>注册信息发生变化时，应在5个工作日内向电力交易机构申请变更，如果</w:t>
      </w:r>
      <w:r>
        <w:rPr>
          <w:rFonts w:hint="eastAsia" w:ascii="仿宋_GB2312" w:hAnsi="仿宋_GB2312" w:cs="仿宋_GB2312"/>
          <w:szCs w:val="32"/>
          <w:lang w:eastAsia="zh-CN"/>
        </w:rPr>
        <w:t>经营主体</w:t>
      </w:r>
      <w:r>
        <w:rPr>
          <w:rFonts w:hint="eastAsia" w:ascii="仿宋_GB2312" w:hAnsi="仿宋_GB2312" w:cs="仿宋_GB2312"/>
          <w:szCs w:val="32"/>
        </w:rPr>
        <w:t>类别、法人、业务范围、公司股东等有重大变化的，</w:t>
      </w:r>
      <w:r>
        <w:rPr>
          <w:rFonts w:hint="eastAsia" w:ascii="仿宋_GB2312" w:hAnsi="仿宋_GB2312" w:cs="仿宋_GB2312"/>
          <w:szCs w:val="32"/>
          <w:lang w:eastAsia="zh-CN"/>
        </w:rPr>
        <w:t>经营主体</w:t>
      </w:r>
      <w:r>
        <w:rPr>
          <w:rFonts w:hint="eastAsia" w:ascii="仿宋_GB2312" w:hAnsi="仿宋_GB2312" w:cs="仿宋_GB2312"/>
          <w:szCs w:val="32"/>
        </w:rPr>
        <w:t>应再次予以承诺、公示。公示期满无异议的，电力交易机构对注册信息变更申请及变更情况进行确认并向社会发布。</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（2）若</w:t>
      </w:r>
      <w:r>
        <w:rPr>
          <w:rFonts w:hint="eastAsia" w:ascii="仿宋_GB2312" w:hAnsi="仿宋_GB2312" w:cs="仿宋_GB2312"/>
          <w:szCs w:val="32"/>
          <w:lang w:eastAsia="zh-CN"/>
        </w:rPr>
        <w:t>经营主体</w:t>
      </w:r>
      <w:r>
        <w:rPr>
          <w:rFonts w:hint="eastAsia" w:ascii="仿宋_GB2312" w:hAnsi="仿宋_GB2312" w:cs="仿宋_GB2312"/>
          <w:szCs w:val="32"/>
        </w:rPr>
        <w:t>未按要求在电力交易机构进行信息变更，且拒不整改的，电力交易机构将情况报湖南能源监管办、省发展改革委和省能源局，并通过电力交易平台网站对外进行通报，该情况视为提供虚假信息纳入</w:t>
      </w:r>
      <w:r>
        <w:rPr>
          <w:rFonts w:hint="eastAsia" w:ascii="仿宋_GB2312" w:hAnsi="仿宋_GB2312" w:cs="仿宋_GB2312"/>
          <w:szCs w:val="32"/>
          <w:lang w:eastAsia="zh-CN"/>
        </w:rPr>
        <w:t>经营主体</w:t>
      </w:r>
      <w:r>
        <w:rPr>
          <w:rFonts w:hint="eastAsia" w:ascii="仿宋_GB2312" w:hAnsi="仿宋_GB2312" w:cs="仿宋_GB2312"/>
          <w:szCs w:val="32"/>
        </w:rPr>
        <w:t>信用评价。</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（3）</w:t>
      </w:r>
      <w:r>
        <w:rPr>
          <w:rFonts w:hint="eastAsia" w:ascii="仿宋_GB2312" w:hAnsi="仿宋_GB2312" w:cs="仿宋_GB2312"/>
          <w:szCs w:val="32"/>
          <w:lang w:eastAsia="zh-CN"/>
        </w:rPr>
        <w:t>经营主体</w:t>
      </w:r>
      <w:r>
        <w:rPr>
          <w:rFonts w:hint="eastAsia" w:ascii="仿宋_GB2312" w:hAnsi="仿宋_GB2312" w:cs="仿宋_GB2312"/>
          <w:szCs w:val="32"/>
        </w:rPr>
        <w:t>须及时根据实际情况对电力交易平台的注册信息进行动态更新，因注册信息未及时更新与实际信息不一致的，由</w:t>
      </w:r>
      <w:r>
        <w:rPr>
          <w:rFonts w:hint="eastAsia" w:ascii="仿宋_GB2312" w:hAnsi="仿宋_GB2312" w:cs="仿宋_GB2312"/>
          <w:szCs w:val="32"/>
          <w:lang w:eastAsia="zh-CN"/>
        </w:rPr>
        <w:t>经营主体</w:t>
      </w:r>
      <w:r>
        <w:rPr>
          <w:rFonts w:hint="eastAsia" w:ascii="仿宋_GB2312" w:hAnsi="仿宋_GB2312" w:cs="仿宋_GB2312"/>
          <w:szCs w:val="32"/>
        </w:rPr>
        <w:t>自行承担相应责任。</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4）已直接参与市场交易的电力用户发生并户、销户或者用电类别、电压等级等用电信息变更时，电力用户应先在电网营销办理变更业务，变更信息由营销系统同步至电力交易平台；发生新增户号时，电力用户在电网营销办理业务完成后，需在同一抄表周期内至电力交易平台办理新增户号业务。</w:t>
      </w:r>
    </w:p>
    <w:p>
      <w:pPr>
        <w:pStyle w:val="101"/>
        <w:spacing w:before="156" w:after="156"/>
        <w:ind w:firstLine="643"/>
        <w:rPr>
          <w:rFonts w:hint="eastAsia" w:ascii="仿宋_GB2312" w:hAnsi="仿宋_GB2312" w:cs="仿宋_GB2312"/>
        </w:rPr>
      </w:pPr>
      <w:bookmarkStart w:id="69" w:name="_Toc69712717"/>
      <w:bookmarkStart w:id="70" w:name="_Toc10094"/>
      <w:bookmarkStart w:id="71" w:name="_Toc19844"/>
      <w:r>
        <w:rPr>
          <w:rFonts w:hint="eastAsia" w:ascii="仿宋_GB2312" w:hAnsi="仿宋_GB2312" w:cs="仿宋_GB2312"/>
        </w:rPr>
        <w:t>市场退出管</w:t>
      </w:r>
      <w:bookmarkEnd w:id="69"/>
      <w:r>
        <w:rPr>
          <w:rFonts w:hint="eastAsia" w:ascii="仿宋_GB2312" w:hAnsi="仿宋_GB2312" w:cs="仿宋_GB2312"/>
        </w:rPr>
        <w:t>理</w:t>
      </w:r>
      <w:bookmarkEnd w:id="70"/>
      <w:bookmarkEnd w:id="71"/>
    </w:p>
    <w:bookmarkEnd w:id="26"/>
    <w:bookmarkEnd w:id="27"/>
    <w:bookmarkEnd w:id="28"/>
    <w:bookmarkEnd w:id="29"/>
    <w:bookmarkEnd w:id="30"/>
    <w:bookmarkEnd w:id="31"/>
    <w:bookmarkEnd w:id="32"/>
    <w:p>
      <w:pPr>
        <w:spacing w:line="560" w:lineRule="exact"/>
        <w:rPr>
          <w:rFonts w:ascii="仿宋_GB2312" w:hAnsi="仿宋_GB2312" w:cs="仿宋_GB2312"/>
        </w:rPr>
      </w:pPr>
      <w:r>
        <w:rPr>
          <w:rFonts w:hint="eastAsia" w:ascii="仿宋_GB2312" w:hAnsi="仿宋_GB2312" w:cs="仿宋_GB2312"/>
        </w:rPr>
        <w:t>在电力交易机构注册的售电公司、发电企业等</w:t>
      </w:r>
      <w:r>
        <w:rPr>
          <w:rFonts w:hint="eastAsia" w:ascii="仿宋_GB2312" w:hAnsi="仿宋_GB2312" w:cs="仿宋_GB2312"/>
          <w:lang w:eastAsia="zh-CN"/>
        </w:rPr>
        <w:t>经营主体</w:t>
      </w:r>
      <w:r>
        <w:rPr>
          <w:rFonts w:hint="eastAsia" w:ascii="仿宋_GB2312" w:hAnsi="仿宋_GB2312" w:cs="仿宋_GB2312"/>
        </w:rPr>
        <w:t>有下列情形之一的，应强制退出市场并注销注册，强制退出的</w:t>
      </w:r>
      <w:r>
        <w:rPr>
          <w:rFonts w:hint="eastAsia" w:ascii="仿宋_GB2312" w:hAnsi="仿宋_GB2312" w:cs="仿宋_GB2312"/>
          <w:lang w:eastAsia="zh-CN"/>
        </w:rPr>
        <w:t>经营主体</w:t>
      </w:r>
      <w:r>
        <w:rPr>
          <w:rFonts w:hint="eastAsia" w:ascii="仿宋_GB2312" w:hAnsi="仿宋_GB2312" w:cs="仿宋_GB2312"/>
        </w:rPr>
        <w:t>应按合同约定承担相应违约责任，电力交易机构可提出处罚建议报湖南能源监管办、省发展改革委和省能源局批准后执行:</w:t>
      </w:r>
    </w:p>
    <w:p>
      <w:pPr>
        <w:spacing w:line="560" w:lineRule="exact"/>
        <w:rPr>
          <w:rFonts w:ascii="仿宋_GB2312" w:hAnsi="仿宋_GB2312" w:cs="仿宋_GB2312"/>
        </w:rPr>
      </w:pPr>
      <w:r>
        <w:rPr>
          <w:rFonts w:hint="eastAsia" w:ascii="仿宋_GB2312" w:hAnsi="仿宋_GB2312" w:cs="仿宋_GB2312"/>
        </w:rPr>
        <w:t>（1）违反国家及省有关法律法规和产业政策规定的。</w:t>
      </w:r>
    </w:p>
    <w:p>
      <w:pPr>
        <w:spacing w:line="560" w:lineRule="exact"/>
        <w:rPr>
          <w:rFonts w:ascii="仿宋_GB2312" w:hAnsi="仿宋_GB2312" w:cs="仿宋_GB2312"/>
        </w:rPr>
      </w:pPr>
      <w:r>
        <w:rPr>
          <w:rFonts w:hint="eastAsia" w:ascii="仿宋_GB2312" w:hAnsi="仿宋_GB2312" w:cs="仿宋_GB2312"/>
        </w:rPr>
        <w:t>（2）严重违反市场交易规则、发生重大违约行为、恶意扰乱市场秩序，且拒不整改的。</w:t>
      </w:r>
    </w:p>
    <w:p>
      <w:pPr>
        <w:spacing w:line="560" w:lineRule="exact"/>
        <w:rPr>
          <w:rFonts w:ascii="仿宋_GB2312" w:hAnsi="仿宋_GB2312" w:cs="仿宋_GB2312"/>
        </w:rPr>
      </w:pPr>
      <w:r>
        <w:rPr>
          <w:rFonts w:hint="eastAsia" w:ascii="仿宋_GB2312" w:hAnsi="仿宋_GB2312" w:cs="仿宋_GB2312"/>
        </w:rPr>
        <w:t>（3）未按规定履行信息披露义务、拒绝接受监督检查、隐瞒有关情况或者以提供虚假申请材料等方式违法违规进入市场，且拒不整改的。</w:t>
      </w:r>
    </w:p>
    <w:p>
      <w:pPr>
        <w:spacing w:line="560" w:lineRule="exact"/>
        <w:rPr>
          <w:rFonts w:ascii="仿宋_GB2312" w:hAnsi="仿宋_GB2312" w:cs="仿宋_GB2312"/>
        </w:rPr>
      </w:pPr>
      <w:r>
        <w:rPr>
          <w:rFonts w:hint="eastAsia" w:ascii="仿宋_GB2312" w:hAnsi="仿宋_GB2312" w:cs="仿宋_GB2312"/>
        </w:rPr>
        <w:t>（4）依法被撤销、解散，依法宣告破产、歇业的。</w:t>
      </w:r>
    </w:p>
    <w:p>
      <w:pPr>
        <w:spacing w:line="560" w:lineRule="exact"/>
        <w:rPr>
          <w:rFonts w:ascii="仿宋_GB2312" w:hAnsi="仿宋_GB2312" w:cs="仿宋_GB2312"/>
        </w:rPr>
      </w:pPr>
      <w:r>
        <w:rPr>
          <w:rFonts w:hint="eastAsia" w:ascii="仿宋_GB2312" w:hAnsi="仿宋_GB2312" w:cs="仿宋_GB2312"/>
        </w:rPr>
        <w:t>（5）因自身原因不能持续保持准入条件、企业违反信用承诺且拒不整改或信用评价降低为不适合继续参与市场交易的。</w:t>
      </w:r>
    </w:p>
    <w:p>
      <w:pPr>
        <w:spacing w:line="560" w:lineRule="exact"/>
        <w:rPr>
          <w:rFonts w:ascii="仿宋_GB2312" w:hAnsi="仿宋_GB2312" w:cs="仿宋_GB2312"/>
        </w:rPr>
      </w:pPr>
      <w:r>
        <w:rPr>
          <w:rFonts w:hint="eastAsia" w:ascii="仿宋_GB2312" w:hAnsi="仿宋_GB2312" w:cs="仿宋_GB2312"/>
        </w:rPr>
        <w:t>（6）法律、法规规定的其他情形。</w:t>
      </w:r>
    </w:p>
    <w:p>
      <w:pPr>
        <w:spacing w:line="560" w:lineRule="exact"/>
        <w:rPr>
          <w:rFonts w:ascii="仿宋_GB2312" w:hAnsi="仿宋_GB2312" w:cs="仿宋_GB2312"/>
        </w:rPr>
      </w:pPr>
      <w:r>
        <w:rPr>
          <w:rFonts w:hint="eastAsia" w:ascii="仿宋_GB2312" w:hAnsi="仿宋_GB2312" w:cs="仿宋_GB2312"/>
        </w:rPr>
        <w:t>已经选择参与市场交易的发电企业、电力用户等</w:t>
      </w:r>
      <w:r>
        <w:rPr>
          <w:rFonts w:hint="eastAsia" w:ascii="仿宋_GB2312" w:hAnsi="仿宋_GB2312" w:cs="仿宋_GB2312"/>
          <w:lang w:eastAsia="zh-CN"/>
        </w:rPr>
        <w:t>经营主体</w:t>
      </w:r>
      <w:r>
        <w:rPr>
          <w:rFonts w:hint="eastAsia" w:ascii="仿宋_GB2312" w:hAnsi="仿宋_GB2312" w:cs="仿宋_GB2312"/>
        </w:rPr>
        <w:t>，原则上不得自行退出市场。有下列情形之一的，可办理正常退市手续，在办理正常退市手续后，执行国家有关发用电政策：</w:t>
      </w:r>
    </w:p>
    <w:p>
      <w:pPr>
        <w:spacing w:line="560" w:lineRule="exact"/>
        <w:rPr>
          <w:rFonts w:ascii="仿宋_GB2312" w:hAnsi="仿宋_GB2312" w:cs="仿宋_GB2312"/>
        </w:rPr>
      </w:pPr>
      <w:r>
        <w:rPr>
          <w:rFonts w:hint="eastAsia" w:ascii="仿宋_GB2312" w:hAnsi="仿宋_GB2312" w:cs="仿宋_GB2312"/>
        </w:rPr>
        <w:t>（1）</w:t>
      </w:r>
      <w:r>
        <w:rPr>
          <w:rFonts w:hint="eastAsia" w:ascii="仿宋_GB2312" w:hAnsi="仿宋_GB2312" w:cs="仿宋_GB2312"/>
          <w:lang w:eastAsia="zh-CN"/>
        </w:rPr>
        <w:t>经营主体</w:t>
      </w:r>
      <w:r>
        <w:rPr>
          <w:rFonts w:hint="eastAsia" w:ascii="仿宋_GB2312" w:hAnsi="仿宋_GB2312" w:cs="仿宋_GB2312"/>
        </w:rPr>
        <w:t>宣告破产，不再发电、用电或者经营。</w:t>
      </w:r>
    </w:p>
    <w:p>
      <w:pPr>
        <w:spacing w:line="560" w:lineRule="exact"/>
        <w:rPr>
          <w:rFonts w:ascii="仿宋_GB2312" w:hAnsi="仿宋_GB2312" w:cs="仿宋_GB2312"/>
        </w:rPr>
      </w:pPr>
      <w:r>
        <w:rPr>
          <w:rFonts w:hint="eastAsia" w:ascii="仿宋_GB2312" w:hAnsi="仿宋_GB2312" w:cs="仿宋_GB2312"/>
        </w:rPr>
        <w:t>（2）因国家政策、电力市场规则发生重大调整，导致原有</w:t>
      </w:r>
      <w:r>
        <w:rPr>
          <w:rFonts w:hint="eastAsia" w:ascii="仿宋_GB2312" w:hAnsi="仿宋_GB2312" w:cs="仿宋_GB2312"/>
          <w:lang w:eastAsia="zh-CN"/>
        </w:rPr>
        <w:t>经营主体</w:t>
      </w:r>
      <w:r>
        <w:rPr>
          <w:rFonts w:hint="eastAsia" w:ascii="仿宋_GB2312" w:hAnsi="仿宋_GB2312" w:cs="仿宋_GB2312"/>
        </w:rPr>
        <w:t>非自身原因无法继续参加市场的情况。</w:t>
      </w:r>
    </w:p>
    <w:p>
      <w:pPr>
        <w:spacing w:line="560" w:lineRule="exact"/>
        <w:rPr>
          <w:rFonts w:ascii="仿宋_GB2312" w:hAnsi="仿宋_GB2312" w:cs="仿宋_GB2312"/>
        </w:rPr>
      </w:pPr>
      <w:r>
        <w:rPr>
          <w:rFonts w:hint="eastAsia" w:ascii="仿宋_GB2312" w:hAnsi="仿宋_GB2312" w:cs="仿宋_GB2312"/>
        </w:rPr>
        <w:t>（3）因电网网架调整，导致发电企业、电力用户的发用电物理属性无法满足所在地区的市场准入条件。</w:t>
      </w:r>
    </w:p>
    <w:p>
      <w:pPr>
        <w:spacing w:line="560" w:lineRule="exact"/>
        <w:rPr>
          <w:rFonts w:ascii="仿宋_GB2312" w:hAnsi="仿宋_GB2312" w:cs="仿宋_GB2312"/>
        </w:rPr>
      </w:pPr>
      <w:r>
        <w:rPr>
          <w:rFonts w:hint="eastAsia" w:ascii="仿宋_GB2312" w:hAnsi="仿宋_GB2312" w:cs="仿宋_GB2312"/>
        </w:rPr>
        <w:t>（4）电力用户用电类别变更，不再满足市场准入条件。</w:t>
      </w:r>
    </w:p>
    <w:p>
      <w:pPr>
        <w:spacing w:line="560" w:lineRule="exact"/>
        <w:rPr>
          <w:rFonts w:ascii="仿宋_GB2312" w:hAnsi="仿宋_GB2312" w:cs="仿宋_GB2312"/>
        </w:rPr>
      </w:pPr>
      <w:r>
        <w:rPr>
          <w:rFonts w:hint="eastAsia" w:ascii="仿宋_GB2312" w:hAnsi="仿宋_GB2312" w:cs="仿宋_GB2312"/>
        </w:rPr>
        <w:t>发电企业、电力用户等</w:t>
      </w:r>
      <w:r>
        <w:rPr>
          <w:rFonts w:hint="eastAsia" w:ascii="仿宋_GB2312" w:hAnsi="仿宋_GB2312" w:cs="仿宋_GB2312"/>
          <w:lang w:eastAsia="zh-CN"/>
        </w:rPr>
        <w:t>经营主体</w:t>
      </w:r>
      <w:r>
        <w:rPr>
          <w:rFonts w:hint="eastAsia" w:ascii="仿宋_GB2312" w:hAnsi="仿宋_GB2312" w:cs="仿宋_GB2312"/>
        </w:rPr>
        <w:t>存在上述情形的可申请退出市场，并提前30个工作日向电力交易机构提交退出申请，申请内容包括：</w:t>
      </w:r>
    </w:p>
    <w:p>
      <w:pPr>
        <w:spacing w:line="560" w:lineRule="exact"/>
        <w:rPr>
          <w:rFonts w:ascii="仿宋_GB2312" w:hAnsi="仿宋_GB2312" w:cs="仿宋_GB2312"/>
        </w:rPr>
      </w:pPr>
      <w:r>
        <w:rPr>
          <w:rFonts w:hint="eastAsia" w:ascii="仿宋_GB2312" w:hAnsi="仿宋_GB2312" w:cs="仿宋_GB2312"/>
        </w:rPr>
        <w:t>（1）市场退出原因。</w:t>
      </w:r>
    </w:p>
    <w:p>
      <w:pPr>
        <w:spacing w:line="560" w:lineRule="exact"/>
        <w:rPr>
          <w:rFonts w:ascii="仿宋_GB2312" w:hAnsi="仿宋_GB2312" w:cs="仿宋_GB2312"/>
        </w:rPr>
      </w:pPr>
      <w:r>
        <w:rPr>
          <w:rFonts w:hint="eastAsia" w:ascii="仿宋_GB2312" w:hAnsi="仿宋_GB2312" w:cs="仿宋_GB2312"/>
        </w:rPr>
        <w:t>（2）与其它</w:t>
      </w:r>
      <w:r>
        <w:rPr>
          <w:rFonts w:hint="eastAsia" w:ascii="仿宋_GB2312" w:hAnsi="仿宋_GB2312" w:cs="仿宋_GB2312"/>
          <w:lang w:eastAsia="zh-CN"/>
        </w:rPr>
        <w:t>经营主体</w:t>
      </w:r>
      <w:r>
        <w:rPr>
          <w:rFonts w:hint="eastAsia" w:ascii="仿宋_GB2312" w:hAnsi="仿宋_GB2312" w:cs="仿宋_GB2312"/>
        </w:rPr>
        <w:t>之间的交易及结算情况。</w:t>
      </w:r>
    </w:p>
    <w:p>
      <w:pPr>
        <w:spacing w:line="560" w:lineRule="exact"/>
        <w:rPr>
          <w:rFonts w:ascii="仿宋_GB2312" w:hAnsi="仿宋_GB2312" w:cs="仿宋_GB2312"/>
        </w:rPr>
      </w:pPr>
      <w:r>
        <w:rPr>
          <w:rFonts w:hint="eastAsia" w:ascii="仿宋_GB2312" w:hAnsi="仿宋_GB2312" w:cs="仿宋_GB2312"/>
        </w:rPr>
        <w:t>（3）与其它</w:t>
      </w:r>
      <w:r>
        <w:rPr>
          <w:rFonts w:hint="eastAsia" w:ascii="仿宋_GB2312" w:hAnsi="仿宋_GB2312" w:cs="仿宋_GB2312"/>
          <w:lang w:eastAsia="zh-CN"/>
        </w:rPr>
        <w:t>经营主体</w:t>
      </w:r>
      <w:r>
        <w:rPr>
          <w:rFonts w:hint="eastAsia" w:ascii="仿宋_GB2312" w:hAnsi="仿宋_GB2312" w:cs="仿宋_GB2312"/>
        </w:rPr>
        <w:t>之间尚未履行完毕的交易协议的处理情况。</w:t>
      </w:r>
    </w:p>
    <w:p>
      <w:pPr>
        <w:spacing w:line="560" w:lineRule="exact"/>
        <w:rPr>
          <w:rFonts w:ascii="仿宋_GB2312" w:hAnsi="仿宋_GB2312" w:cs="仿宋_GB2312"/>
        </w:rPr>
      </w:pPr>
      <w:r>
        <w:rPr>
          <w:rFonts w:hint="eastAsia" w:ascii="仿宋_GB2312" w:hAnsi="仿宋_GB2312" w:cs="仿宋_GB2312"/>
        </w:rPr>
        <w:t>（四）当有下列情形之一时，拒绝该</w:t>
      </w:r>
      <w:r>
        <w:rPr>
          <w:rFonts w:hint="eastAsia" w:ascii="仿宋_GB2312" w:hAnsi="仿宋_GB2312" w:cs="仿宋_GB2312"/>
          <w:lang w:eastAsia="zh-CN"/>
        </w:rPr>
        <w:t>经营主体</w:t>
      </w:r>
      <w:r>
        <w:rPr>
          <w:rFonts w:hint="eastAsia" w:ascii="仿宋_GB2312" w:hAnsi="仿宋_GB2312" w:cs="仿宋_GB2312"/>
        </w:rPr>
        <w:t>的退出：</w:t>
      </w:r>
    </w:p>
    <w:p>
      <w:pPr>
        <w:spacing w:line="560" w:lineRule="exact"/>
        <w:rPr>
          <w:rFonts w:ascii="仿宋_GB2312" w:hAnsi="仿宋_GB2312" w:cs="仿宋_GB2312"/>
        </w:rPr>
      </w:pPr>
      <w:r>
        <w:rPr>
          <w:rFonts w:hint="eastAsia" w:ascii="仿宋_GB2312" w:hAnsi="仿宋_GB2312" w:cs="仿宋_GB2312"/>
        </w:rPr>
        <w:t>（1）该</w:t>
      </w:r>
      <w:r>
        <w:rPr>
          <w:rFonts w:hint="eastAsia" w:ascii="仿宋_GB2312" w:hAnsi="仿宋_GB2312" w:cs="仿宋_GB2312"/>
          <w:lang w:eastAsia="zh-CN"/>
        </w:rPr>
        <w:t>经营主体</w:t>
      </w:r>
      <w:r>
        <w:rPr>
          <w:rFonts w:hint="eastAsia" w:ascii="仿宋_GB2312" w:hAnsi="仿宋_GB2312" w:cs="仿宋_GB2312"/>
        </w:rPr>
        <w:t>的退出将影响电网安全稳定运行，影响关联用户正常供电等。</w:t>
      </w:r>
    </w:p>
    <w:p>
      <w:pPr>
        <w:spacing w:line="560" w:lineRule="exact"/>
        <w:rPr>
          <w:rFonts w:ascii="仿宋_GB2312" w:hAnsi="仿宋_GB2312" w:cs="仿宋_GB2312"/>
        </w:rPr>
      </w:pPr>
      <w:r>
        <w:rPr>
          <w:rFonts w:hint="eastAsia" w:ascii="仿宋_GB2312" w:hAnsi="仿宋_GB2312" w:cs="仿宋_GB2312"/>
        </w:rPr>
        <w:t>（2）该</w:t>
      </w:r>
      <w:r>
        <w:rPr>
          <w:rFonts w:hint="eastAsia" w:ascii="仿宋_GB2312" w:hAnsi="仿宋_GB2312" w:cs="仿宋_GB2312"/>
          <w:lang w:eastAsia="zh-CN"/>
        </w:rPr>
        <w:t>经营主体</w:t>
      </w:r>
      <w:r>
        <w:rPr>
          <w:rFonts w:hint="eastAsia" w:ascii="仿宋_GB2312" w:hAnsi="仿宋_GB2312" w:cs="仿宋_GB2312"/>
        </w:rPr>
        <w:t>有应当履行而未履行的责任和义务。</w:t>
      </w:r>
    </w:p>
    <w:p>
      <w:pPr>
        <w:spacing w:line="560" w:lineRule="exact"/>
        <w:rPr>
          <w:rFonts w:ascii="仿宋_GB2312" w:hAnsi="仿宋_GB2312" w:cs="仿宋_GB2312"/>
        </w:rPr>
      </w:pPr>
      <w:r>
        <w:rPr>
          <w:rFonts w:hint="eastAsia" w:ascii="仿宋_GB2312" w:hAnsi="仿宋_GB2312" w:cs="仿宋_GB2312"/>
        </w:rPr>
        <w:t>售电公司退出按照《国家发展改革委 国家能源局关于印发&lt;售电公司管理办法&gt;的通知》（发改体改规〔2021〕1595号）及湖南能源监管办、省发展改革委、省能源局有关规定执行。</w:t>
      </w:r>
    </w:p>
    <w:p>
      <w:pPr>
        <w:spacing w:line="560" w:lineRule="exact"/>
        <w:rPr>
          <w:rFonts w:ascii="仿宋_GB2312" w:hAnsi="仿宋_GB2312" w:cs="仿宋_GB2312"/>
        </w:rPr>
      </w:pPr>
      <w:r>
        <w:rPr>
          <w:rFonts w:hint="eastAsia" w:ascii="仿宋_GB2312" w:hAnsi="仿宋_GB2312" w:cs="仿宋_GB2312"/>
        </w:rPr>
        <w:t>电力用户因自身原因无法履约的按合同约定承担相应违约责任；非自身原因无法履约的，应提前至少30天，以书面形式告知电网企业、电力交易机构以及其他相关方，由售电公司代理的应与代理售电公司协商一致后签订《电力零售市场购售电意向解除协议》，并处理好相关事宜。</w:t>
      </w:r>
    </w:p>
    <w:p>
      <w:pPr>
        <w:spacing w:line="560" w:lineRule="exact"/>
        <w:rPr>
          <w:rFonts w:ascii="仿宋_GB2312" w:hAnsi="仿宋_GB2312" w:cs="仿宋_GB2312"/>
        </w:rPr>
      </w:pPr>
      <w:r>
        <w:rPr>
          <w:rFonts w:hint="eastAsia" w:ascii="仿宋_GB2312" w:hAnsi="仿宋_GB2312" w:cs="仿宋_GB2312"/>
        </w:rPr>
        <w:t>无正当理由退市的售电公司、发电企业等</w:t>
      </w:r>
      <w:r>
        <w:rPr>
          <w:rFonts w:hint="eastAsia" w:ascii="仿宋_GB2312" w:hAnsi="仿宋_GB2312" w:cs="仿宋_GB2312"/>
          <w:lang w:eastAsia="zh-CN"/>
        </w:rPr>
        <w:t>经营主体</w:t>
      </w:r>
      <w:r>
        <w:rPr>
          <w:rFonts w:hint="eastAsia" w:ascii="仿宋_GB2312" w:hAnsi="仿宋_GB2312" w:cs="仿宋_GB2312"/>
        </w:rPr>
        <w:t>，原则上原法人以及其法人代表3年内不得再选择电力市场化交易，由电力交易机构进行注销，并向社会公示。</w:t>
      </w:r>
    </w:p>
    <w:p>
      <w:pPr>
        <w:spacing w:line="560" w:lineRule="exact"/>
        <w:rPr>
          <w:rFonts w:ascii="仿宋_GB2312" w:hAnsi="仿宋_GB2312" w:cs="仿宋_GB2312"/>
        </w:rPr>
      </w:pPr>
      <w:r>
        <w:rPr>
          <w:rFonts w:hint="eastAsia" w:ascii="仿宋_GB2312" w:hAnsi="仿宋_GB2312" w:cs="仿宋_GB2312"/>
        </w:rPr>
        <w:t>已直接参与市场交易（不含已在电力交易平台注册但仍由电网企业代理购电的用户）在无正当理由情况下改由电网企业代理购电的、拥有燃煤发电自备电厂且由电网企业代理购电的、暂不能直接参与市场交易的高耗能用户由电网企业代理购电的的用户，用电价格由电网企业代理购电价格的1.5倍、输配电价、政府性基金及附加组成。</w:t>
      </w:r>
    </w:p>
    <w:p>
      <w:pPr>
        <w:spacing w:line="560" w:lineRule="exact"/>
        <w:rPr>
          <w:rFonts w:ascii="仿宋_GB2312" w:hAnsi="仿宋_GB2312" w:cs="仿宋_GB2312"/>
        </w:rPr>
      </w:pPr>
      <w:r>
        <w:rPr>
          <w:rFonts w:hint="eastAsia" w:ascii="仿宋_GB2312" w:hAnsi="仿宋_GB2312" w:cs="仿宋_GB2312"/>
        </w:rPr>
        <w:t>售电公司、发电企业等</w:t>
      </w:r>
      <w:r>
        <w:rPr>
          <w:rFonts w:hint="eastAsia" w:ascii="仿宋_GB2312" w:hAnsi="仿宋_GB2312" w:cs="仿宋_GB2312"/>
          <w:lang w:eastAsia="zh-CN"/>
        </w:rPr>
        <w:t>经营主体</w:t>
      </w:r>
      <w:r>
        <w:rPr>
          <w:rFonts w:hint="eastAsia" w:ascii="仿宋_GB2312" w:hAnsi="仿宋_GB2312" w:cs="仿宋_GB2312"/>
        </w:rPr>
        <w:t>退出后，执行下列规定：</w:t>
      </w:r>
    </w:p>
    <w:p>
      <w:pPr>
        <w:spacing w:line="560" w:lineRule="exact"/>
        <w:rPr>
          <w:rFonts w:ascii="仿宋_GB2312" w:hAnsi="仿宋_GB2312" w:cs="仿宋_GB2312"/>
        </w:rPr>
      </w:pPr>
      <w:r>
        <w:rPr>
          <w:rFonts w:hint="eastAsia" w:ascii="仿宋_GB2312" w:hAnsi="仿宋_GB2312" w:cs="仿宋_GB2312"/>
        </w:rPr>
        <w:t>（1）该</w:t>
      </w:r>
      <w:r>
        <w:rPr>
          <w:rFonts w:hint="eastAsia" w:ascii="仿宋_GB2312" w:hAnsi="仿宋_GB2312" w:cs="仿宋_GB2312"/>
          <w:lang w:eastAsia="zh-CN"/>
        </w:rPr>
        <w:t>经营主体</w:t>
      </w:r>
      <w:r>
        <w:rPr>
          <w:rFonts w:hint="eastAsia" w:ascii="仿宋_GB2312" w:hAnsi="仿宋_GB2312" w:cs="仿宋_GB2312"/>
        </w:rPr>
        <w:t>应按规定停止其在市场中的所有交易活动。</w:t>
      </w:r>
    </w:p>
    <w:p>
      <w:pPr>
        <w:spacing w:line="560" w:lineRule="exact"/>
        <w:rPr>
          <w:rFonts w:ascii="仿宋_GB2312" w:hAnsi="仿宋_GB2312" w:cs="仿宋_GB2312"/>
        </w:rPr>
      </w:pPr>
      <w:r>
        <w:rPr>
          <w:rFonts w:hint="eastAsia" w:ascii="仿宋_GB2312" w:hAnsi="仿宋_GB2312" w:cs="仿宋_GB2312"/>
        </w:rPr>
        <w:t>（2）</w:t>
      </w:r>
      <w:r>
        <w:rPr>
          <w:rFonts w:hint="eastAsia" w:ascii="仿宋_GB2312" w:hAnsi="仿宋_GB2312" w:cs="仿宋_GB2312"/>
          <w:lang w:eastAsia="zh-CN"/>
        </w:rPr>
        <w:t>经营主体</w:t>
      </w:r>
      <w:r>
        <w:rPr>
          <w:rFonts w:hint="eastAsia" w:ascii="仿宋_GB2312" w:hAnsi="仿宋_GB2312" w:cs="仿宋_GB2312"/>
        </w:rPr>
        <w:t>在办理退出手续后15个工作日内，应结清与所有相关</w:t>
      </w:r>
      <w:r>
        <w:rPr>
          <w:rFonts w:hint="eastAsia" w:ascii="仿宋_GB2312" w:hAnsi="仿宋_GB2312" w:cs="仿宋_GB2312"/>
          <w:lang w:eastAsia="zh-CN"/>
        </w:rPr>
        <w:t>经营主体</w:t>
      </w:r>
      <w:r>
        <w:rPr>
          <w:rFonts w:hint="eastAsia" w:ascii="仿宋_GB2312" w:hAnsi="仿宋_GB2312" w:cs="仿宋_GB2312"/>
        </w:rPr>
        <w:t>的账目及款项。</w:t>
      </w:r>
    </w:p>
    <w:p>
      <w:pPr>
        <w:spacing w:line="560" w:lineRule="exact"/>
        <w:rPr>
          <w:rFonts w:ascii="仿宋_GB2312" w:hAnsi="仿宋_GB2312" w:cs="仿宋_GB2312"/>
        </w:rPr>
      </w:pPr>
      <w:r>
        <w:rPr>
          <w:rFonts w:hint="eastAsia" w:ascii="仿宋_GB2312" w:hAnsi="仿宋_GB2312" w:cs="仿宋_GB2312"/>
        </w:rPr>
        <w:t>（3）注册资格退出后，该</w:t>
      </w:r>
      <w:r>
        <w:rPr>
          <w:rFonts w:hint="eastAsia" w:ascii="仿宋_GB2312" w:hAnsi="仿宋_GB2312" w:cs="仿宋_GB2312"/>
          <w:lang w:eastAsia="zh-CN"/>
        </w:rPr>
        <w:t>经营主体</w:t>
      </w:r>
      <w:r>
        <w:rPr>
          <w:rFonts w:hint="eastAsia" w:ascii="仿宋_GB2312" w:hAnsi="仿宋_GB2312" w:cs="仿宋_GB2312"/>
        </w:rPr>
        <w:t>应将所有已签订的交易合同履行完毕或转让，并按合同约定承担相应违约责任，妥善处理相关事宜。</w:t>
      </w:r>
    </w:p>
    <w:p>
      <w:pPr>
        <w:widowControl/>
        <w:spacing w:line="560" w:lineRule="exact"/>
        <w:ind w:firstLine="640"/>
        <w:jc w:val="both"/>
        <w:rPr>
          <w:rFonts w:ascii="仿宋_GB2312" w:hAnsi="仿宋_GB2312" w:cs="仿宋_GB2312"/>
          <w:color w:val="000000" w:themeColor="text1"/>
          <w:sz w:val="32"/>
          <w:szCs w:val="24"/>
          <w14:textFill>
            <w14:solidFill>
              <w14:schemeClr w14:val="tx1"/>
            </w14:solidFill>
          </w14:textFill>
        </w:rPr>
      </w:pPr>
      <w:r>
        <w:rPr>
          <w:rFonts w:hint="eastAsia" w:ascii="仿宋_GB2312" w:hAnsi="仿宋_GB2312" w:cs="仿宋_GB2312"/>
        </w:rPr>
        <w:t>（4）</w:t>
      </w:r>
      <w:r>
        <w:rPr>
          <w:rFonts w:hint="eastAsia" w:ascii="仿宋_GB2312" w:hAnsi="仿宋_GB2312" w:cs="仿宋_GB2312"/>
          <w:lang w:eastAsia="zh-CN"/>
        </w:rPr>
        <w:t>经营主体</w:t>
      </w:r>
      <w:r>
        <w:rPr>
          <w:rFonts w:hint="eastAsia" w:ascii="仿宋_GB2312" w:hAnsi="仿宋_GB2312" w:cs="仿宋_GB2312"/>
        </w:rPr>
        <w:t>退出后，该</w:t>
      </w:r>
      <w:r>
        <w:rPr>
          <w:rFonts w:hint="eastAsia" w:ascii="仿宋_GB2312" w:hAnsi="仿宋_GB2312" w:cs="仿宋_GB2312"/>
          <w:lang w:eastAsia="zh-CN"/>
        </w:rPr>
        <w:t>经营主体</w:t>
      </w:r>
      <w:r>
        <w:rPr>
          <w:rFonts w:hint="eastAsia" w:ascii="仿宋_GB2312" w:hAnsi="仿宋_GB2312" w:cs="仿宋_GB2312"/>
        </w:rPr>
        <w:t>在其资格停止前与另一</w:t>
      </w:r>
      <w:r>
        <w:rPr>
          <w:rFonts w:hint="eastAsia" w:ascii="仿宋_GB2312" w:hAnsi="仿宋_GB2312" w:cs="仿宋_GB2312"/>
          <w:lang w:eastAsia="zh-CN"/>
        </w:rPr>
        <w:t>经营主体</w:t>
      </w:r>
      <w:r>
        <w:rPr>
          <w:rFonts w:hint="eastAsia" w:ascii="仿宋_GB2312" w:hAnsi="仿宋_GB2312" w:cs="仿宋_GB2312"/>
        </w:rPr>
        <w:t>存在的争议按照此前合同约定解决。</w:t>
      </w:r>
    </w:p>
    <w:sectPr>
      <w:footerReference r:id="rId18" w:type="first"/>
      <w:headerReference r:id="rId14" w:type="default"/>
      <w:footerReference r:id="rId16" w:type="default"/>
      <w:headerReference r:id="rId15" w:type="even"/>
      <w:footerReference r:id="rId17" w:type="even"/>
      <w:pgSz w:w="11907" w:h="16840"/>
      <w:pgMar w:top="1440" w:right="1803" w:bottom="1440" w:left="1803" w:header="850" w:footer="992" w:gutter="0"/>
      <w:pgNumType w:fmt="decimal" w:start="1"/>
      <w:cols w:space="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0"/>
      <w:jc w:val="right"/>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rPr>
                            <w:id w:val="462168626"/>
                          </w:sdtPr>
                          <w:sdtEndPr>
                            <w:rPr>
                              <w:sz w:val="21"/>
                            </w:rPr>
                          </w:sdtEndPr>
                          <w:sdtContent>
                            <w:p>
                              <w:pPr>
                                <w:pStyle w:val="21"/>
                                <w:ind w:firstLine="420"/>
                                <w:jc w:val="right"/>
                                <w:rPr>
                                  <w:sz w:val="21"/>
                                </w:rPr>
                              </w:pPr>
                              <w:r>
                                <w:rPr>
                                  <w:sz w:val="21"/>
                                </w:rPr>
                                <w:fldChar w:fldCharType="begin"/>
                              </w:r>
                              <w:r>
                                <w:rPr>
                                  <w:sz w:val="21"/>
                                </w:rPr>
                                <w:instrText xml:space="preserve"> PAGE   \* MERGEFORMAT </w:instrText>
                              </w:r>
                              <w:r>
                                <w:rPr>
                                  <w:sz w:val="21"/>
                                </w:rPr>
                                <w:fldChar w:fldCharType="separate"/>
                              </w:r>
                              <w:r>
                                <w:rPr>
                                  <w:sz w:val="21"/>
                                  <w:lang w:val="zh-CN"/>
                                </w:rPr>
                                <w:t>15</w:t>
                              </w:r>
                              <w:r>
                                <w:rPr>
                                  <w:sz w:val="21"/>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sz w:val="21"/>
                      </w:rPr>
                      <w:id w:val="462168626"/>
                    </w:sdtPr>
                    <w:sdtEndPr>
                      <w:rPr>
                        <w:sz w:val="21"/>
                      </w:rPr>
                    </w:sdtEndPr>
                    <w:sdtContent>
                      <w:p>
                        <w:pPr>
                          <w:pStyle w:val="21"/>
                          <w:ind w:firstLine="420"/>
                          <w:jc w:val="right"/>
                          <w:rPr>
                            <w:sz w:val="21"/>
                          </w:rPr>
                        </w:pPr>
                        <w:r>
                          <w:rPr>
                            <w:sz w:val="21"/>
                          </w:rPr>
                          <w:fldChar w:fldCharType="begin"/>
                        </w:r>
                        <w:r>
                          <w:rPr>
                            <w:sz w:val="21"/>
                          </w:rPr>
                          <w:instrText xml:space="preserve"> PAGE   \* MERGEFORMAT </w:instrText>
                        </w:r>
                        <w:r>
                          <w:rPr>
                            <w:sz w:val="21"/>
                          </w:rPr>
                          <w:fldChar w:fldCharType="separate"/>
                        </w:r>
                        <w:r>
                          <w:rPr>
                            <w:sz w:val="21"/>
                            <w:lang w:val="zh-CN"/>
                          </w:rPr>
                          <w:t>15</w:t>
                        </w:r>
                        <w:r>
                          <w:rPr>
                            <w:sz w:val="21"/>
                            <w:lang w:val="zh-CN"/>
                          </w:rPr>
                          <w:fldChar w:fldCharType="end"/>
                        </w:r>
                      </w:p>
                    </w:sdtContent>
                  </w:sdt>
                  <w:p>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600598"/>
    </w:sdtPr>
    <w:sdtContent>
      <w:p>
        <w:pPr>
          <w:pStyle w:val="21"/>
          <w:ind w:firstLine="360"/>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21"/>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0"/>
      <w:jc w:val="right"/>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420"/>
                            <w:jc w:val="right"/>
                            <w:rPr>
                              <w:sz w:val="21"/>
                            </w:rPr>
                          </w:pPr>
                          <w:r>
                            <w:rPr>
                              <w:sz w:val="21"/>
                            </w:rPr>
                            <w:fldChar w:fldCharType="begin"/>
                          </w:r>
                          <w:r>
                            <w:rPr>
                              <w:sz w:val="21"/>
                            </w:rPr>
                            <w:instrText xml:space="preserve"> PAGE   \* MERGEFORMAT </w:instrText>
                          </w:r>
                          <w:r>
                            <w:rPr>
                              <w:sz w:val="21"/>
                            </w:rPr>
                            <w:fldChar w:fldCharType="separate"/>
                          </w:r>
                          <w:r>
                            <w:rPr>
                              <w:sz w:val="21"/>
                              <w:lang w:val="zh-CN"/>
                            </w:rPr>
                            <w:t>41</w:t>
                          </w:r>
                          <w:r>
                            <w:rPr>
                              <w:sz w:val="21"/>
                              <w:lang w:val="zh-CN"/>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ind w:firstLine="420"/>
                      <w:jc w:val="right"/>
                      <w:rPr>
                        <w:sz w:val="21"/>
                      </w:rPr>
                    </w:pPr>
                    <w:r>
                      <w:rPr>
                        <w:sz w:val="21"/>
                      </w:rPr>
                      <w:fldChar w:fldCharType="begin"/>
                    </w:r>
                    <w:r>
                      <w:rPr>
                        <w:sz w:val="21"/>
                      </w:rPr>
                      <w:instrText xml:space="preserve"> PAGE   \* MERGEFORMAT </w:instrText>
                    </w:r>
                    <w:r>
                      <w:rPr>
                        <w:sz w:val="21"/>
                      </w:rPr>
                      <w:fldChar w:fldCharType="separate"/>
                    </w:r>
                    <w:r>
                      <w:rPr>
                        <w:sz w:val="21"/>
                        <w:lang w:val="zh-CN"/>
                      </w:rPr>
                      <w:t>41</w:t>
                    </w:r>
                    <w:r>
                      <w:rPr>
                        <w:sz w:val="21"/>
                        <w:lang w:val="zh-CN"/>
                      </w:rPr>
                      <w:fldChar w:fldCharType="end"/>
                    </w:r>
                  </w:p>
                  <w:p>
                    <w:pPr>
                      <w:pStyle w:val="2"/>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2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6"/>
      <w:pBdr>
        <w:bottom w:val="none" w:color="auto" w:sz="0" w:space="0"/>
      </w:pBdr>
      <w:tabs>
        <w:tab w:val="left" w:pos="6411"/>
        <w:tab w:val="right" w:pos="8426"/>
      </w:tabs>
      <w:ind w:firstLine="420"/>
      <w:jc w:val="right"/>
      <w:rPr>
        <w:rFonts w:ascii="方正仿宋_GBK" w:eastAsia="方正仿宋_GBK"/>
        <w:sz w:val="21"/>
      </w:rPr>
    </w:pPr>
    <w:r>
      <w:rPr>
        <w:rFonts w:hint="eastAsia" w:ascii="宋体" w:hAnsi="宋体"/>
        <w:sz w:val="21"/>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489E5"/>
    <w:multiLevelType w:val="singleLevel"/>
    <w:tmpl w:val="E84489E5"/>
    <w:lvl w:ilvl="0" w:tentative="0">
      <w:start w:val="1"/>
      <w:numFmt w:val="decimal"/>
      <w:suff w:val="nothing"/>
      <w:lvlText w:val="（%1）"/>
      <w:lvlJc w:val="left"/>
    </w:lvl>
  </w:abstractNum>
  <w:abstractNum w:abstractNumId="1">
    <w:nsid w:val="FDBC4BBB"/>
    <w:multiLevelType w:val="multilevel"/>
    <w:tmpl w:val="FDBC4BBB"/>
    <w:lvl w:ilvl="0" w:tentative="0">
      <w:start w:val="1"/>
      <w:numFmt w:val="decimal"/>
      <w:pStyle w:val="101"/>
      <w:lvlText w:val="%1."/>
      <w:lvlJc w:val="left"/>
      <w:pPr>
        <w:ind w:left="425" w:hanging="425"/>
      </w:pPr>
      <w:rPr>
        <w:rFonts w:hint="default" w:ascii="仿宋_GB2312" w:hAnsi="仿宋_GB2312" w:eastAsia="仿宋_GB2312" w:cs="Times New Roman"/>
        <w:color w:val="auto"/>
      </w:rPr>
    </w:lvl>
    <w:lvl w:ilvl="1" w:tentative="0">
      <w:start w:val="1"/>
      <w:numFmt w:val="decimal"/>
      <w:pStyle w:val="105"/>
      <w:lvlText w:val="%1.%2"/>
      <w:lvlJc w:val="left"/>
      <w:pPr>
        <w:ind w:left="992" w:hanging="567"/>
      </w:pPr>
      <w:rPr>
        <w:rFonts w:hint="default" w:ascii="仿宋_GB2312" w:hAnsi="仿宋_GB2312" w:eastAsia="方正仿宋_GBK" w:cs="Times New Roman"/>
      </w:rPr>
    </w:lvl>
    <w:lvl w:ilvl="2" w:tentative="0">
      <w:start w:val="1"/>
      <w:numFmt w:val="decimal"/>
      <w:pStyle w:val="106"/>
      <w:lvlText w:val="%1.%2.%3"/>
      <w:lvlJc w:val="left"/>
      <w:pPr>
        <w:ind w:left="1418" w:hanging="567"/>
      </w:pPr>
      <w:rPr>
        <w:rFonts w:hint="default" w:ascii="Times New Roman" w:hAnsi="Times New Roman" w:cs="Times New Roman"/>
      </w:rPr>
    </w:lvl>
    <w:lvl w:ilvl="3" w:tentative="0">
      <w:start w:val="1"/>
      <w:numFmt w:val="decimal"/>
      <w:lvlText w:val="%1.%2.%3.%4"/>
      <w:lvlJc w:val="left"/>
      <w:pPr>
        <w:ind w:left="1984" w:hanging="708"/>
      </w:pPr>
      <w:rPr>
        <w:rFonts w:hint="default" w:ascii="Times New Roman" w:hAnsi="Times New Roman" w:eastAsia="方正仿宋_GBK" w:cs="Times New Roman"/>
        <w:b/>
        <w:bCs/>
      </w:rPr>
    </w:lvl>
    <w:lvl w:ilvl="4" w:tentative="0">
      <w:start w:val="1"/>
      <w:numFmt w:val="decimal"/>
      <w:lvlText w:val="%1.%2.%3.%4.%5"/>
      <w:lvlJc w:val="left"/>
      <w:pPr>
        <w:ind w:left="2551" w:hanging="850"/>
      </w:pPr>
      <w:rPr>
        <w:rFonts w:hint="default" w:ascii="Times New Roman" w:hAnsi="Times New Roman" w:cs="Times New Roman"/>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7586B5E"/>
    <w:multiLevelType w:val="multilevel"/>
    <w:tmpl w:val="37586B5E"/>
    <w:lvl w:ilvl="0" w:tentative="0">
      <w:start w:val="1"/>
      <w:numFmt w:val="chineseCountingThousand"/>
      <w:pStyle w:val="60"/>
      <w:lvlText w:val="第%1章"/>
      <w:lvlJc w:val="left"/>
      <w:rPr>
        <w:rFonts w:hint="eastAsia" w:cs="Times New Roman"/>
      </w:rPr>
    </w:lvl>
    <w:lvl w:ilvl="1" w:tentative="0">
      <w:start w:val="1"/>
      <w:numFmt w:val="chineseCountingThousand"/>
      <w:lvlRestart w:val="0"/>
      <w:pStyle w:val="61"/>
      <w:lvlText w:val="第%2条"/>
      <w:lvlJc w:val="left"/>
      <w:rPr>
        <w:rFonts w:hint="eastAsia" w:cs="Times New Roman"/>
        <w:b/>
        <w:lang w:val="en-US"/>
      </w:rPr>
    </w:lvl>
    <w:lvl w:ilvl="2" w:tentative="0">
      <w:start w:val="1"/>
      <w:numFmt w:val="chineseCountingThousand"/>
      <w:pStyle w:val="62"/>
      <w:lvlText w:val="（%3）"/>
      <w:lvlJc w:val="left"/>
      <w:rPr>
        <w:rFonts w:hint="eastAsia" w:cs="Times New Roman"/>
      </w:rPr>
    </w:lvl>
    <w:lvl w:ilvl="3" w:tentative="0">
      <w:start w:val="1"/>
      <w:numFmt w:val="decimal"/>
      <w:pStyle w:val="63"/>
      <w:lvlText w:val="%4."/>
      <w:lvlJc w:val="left"/>
      <w:rPr>
        <w:rFonts w:hint="eastAsia" w:cs="Times New Roman"/>
      </w:rPr>
    </w:lvl>
    <w:lvl w:ilvl="4" w:tentative="0">
      <w:start w:val="1"/>
      <w:numFmt w:val="decimal"/>
      <w:lvlText w:val="%1.%2.%3.%4.%5"/>
      <w:lvlJc w:val="left"/>
      <w:rPr>
        <w:rFonts w:hint="eastAsia" w:cs="Times New Roman"/>
      </w:rPr>
    </w:lvl>
    <w:lvl w:ilvl="5" w:tentative="0">
      <w:start w:val="1"/>
      <w:numFmt w:val="decimal"/>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3">
    <w:nsid w:val="3CE7B3D6"/>
    <w:multiLevelType w:val="singleLevel"/>
    <w:tmpl w:val="3CE7B3D6"/>
    <w:lvl w:ilvl="0" w:tentative="0">
      <w:start w:val="1"/>
      <w:numFmt w:val="decimal"/>
      <w:suff w:val="nothing"/>
      <w:lvlText w:val="（%1）"/>
      <w:lvlJc w:val="left"/>
    </w:lvl>
  </w:abstractNum>
  <w:abstractNum w:abstractNumId="4">
    <w:nsid w:val="7FD27846"/>
    <w:multiLevelType w:val="multilevel"/>
    <w:tmpl w:val="7FD27846"/>
    <w:lvl w:ilvl="0" w:tentative="0">
      <w:start w:val="1"/>
      <w:numFmt w:val="decimal"/>
      <w:pStyle w:val="3"/>
      <w:lvlText w:val="%1"/>
      <w:lvlJc w:val="left"/>
      <w:pPr>
        <w:ind w:left="420" w:hanging="420"/>
      </w:pPr>
      <w:rPr>
        <w:rFonts w:hint="default" w:ascii="黑体" w:hAnsi="黑体" w:eastAsia="黑体"/>
        <w:b/>
        <w:i w:val="0"/>
        <w:color w:val="000000" w:themeColor="text1"/>
        <w:sz w:val="28"/>
        <w:szCs w:val="28"/>
        <w:vertAlign w:val="baseline"/>
        <w14:textFill>
          <w14:solidFill>
            <w14:schemeClr w14:val="tx1"/>
          </w14:solidFill>
        </w14:textFill>
      </w:rPr>
    </w:lvl>
    <w:lvl w:ilvl="1" w:tentative="0">
      <w:start w:val="1"/>
      <w:numFmt w:val="decimal"/>
      <w:pStyle w:val="5"/>
      <w:suff w:val="space"/>
      <w:lvlText w:val="%1.%2"/>
      <w:lvlJc w:val="left"/>
      <w:pPr>
        <w:ind w:left="600" w:hanging="600"/>
      </w:pPr>
      <w:rPr>
        <w:rFonts w:hint="default" w:eastAsia="仿宋" w:asciiTheme="minorHAnsi" w:hAnsiTheme="minorHAnsi"/>
        <w:b/>
        <w:i w:val="0"/>
        <w:sz w:val="28"/>
      </w:rPr>
    </w:lvl>
    <w:lvl w:ilvl="2" w:tentative="0">
      <w:start w:val="1"/>
      <w:numFmt w:val="decimal"/>
      <w:lvlRestart w:val="1"/>
      <w:pStyle w:val="6"/>
      <w:isLgl/>
      <w:suff w:val="space"/>
      <w:lvlText w:val="%1.%2.%3"/>
      <w:lvlJc w:val="left"/>
      <w:pPr>
        <w:ind w:left="720" w:hanging="720"/>
      </w:pPr>
      <w:rPr>
        <w:rFonts w:hint="default"/>
      </w:rPr>
    </w:lvl>
    <w:lvl w:ilvl="3" w:tentative="0">
      <w:start w:val="1"/>
      <w:numFmt w:val="decimal"/>
      <w:lvlRestart w:val="1"/>
      <w:pStyle w:val="7"/>
      <w:isLgl/>
      <w:suff w:val="space"/>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25"/>
  <w:evenAndOddHeaders w:val="1"/>
  <w:drawingGridHorizontalSpacing w:val="105"/>
  <w:drawingGridVerticalSpacing w:val="156"/>
  <w:displayHorizontalDrawingGridEvery w:val="2"/>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48B"/>
    <w:rsid w:val="00000528"/>
    <w:rsid w:val="000008AC"/>
    <w:rsid w:val="000010E2"/>
    <w:rsid w:val="0000138F"/>
    <w:rsid w:val="000026F9"/>
    <w:rsid w:val="00002884"/>
    <w:rsid w:val="00002D8B"/>
    <w:rsid w:val="00002F27"/>
    <w:rsid w:val="000032A7"/>
    <w:rsid w:val="00003849"/>
    <w:rsid w:val="000038DF"/>
    <w:rsid w:val="00003C04"/>
    <w:rsid w:val="00003D7D"/>
    <w:rsid w:val="000045B6"/>
    <w:rsid w:val="00004A4B"/>
    <w:rsid w:val="00004A7C"/>
    <w:rsid w:val="00004B23"/>
    <w:rsid w:val="00005037"/>
    <w:rsid w:val="00005078"/>
    <w:rsid w:val="000054DC"/>
    <w:rsid w:val="00005A8A"/>
    <w:rsid w:val="000062B7"/>
    <w:rsid w:val="0000689F"/>
    <w:rsid w:val="00006E10"/>
    <w:rsid w:val="0000764F"/>
    <w:rsid w:val="00007826"/>
    <w:rsid w:val="00007AC4"/>
    <w:rsid w:val="00007E7A"/>
    <w:rsid w:val="00010351"/>
    <w:rsid w:val="00010576"/>
    <w:rsid w:val="0001057B"/>
    <w:rsid w:val="00010B43"/>
    <w:rsid w:val="00010C43"/>
    <w:rsid w:val="00010D79"/>
    <w:rsid w:val="0001174B"/>
    <w:rsid w:val="0001198C"/>
    <w:rsid w:val="00011E05"/>
    <w:rsid w:val="00012254"/>
    <w:rsid w:val="00012703"/>
    <w:rsid w:val="0001275E"/>
    <w:rsid w:val="00012849"/>
    <w:rsid w:val="00012978"/>
    <w:rsid w:val="0001347C"/>
    <w:rsid w:val="000136BD"/>
    <w:rsid w:val="000138A5"/>
    <w:rsid w:val="00013E64"/>
    <w:rsid w:val="00014069"/>
    <w:rsid w:val="0001406A"/>
    <w:rsid w:val="00014338"/>
    <w:rsid w:val="000148C0"/>
    <w:rsid w:val="00014AD6"/>
    <w:rsid w:val="00014C5F"/>
    <w:rsid w:val="00014F28"/>
    <w:rsid w:val="00015231"/>
    <w:rsid w:val="00015908"/>
    <w:rsid w:val="00016E87"/>
    <w:rsid w:val="00016FFD"/>
    <w:rsid w:val="000174C1"/>
    <w:rsid w:val="0001792F"/>
    <w:rsid w:val="00017F19"/>
    <w:rsid w:val="00017F67"/>
    <w:rsid w:val="00020257"/>
    <w:rsid w:val="00020341"/>
    <w:rsid w:val="00020380"/>
    <w:rsid w:val="00020406"/>
    <w:rsid w:val="000204ED"/>
    <w:rsid w:val="00020678"/>
    <w:rsid w:val="00020841"/>
    <w:rsid w:val="00020FFB"/>
    <w:rsid w:val="00021068"/>
    <w:rsid w:val="000213C5"/>
    <w:rsid w:val="0002161B"/>
    <w:rsid w:val="0002196E"/>
    <w:rsid w:val="00021EC2"/>
    <w:rsid w:val="00021FF3"/>
    <w:rsid w:val="000222A4"/>
    <w:rsid w:val="000226F1"/>
    <w:rsid w:val="000227E7"/>
    <w:rsid w:val="00022918"/>
    <w:rsid w:val="00022C85"/>
    <w:rsid w:val="00022F8B"/>
    <w:rsid w:val="00022F95"/>
    <w:rsid w:val="0002392C"/>
    <w:rsid w:val="000243B4"/>
    <w:rsid w:val="0002472D"/>
    <w:rsid w:val="0002494A"/>
    <w:rsid w:val="00025867"/>
    <w:rsid w:val="00025A95"/>
    <w:rsid w:val="00025BC3"/>
    <w:rsid w:val="00026058"/>
    <w:rsid w:val="00026B26"/>
    <w:rsid w:val="00027CBD"/>
    <w:rsid w:val="00027CF2"/>
    <w:rsid w:val="000309B3"/>
    <w:rsid w:val="000318EA"/>
    <w:rsid w:val="00031B7B"/>
    <w:rsid w:val="00031C61"/>
    <w:rsid w:val="00032671"/>
    <w:rsid w:val="000329B8"/>
    <w:rsid w:val="0003368A"/>
    <w:rsid w:val="00033B2A"/>
    <w:rsid w:val="00033E8A"/>
    <w:rsid w:val="00034392"/>
    <w:rsid w:val="0003471D"/>
    <w:rsid w:val="0003481B"/>
    <w:rsid w:val="00034CAF"/>
    <w:rsid w:val="00034F86"/>
    <w:rsid w:val="000351E7"/>
    <w:rsid w:val="000352B8"/>
    <w:rsid w:val="00035479"/>
    <w:rsid w:val="000354BB"/>
    <w:rsid w:val="00035AC9"/>
    <w:rsid w:val="000360DD"/>
    <w:rsid w:val="00036E91"/>
    <w:rsid w:val="0003777F"/>
    <w:rsid w:val="000379A2"/>
    <w:rsid w:val="00040340"/>
    <w:rsid w:val="000405B4"/>
    <w:rsid w:val="00040642"/>
    <w:rsid w:val="000413E0"/>
    <w:rsid w:val="000414D6"/>
    <w:rsid w:val="000415DB"/>
    <w:rsid w:val="00041EEB"/>
    <w:rsid w:val="0004286A"/>
    <w:rsid w:val="00042925"/>
    <w:rsid w:val="00042AB0"/>
    <w:rsid w:val="00042D65"/>
    <w:rsid w:val="0004351D"/>
    <w:rsid w:val="00043BB8"/>
    <w:rsid w:val="00043D21"/>
    <w:rsid w:val="000440A4"/>
    <w:rsid w:val="000441B0"/>
    <w:rsid w:val="00044578"/>
    <w:rsid w:val="00044605"/>
    <w:rsid w:val="00044627"/>
    <w:rsid w:val="00044669"/>
    <w:rsid w:val="00044B00"/>
    <w:rsid w:val="00044E9D"/>
    <w:rsid w:val="000452F8"/>
    <w:rsid w:val="000453A7"/>
    <w:rsid w:val="000457AB"/>
    <w:rsid w:val="000458D1"/>
    <w:rsid w:val="00045DEF"/>
    <w:rsid w:val="00045E26"/>
    <w:rsid w:val="00045E9B"/>
    <w:rsid w:val="0004676D"/>
    <w:rsid w:val="000469C6"/>
    <w:rsid w:val="0004734F"/>
    <w:rsid w:val="00047789"/>
    <w:rsid w:val="00047A3E"/>
    <w:rsid w:val="00047B32"/>
    <w:rsid w:val="00047E8F"/>
    <w:rsid w:val="000504BB"/>
    <w:rsid w:val="00050546"/>
    <w:rsid w:val="00050B53"/>
    <w:rsid w:val="00050E07"/>
    <w:rsid w:val="000510C3"/>
    <w:rsid w:val="0005144C"/>
    <w:rsid w:val="00051FF5"/>
    <w:rsid w:val="00052179"/>
    <w:rsid w:val="00052438"/>
    <w:rsid w:val="000527CD"/>
    <w:rsid w:val="00052BA0"/>
    <w:rsid w:val="00052C3F"/>
    <w:rsid w:val="00052EB2"/>
    <w:rsid w:val="0005310F"/>
    <w:rsid w:val="000532F4"/>
    <w:rsid w:val="00053897"/>
    <w:rsid w:val="00053F02"/>
    <w:rsid w:val="00053F48"/>
    <w:rsid w:val="0005416E"/>
    <w:rsid w:val="00054717"/>
    <w:rsid w:val="00054B47"/>
    <w:rsid w:val="000551F2"/>
    <w:rsid w:val="00055499"/>
    <w:rsid w:val="0005556F"/>
    <w:rsid w:val="00055781"/>
    <w:rsid w:val="00055806"/>
    <w:rsid w:val="000559AA"/>
    <w:rsid w:val="00055A2C"/>
    <w:rsid w:val="00055A4C"/>
    <w:rsid w:val="00055D9D"/>
    <w:rsid w:val="000566EE"/>
    <w:rsid w:val="0005689F"/>
    <w:rsid w:val="00056BC4"/>
    <w:rsid w:val="00056BDF"/>
    <w:rsid w:val="0005743E"/>
    <w:rsid w:val="00057D39"/>
    <w:rsid w:val="000600B3"/>
    <w:rsid w:val="00060B07"/>
    <w:rsid w:val="00060B44"/>
    <w:rsid w:val="000610D5"/>
    <w:rsid w:val="0006145B"/>
    <w:rsid w:val="00061762"/>
    <w:rsid w:val="00061C1F"/>
    <w:rsid w:val="00061C3B"/>
    <w:rsid w:val="00062969"/>
    <w:rsid w:val="000629C4"/>
    <w:rsid w:val="00063D3C"/>
    <w:rsid w:val="0006497C"/>
    <w:rsid w:val="00064BC9"/>
    <w:rsid w:val="00065063"/>
    <w:rsid w:val="00065880"/>
    <w:rsid w:val="000658B5"/>
    <w:rsid w:val="00065C3F"/>
    <w:rsid w:val="00066464"/>
    <w:rsid w:val="0006674A"/>
    <w:rsid w:val="00066E59"/>
    <w:rsid w:val="0006760A"/>
    <w:rsid w:val="00067D07"/>
    <w:rsid w:val="00070221"/>
    <w:rsid w:val="000702A9"/>
    <w:rsid w:val="0007041C"/>
    <w:rsid w:val="0007048C"/>
    <w:rsid w:val="00070608"/>
    <w:rsid w:val="0007098F"/>
    <w:rsid w:val="0007112B"/>
    <w:rsid w:val="00071609"/>
    <w:rsid w:val="00071A6E"/>
    <w:rsid w:val="00071B86"/>
    <w:rsid w:val="00071EA3"/>
    <w:rsid w:val="00072893"/>
    <w:rsid w:val="00072ADC"/>
    <w:rsid w:val="00072C6B"/>
    <w:rsid w:val="00072F02"/>
    <w:rsid w:val="000735C8"/>
    <w:rsid w:val="00073AB2"/>
    <w:rsid w:val="00074410"/>
    <w:rsid w:val="00074826"/>
    <w:rsid w:val="00074D2E"/>
    <w:rsid w:val="0007504B"/>
    <w:rsid w:val="000753B3"/>
    <w:rsid w:val="00075411"/>
    <w:rsid w:val="0007552A"/>
    <w:rsid w:val="00075B0B"/>
    <w:rsid w:val="00075B18"/>
    <w:rsid w:val="00075D2C"/>
    <w:rsid w:val="0007624F"/>
    <w:rsid w:val="00076390"/>
    <w:rsid w:val="00077A5C"/>
    <w:rsid w:val="00077AFA"/>
    <w:rsid w:val="00077EC4"/>
    <w:rsid w:val="00080165"/>
    <w:rsid w:val="0008063E"/>
    <w:rsid w:val="00080B84"/>
    <w:rsid w:val="0008100B"/>
    <w:rsid w:val="00081250"/>
    <w:rsid w:val="00081846"/>
    <w:rsid w:val="0008197A"/>
    <w:rsid w:val="00081EEF"/>
    <w:rsid w:val="00082492"/>
    <w:rsid w:val="00082585"/>
    <w:rsid w:val="00082809"/>
    <w:rsid w:val="00082EED"/>
    <w:rsid w:val="00083711"/>
    <w:rsid w:val="00084326"/>
    <w:rsid w:val="0008451A"/>
    <w:rsid w:val="0008491D"/>
    <w:rsid w:val="00084B52"/>
    <w:rsid w:val="00084C22"/>
    <w:rsid w:val="000855D8"/>
    <w:rsid w:val="000862EF"/>
    <w:rsid w:val="00086E1F"/>
    <w:rsid w:val="00087A65"/>
    <w:rsid w:val="00087C47"/>
    <w:rsid w:val="00087E88"/>
    <w:rsid w:val="000905A4"/>
    <w:rsid w:val="00090881"/>
    <w:rsid w:val="00090F3C"/>
    <w:rsid w:val="0009134B"/>
    <w:rsid w:val="00091399"/>
    <w:rsid w:val="000914AA"/>
    <w:rsid w:val="00091643"/>
    <w:rsid w:val="0009194B"/>
    <w:rsid w:val="00091E06"/>
    <w:rsid w:val="00092061"/>
    <w:rsid w:val="000925CC"/>
    <w:rsid w:val="00092789"/>
    <w:rsid w:val="00092832"/>
    <w:rsid w:val="00092873"/>
    <w:rsid w:val="000928DF"/>
    <w:rsid w:val="00092A73"/>
    <w:rsid w:val="00093003"/>
    <w:rsid w:val="00093AA6"/>
    <w:rsid w:val="00093C13"/>
    <w:rsid w:val="00094015"/>
    <w:rsid w:val="000946C0"/>
    <w:rsid w:val="0009476B"/>
    <w:rsid w:val="00094AAD"/>
    <w:rsid w:val="00094CA5"/>
    <w:rsid w:val="00094D8F"/>
    <w:rsid w:val="0009508A"/>
    <w:rsid w:val="000951D0"/>
    <w:rsid w:val="000955A4"/>
    <w:rsid w:val="00096445"/>
    <w:rsid w:val="0009649A"/>
    <w:rsid w:val="00096656"/>
    <w:rsid w:val="00096FDB"/>
    <w:rsid w:val="00097386"/>
    <w:rsid w:val="00097584"/>
    <w:rsid w:val="0009770A"/>
    <w:rsid w:val="00097D11"/>
    <w:rsid w:val="000A0958"/>
    <w:rsid w:val="000A0A83"/>
    <w:rsid w:val="000A0ECB"/>
    <w:rsid w:val="000A0ED2"/>
    <w:rsid w:val="000A0EFF"/>
    <w:rsid w:val="000A10A0"/>
    <w:rsid w:val="000A112D"/>
    <w:rsid w:val="000A113C"/>
    <w:rsid w:val="000A1321"/>
    <w:rsid w:val="000A1EB9"/>
    <w:rsid w:val="000A213A"/>
    <w:rsid w:val="000A2551"/>
    <w:rsid w:val="000A29B6"/>
    <w:rsid w:val="000A2B15"/>
    <w:rsid w:val="000A2BE7"/>
    <w:rsid w:val="000A2C24"/>
    <w:rsid w:val="000A2DAF"/>
    <w:rsid w:val="000A304F"/>
    <w:rsid w:val="000A31E0"/>
    <w:rsid w:val="000A362C"/>
    <w:rsid w:val="000A4020"/>
    <w:rsid w:val="000A45E1"/>
    <w:rsid w:val="000A462A"/>
    <w:rsid w:val="000A5049"/>
    <w:rsid w:val="000A5373"/>
    <w:rsid w:val="000A573B"/>
    <w:rsid w:val="000A5FB3"/>
    <w:rsid w:val="000A61DA"/>
    <w:rsid w:val="000A6279"/>
    <w:rsid w:val="000A683A"/>
    <w:rsid w:val="000A689B"/>
    <w:rsid w:val="000A69A3"/>
    <w:rsid w:val="000A6F9B"/>
    <w:rsid w:val="000A70EB"/>
    <w:rsid w:val="000A70F2"/>
    <w:rsid w:val="000A7690"/>
    <w:rsid w:val="000A7A40"/>
    <w:rsid w:val="000A7BA8"/>
    <w:rsid w:val="000A7C43"/>
    <w:rsid w:val="000A7F3A"/>
    <w:rsid w:val="000B044B"/>
    <w:rsid w:val="000B0B8C"/>
    <w:rsid w:val="000B1F70"/>
    <w:rsid w:val="000B26AB"/>
    <w:rsid w:val="000B2CE5"/>
    <w:rsid w:val="000B2FB5"/>
    <w:rsid w:val="000B32D2"/>
    <w:rsid w:val="000B3907"/>
    <w:rsid w:val="000B397F"/>
    <w:rsid w:val="000B3C3A"/>
    <w:rsid w:val="000B3CC2"/>
    <w:rsid w:val="000B3FB9"/>
    <w:rsid w:val="000B44DD"/>
    <w:rsid w:val="000B4526"/>
    <w:rsid w:val="000B4AAC"/>
    <w:rsid w:val="000B4B22"/>
    <w:rsid w:val="000B5220"/>
    <w:rsid w:val="000B5380"/>
    <w:rsid w:val="000B5B23"/>
    <w:rsid w:val="000B643E"/>
    <w:rsid w:val="000B666C"/>
    <w:rsid w:val="000B66C1"/>
    <w:rsid w:val="000B6731"/>
    <w:rsid w:val="000B699F"/>
    <w:rsid w:val="000B7100"/>
    <w:rsid w:val="000B7786"/>
    <w:rsid w:val="000B7A6B"/>
    <w:rsid w:val="000B7AD4"/>
    <w:rsid w:val="000C0750"/>
    <w:rsid w:val="000C079C"/>
    <w:rsid w:val="000C098C"/>
    <w:rsid w:val="000C0AC6"/>
    <w:rsid w:val="000C1076"/>
    <w:rsid w:val="000C14F2"/>
    <w:rsid w:val="000C16EE"/>
    <w:rsid w:val="000C1744"/>
    <w:rsid w:val="000C1AE1"/>
    <w:rsid w:val="000C275A"/>
    <w:rsid w:val="000C2D1C"/>
    <w:rsid w:val="000C32B5"/>
    <w:rsid w:val="000C49F4"/>
    <w:rsid w:val="000C4EA4"/>
    <w:rsid w:val="000C4ED9"/>
    <w:rsid w:val="000C53C5"/>
    <w:rsid w:val="000C5482"/>
    <w:rsid w:val="000C6995"/>
    <w:rsid w:val="000C719A"/>
    <w:rsid w:val="000C73CE"/>
    <w:rsid w:val="000C74D2"/>
    <w:rsid w:val="000C7547"/>
    <w:rsid w:val="000C7847"/>
    <w:rsid w:val="000D0618"/>
    <w:rsid w:val="000D111C"/>
    <w:rsid w:val="000D1817"/>
    <w:rsid w:val="000D24C1"/>
    <w:rsid w:val="000D2674"/>
    <w:rsid w:val="000D27CD"/>
    <w:rsid w:val="000D3013"/>
    <w:rsid w:val="000D3378"/>
    <w:rsid w:val="000D36BC"/>
    <w:rsid w:val="000D3753"/>
    <w:rsid w:val="000D3974"/>
    <w:rsid w:val="000D3D51"/>
    <w:rsid w:val="000D406F"/>
    <w:rsid w:val="000D449B"/>
    <w:rsid w:val="000D4733"/>
    <w:rsid w:val="000D4FE3"/>
    <w:rsid w:val="000D54B0"/>
    <w:rsid w:val="000D5817"/>
    <w:rsid w:val="000D59A7"/>
    <w:rsid w:val="000D5A39"/>
    <w:rsid w:val="000D5DF8"/>
    <w:rsid w:val="000D629B"/>
    <w:rsid w:val="000D6368"/>
    <w:rsid w:val="000D653A"/>
    <w:rsid w:val="000D67AC"/>
    <w:rsid w:val="000D68AC"/>
    <w:rsid w:val="000D69FC"/>
    <w:rsid w:val="000D6BA1"/>
    <w:rsid w:val="000D6FA5"/>
    <w:rsid w:val="000D6FDB"/>
    <w:rsid w:val="000D7330"/>
    <w:rsid w:val="000D7D42"/>
    <w:rsid w:val="000E0350"/>
    <w:rsid w:val="000E0409"/>
    <w:rsid w:val="000E07D2"/>
    <w:rsid w:val="000E07D5"/>
    <w:rsid w:val="000E07EE"/>
    <w:rsid w:val="000E08F4"/>
    <w:rsid w:val="000E0AA1"/>
    <w:rsid w:val="000E25DD"/>
    <w:rsid w:val="000E27E1"/>
    <w:rsid w:val="000E306F"/>
    <w:rsid w:val="000E31DC"/>
    <w:rsid w:val="000E34CE"/>
    <w:rsid w:val="000E3572"/>
    <w:rsid w:val="000E3BA2"/>
    <w:rsid w:val="000E3D84"/>
    <w:rsid w:val="000E3E0C"/>
    <w:rsid w:val="000E42DB"/>
    <w:rsid w:val="000E43BC"/>
    <w:rsid w:val="000E45BD"/>
    <w:rsid w:val="000E46D1"/>
    <w:rsid w:val="000E4C26"/>
    <w:rsid w:val="000E4DE6"/>
    <w:rsid w:val="000E4E21"/>
    <w:rsid w:val="000E5000"/>
    <w:rsid w:val="000E5BD9"/>
    <w:rsid w:val="000E606F"/>
    <w:rsid w:val="000E6522"/>
    <w:rsid w:val="000E66CE"/>
    <w:rsid w:val="000E69F5"/>
    <w:rsid w:val="000E6BAE"/>
    <w:rsid w:val="000E74B0"/>
    <w:rsid w:val="000E759E"/>
    <w:rsid w:val="000E7A59"/>
    <w:rsid w:val="000E7A5F"/>
    <w:rsid w:val="000E7D4A"/>
    <w:rsid w:val="000E7FDE"/>
    <w:rsid w:val="000F0059"/>
    <w:rsid w:val="000F040F"/>
    <w:rsid w:val="000F041E"/>
    <w:rsid w:val="000F043E"/>
    <w:rsid w:val="000F1955"/>
    <w:rsid w:val="000F1D6D"/>
    <w:rsid w:val="000F1D76"/>
    <w:rsid w:val="000F1DDD"/>
    <w:rsid w:val="000F2343"/>
    <w:rsid w:val="000F29D0"/>
    <w:rsid w:val="000F39DC"/>
    <w:rsid w:val="000F3B71"/>
    <w:rsid w:val="000F3C3B"/>
    <w:rsid w:val="000F3D44"/>
    <w:rsid w:val="000F3D4E"/>
    <w:rsid w:val="000F40DA"/>
    <w:rsid w:val="000F49CF"/>
    <w:rsid w:val="000F4E4D"/>
    <w:rsid w:val="000F5279"/>
    <w:rsid w:val="000F6097"/>
    <w:rsid w:val="000F6420"/>
    <w:rsid w:val="000F6932"/>
    <w:rsid w:val="000F69F3"/>
    <w:rsid w:val="000F6AE6"/>
    <w:rsid w:val="000F72CE"/>
    <w:rsid w:val="001008C1"/>
    <w:rsid w:val="00101515"/>
    <w:rsid w:val="0010183E"/>
    <w:rsid w:val="00101840"/>
    <w:rsid w:val="00102015"/>
    <w:rsid w:val="00102AD5"/>
    <w:rsid w:val="00102F35"/>
    <w:rsid w:val="00102FE4"/>
    <w:rsid w:val="0010327D"/>
    <w:rsid w:val="00104052"/>
    <w:rsid w:val="00104585"/>
    <w:rsid w:val="00104AE2"/>
    <w:rsid w:val="00105090"/>
    <w:rsid w:val="001054BC"/>
    <w:rsid w:val="00105890"/>
    <w:rsid w:val="00105E0E"/>
    <w:rsid w:val="00105F0E"/>
    <w:rsid w:val="00105FB1"/>
    <w:rsid w:val="00106055"/>
    <w:rsid w:val="00106F1B"/>
    <w:rsid w:val="0010718A"/>
    <w:rsid w:val="001074C9"/>
    <w:rsid w:val="00107674"/>
    <w:rsid w:val="00107CD7"/>
    <w:rsid w:val="00107D2E"/>
    <w:rsid w:val="00107D3C"/>
    <w:rsid w:val="00107F09"/>
    <w:rsid w:val="00107F69"/>
    <w:rsid w:val="001100B3"/>
    <w:rsid w:val="001100B4"/>
    <w:rsid w:val="001101B0"/>
    <w:rsid w:val="00111141"/>
    <w:rsid w:val="0011121F"/>
    <w:rsid w:val="001114F6"/>
    <w:rsid w:val="001118BA"/>
    <w:rsid w:val="001119CD"/>
    <w:rsid w:val="00112774"/>
    <w:rsid w:val="00112C93"/>
    <w:rsid w:val="001131DA"/>
    <w:rsid w:val="00114157"/>
    <w:rsid w:val="00114216"/>
    <w:rsid w:val="0011462A"/>
    <w:rsid w:val="001149D4"/>
    <w:rsid w:val="00114CE9"/>
    <w:rsid w:val="00114D3B"/>
    <w:rsid w:val="001152CC"/>
    <w:rsid w:val="00115895"/>
    <w:rsid w:val="00116145"/>
    <w:rsid w:val="0011648E"/>
    <w:rsid w:val="00116661"/>
    <w:rsid w:val="00116AB9"/>
    <w:rsid w:val="00116C98"/>
    <w:rsid w:val="00116F1D"/>
    <w:rsid w:val="001171C4"/>
    <w:rsid w:val="001174BB"/>
    <w:rsid w:val="00117567"/>
    <w:rsid w:val="00117CFA"/>
    <w:rsid w:val="00120905"/>
    <w:rsid w:val="00120BC1"/>
    <w:rsid w:val="001210E8"/>
    <w:rsid w:val="00121540"/>
    <w:rsid w:val="0012166B"/>
    <w:rsid w:val="001218F2"/>
    <w:rsid w:val="00121A45"/>
    <w:rsid w:val="00122BEA"/>
    <w:rsid w:val="00122DC8"/>
    <w:rsid w:val="0012313E"/>
    <w:rsid w:val="001232F4"/>
    <w:rsid w:val="0012336A"/>
    <w:rsid w:val="001238B5"/>
    <w:rsid w:val="00123F64"/>
    <w:rsid w:val="0012406B"/>
    <w:rsid w:val="001243B0"/>
    <w:rsid w:val="001245D8"/>
    <w:rsid w:val="0012460E"/>
    <w:rsid w:val="00124739"/>
    <w:rsid w:val="00124829"/>
    <w:rsid w:val="0012496A"/>
    <w:rsid w:val="00124E60"/>
    <w:rsid w:val="001250DB"/>
    <w:rsid w:val="00125466"/>
    <w:rsid w:val="001255DF"/>
    <w:rsid w:val="00125873"/>
    <w:rsid w:val="0012597A"/>
    <w:rsid w:val="00125AE0"/>
    <w:rsid w:val="00125FC3"/>
    <w:rsid w:val="001263C8"/>
    <w:rsid w:val="0012658C"/>
    <w:rsid w:val="00126648"/>
    <w:rsid w:val="0012675E"/>
    <w:rsid w:val="001268E3"/>
    <w:rsid w:val="00126989"/>
    <w:rsid w:val="0012708F"/>
    <w:rsid w:val="00127728"/>
    <w:rsid w:val="00127E35"/>
    <w:rsid w:val="00127EA7"/>
    <w:rsid w:val="00130199"/>
    <w:rsid w:val="0013031F"/>
    <w:rsid w:val="00131CB8"/>
    <w:rsid w:val="00132C1B"/>
    <w:rsid w:val="001337E4"/>
    <w:rsid w:val="00133F5B"/>
    <w:rsid w:val="00134084"/>
    <w:rsid w:val="00134CED"/>
    <w:rsid w:val="00134F0A"/>
    <w:rsid w:val="00135321"/>
    <w:rsid w:val="00136296"/>
    <w:rsid w:val="001363C6"/>
    <w:rsid w:val="00136C4F"/>
    <w:rsid w:val="001370AE"/>
    <w:rsid w:val="0013714B"/>
    <w:rsid w:val="0013729B"/>
    <w:rsid w:val="0013766A"/>
    <w:rsid w:val="00137DDC"/>
    <w:rsid w:val="001402FE"/>
    <w:rsid w:val="00140504"/>
    <w:rsid w:val="001411D7"/>
    <w:rsid w:val="001414E1"/>
    <w:rsid w:val="00142DD0"/>
    <w:rsid w:val="00143691"/>
    <w:rsid w:val="00143B45"/>
    <w:rsid w:val="00143B9D"/>
    <w:rsid w:val="00143C78"/>
    <w:rsid w:val="00143EE5"/>
    <w:rsid w:val="00144183"/>
    <w:rsid w:val="00144204"/>
    <w:rsid w:val="0014491B"/>
    <w:rsid w:val="00144CEB"/>
    <w:rsid w:val="00144D66"/>
    <w:rsid w:val="00144E90"/>
    <w:rsid w:val="001456CD"/>
    <w:rsid w:val="00145974"/>
    <w:rsid w:val="00145EDC"/>
    <w:rsid w:val="001464CC"/>
    <w:rsid w:val="0014686D"/>
    <w:rsid w:val="001468BC"/>
    <w:rsid w:val="001468CE"/>
    <w:rsid w:val="00146A52"/>
    <w:rsid w:val="00146FD7"/>
    <w:rsid w:val="001474E9"/>
    <w:rsid w:val="00147528"/>
    <w:rsid w:val="00147857"/>
    <w:rsid w:val="00147BCB"/>
    <w:rsid w:val="00147F1B"/>
    <w:rsid w:val="00150083"/>
    <w:rsid w:val="001500AC"/>
    <w:rsid w:val="0015045E"/>
    <w:rsid w:val="00150625"/>
    <w:rsid w:val="00150BEF"/>
    <w:rsid w:val="00150F54"/>
    <w:rsid w:val="001510C8"/>
    <w:rsid w:val="0015143D"/>
    <w:rsid w:val="00151A82"/>
    <w:rsid w:val="00151FC9"/>
    <w:rsid w:val="001524C5"/>
    <w:rsid w:val="0015315A"/>
    <w:rsid w:val="00153372"/>
    <w:rsid w:val="00153675"/>
    <w:rsid w:val="00153685"/>
    <w:rsid w:val="001544A3"/>
    <w:rsid w:val="00154832"/>
    <w:rsid w:val="00154BC5"/>
    <w:rsid w:val="00154D59"/>
    <w:rsid w:val="00154E61"/>
    <w:rsid w:val="0015524A"/>
    <w:rsid w:val="00155461"/>
    <w:rsid w:val="00155563"/>
    <w:rsid w:val="00155C98"/>
    <w:rsid w:val="00155EF6"/>
    <w:rsid w:val="001561FD"/>
    <w:rsid w:val="001563F2"/>
    <w:rsid w:val="00156765"/>
    <w:rsid w:val="001577EE"/>
    <w:rsid w:val="0015799C"/>
    <w:rsid w:val="00157C90"/>
    <w:rsid w:val="00157F7B"/>
    <w:rsid w:val="001607F0"/>
    <w:rsid w:val="0016084A"/>
    <w:rsid w:val="001611DB"/>
    <w:rsid w:val="00161609"/>
    <w:rsid w:val="00161898"/>
    <w:rsid w:val="00161900"/>
    <w:rsid w:val="00161D77"/>
    <w:rsid w:val="0016222C"/>
    <w:rsid w:val="00162C50"/>
    <w:rsid w:val="00162D4C"/>
    <w:rsid w:val="00162E99"/>
    <w:rsid w:val="001638B8"/>
    <w:rsid w:val="00163BB0"/>
    <w:rsid w:val="00163E79"/>
    <w:rsid w:val="00164667"/>
    <w:rsid w:val="00164BE8"/>
    <w:rsid w:val="00164C94"/>
    <w:rsid w:val="00164EE0"/>
    <w:rsid w:val="00165262"/>
    <w:rsid w:val="00165829"/>
    <w:rsid w:val="00165E4E"/>
    <w:rsid w:val="00166E2A"/>
    <w:rsid w:val="00167494"/>
    <w:rsid w:val="001675BE"/>
    <w:rsid w:val="00167627"/>
    <w:rsid w:val="00167874"/>
    <w:rsid w:val="001707CE"/>
    <w:rsid w:val="00170EB8"/>
    <w:rsid w:val="00170FCD"/>
    <w:rsid w:val="00171788"/>
    <w:rsid w:val="001717E9"/>
    <w:rsid w:val="00171837"/>
    <w:rsid w:val="001718C0"/>
    <w:rsid w:val="00171EDC"/>
    <w:rsid w:val="00171F1B"/>
    <w:rsid w:val="00172267"/>
    <w:rsid w:val="00172856"/>
    <w:rsid w:val="001729F7"/>
    <w:rsid w:val="00172A27"/>
    <w:rsid w:val="00172B80"/>
    <w:rsid w:val="00172C9E"/>
    <w:rsid w:val="00172D1B"/>
    <w:rsid w:val="00173061"/>
    <w:rsid w:val="00173156"/>
    <w:rsid w:val="001734AB"/>
    <w:rsid w:val="00173B25"/>
    <w:rsid w:val="00173D4A"/>
    <w:rsid w:val="00173EFB"/>
    <w:rsid w:val="001742BA"/>
    <w:rsid w:val="00174426"/>
    <w:rsid w:val="0017473A"/>
    <w:rsid w:val="0017497C"/>
    <w:rsid w:val="00174CF9"/>
    <w:rsid w:val="00174E50"/>
    <w:rsid w:val="00174ED3"/>
    <w:rsid w:val="001750C8"/>
    <w:rsid w:val="0017510B"/>
    <w:rsid w:val="001753A3"/>
    <w:rsid w:val="00175586"/>
    <w:rsid w:val="00175710"/>
    <w:rsid w:val="001757DC"/>
    <w:rsid w:val="001758A1"/>
    <w:rsid w:val="00175EB8"/>
    <w:rsid w:val="00175FBD"/>
    <w:rsid w:val="00175FE5"/>
    <w:rsid w:val="0017617B"/>
    <w:rsid w:val="00176C39"/>
    <w:rsid w:val="00176CE8"/>
    <w:rsid w:val="00177589"/>
    <w:rsid w:val="0017777A"/>
    <w:rsid w:val="00177860"/>
    <w:rsid w:val="00177B29"/>
    <w:rsid w:val="00177E2E"/>
    <w:rsid w:val="001807BA"/>
    <w:rsid w:val="001808E4"/>
    <w:rsid w:val="001813EC"/>
    <w:rsid w:val="0018154B"/>
    <w:rsid w:val="00181B08"/>
    <w:rsid w:val="0018205F"/>
    <w:rsid w:val="00182092"/>
    <w:rsid w:val="001820B1"/>
    <w:rsid w:val="00182B01"/>
    <w:rsid w:val="00183119"/>
    <w:rsid w:val="00183393"/>
    <w:rsid w:val="001837AA"/>
    <w:rsid w:val="00183AB9"/>
    <w:rsid w:val="00183D3E"/>
    <w:rsid w:val="00183E5C"/>
    <w:rsid w:val="00183EA7"/>
    <w:rsid w:val="0018408C"/>
    <w:rsid w:val="00184719"/>
    <w:rsid w:val="00184750"/>
    <w:rsid w:val="00184D38"/>
    <w:rsid w:val="00185055"/>
    <w:rsid w:val="00185091"/>
    <w:rsid w:val="001851D5"/>
    <w:rsid w:val="0018645A"/>
    <w:rsid w:val="001868E1"/>
    <w:rsid w:val="00186D9F"/>
    <w:rsid w:val="00186F0A"/>
    <w:rsid w:val="00187297"/>
    <w:rsid w:val="0018757B"/>
    <w:rsid w:val="0018766C"/>
    <w:rsid w:val="00187D2A"/>
    <w:rsid w:val="00187DAD"/>
    <w:rsid w:val="00187E3B"/>
    <w:rsid w:val="0019047D"/>
    <w:rsid w:val="0019077E"/>
    <w:rsid w:val="00190FD9"/>
    <w:rsid w:val="0019115E"/>
    <w:rsid w:val="0019119A"/>
    <w:rsid w:val="00191222"/>
    <w:rsid w:val="00191AD2"/>
    <w:rsid w:val="0019221E"/>
    <w:rsid w:val="00192582"/>
    <w:rsid w:val="001927FB"/>
    <w:rsid w:val="00192A9C"/>
    <w:rsid w:val="00192DB5"/>
    <w:rsid w:val="00193039"/>
    <w:rsid w:val="00193601"/>
    <w:rsid w:val="00193884"/>
    <w:rsid w:val="001938B7"/>
    <w:rsid w:val="00193AB8"/>
    <w:rsid w:val="00194406"/>
    <w:rsid w:val="001945C8"/>
    <w:rsid w:val="00194F99"/>
    <w:rsid w:val="0019517E"/>
    <w:rsid w:val="00195735"/>
    <w:rsid w:val="0019599D"/>
    <w:rsid w:val="00196004"/>
    <w:rsid w:val="001960A8"/>
    <w:rsid w:val="0019625C"/>
    <w:rsid w:val="00196B4B"/>
    <w:rsid w:val="00196C26"/>
    <w:rsid w:val="00196C52"/>
    <w:rsid w:val="00196EC0"/>
    <w:rsid w:val="0019703D"/>
    <w:rsid w:val="00197085"/>
    <w:rsid w:val="001971F7"/>
    <w:rsid w:val="001973E7"/>
    <w:rsid w:val="00197C81"/>
    <w:rsid w:val="00197E77"/>
    <w:rsid w:val="001A0635"/>
    <w:rsid w:val="001A08A6"/>
    <w:rsid w:val="001A0BBF"/>
    <w:rsid w:val="001A0E54"/>
    <w:rsid w:val="001A107C"/>
    <w:rsid w:val="001A14C4"/>
    <w:rsid w:val="001A17FA"/>
    <w:rsid w:val="001A19AD"/>
    <w:rsid w:val="001A1A1F"/>
    <w:rsid w:val="001A1BAE"/>
    <w:rsid w:val="001A20C6"/>
    <w:rsid w:val="001A2BD8"/>
    <w:rsid w:val="001A2FFC"/>
    <w:rsid w:val="001A378F"/>
    <w:rsid w:val="001A3799"/>
    <w:rsid w:val="001A384C"/>
    <w:rsid w:val="001A3AB9"/>
    <w:rsid w:val="001A3C38"/>
    <w:rsid w:val="001A3C41"/>
    <w:rsid w:val="001A462E"/>
    <w:rsid w:val="001A46FA"/>
    <w:rsid w:val="001A4824"/>
    <w:rsid w:val="001A48F9"/>
    <w:rsid w:val="001A49D3"/>
    <w:rsid w:val="001A4BD2"/>
    <w:rsid w:val="001A4F66"/>
    <w:rsid w:val="001A5092"/>
    <w:rsid w:val="001A53FA"/>
    <w:rsid w:val="001A5598"/>
    <w:rsid w:val="001A565B"/>
    <w:rsid w:val="001A5AEB"/>
    <w:rsid w:val="001A6452"/>
    <w:rsid w:val="001A64A1"/>
    <w:rsid w:val="001A6709"/>
    <w:rsid w:val="001A6981"/>
    <w:rsid w:val="001A73AF"/>
    <w:rsid w:val="001A73CD"/>
    <w:rsid w:val="001A7A3E"/>
    <w:rsid w:val="001A7B1D"/>
    <w:rsid w:val="001A7E26"/>
    <w:rsid w:val="001B0A40"/>
    <w:rsid w:val="001B0B00"/>
    <w:rsid w:val="001B0E97"/>
    <w:rsid w:val="001B14AE"/>
    <w:rsid w:val="001B17B2"/>
    <w:rsid w:val="001B1C3B"/>
    <w:rsid w:val="001B20BB"/>
    <w:rsid w:val="001B2674"/>
    <w:rsid w:val="001B26A4"/>
    <w:rsid w:val="001B26D7"/>
    <w:rsid w:val="001B2787"/>
    <w:rsid w:val="001B2812"/>
    <w:rsid w:val="001B2BA0"/>
    <w:rsid w:val="001B2F63"/>
    <w:rsid w:val="001B3045"/>
    <w:rsid w:val="001B30B8"/>
    <w:rsid w:val="001B3136"/>
    <w:rsid w:val="001B3CF9"/>
    <w:rsid w:val="001B3E38"/>
    <w:rsid w:val="001B4484"/>
    <w:rsid w:val="001B45CD"/>
    <w:rsid w:val="001B4602"/>
    <w:rsid w:val="001B465E"/>
    <w:rsid w:val="001B4979"/>
    <w:rsid w:val="001B5A1B"/>
    <w:rsid w:val="001B5ADC"/>
    <w:rsid w:val="001B5D9D"/>
    <w:rsid w:val="001B5E9E"/>
    <w:rsid w:val="001B5F68"/>
    <w:rsid w:val="001B671A"/>
    <w:rsid w:val="001B68BA"/>
    <w:rsid w:val="001B6D7A"/>
    <w:rsid w:val="001B7234"/>
    <w:rsid w:val="001B737C"/>
    <w:rsid w:val="001B7D41"/>
    <w:rsid w:val="001C008B"/>
    <w:rsid w:val="001C06C5"/>
    <w:rsid w:val="001C0B96"/>
    <w:rsid w:val="001C0C62"/>
    <w:rsid w:val="001C0D1E"/>
    <w:rsid w:val="001C0E16"/>
    <w:rsid w:val="001C0F9E"/>
    <w:rsid w:val="001C1006"/>
    <w:rsid w:val="001C11EC"/>
    <w:rsid w:val="001C12C7"/>
    <w:rsid w:val="001C162D"/>
    <w:rsid w:val="001C19E7"/>
    <w:rsid w:val="001C1AE1"/>
    <w:rsid w:val="001C1C63"/>
    <w:rsid w:val="001C2562"/>
    <w:rsid w:val="001C2748"/>
    <w:rsid w:val="001C28CB"/>
    <w:rsid w:val="001C29DF"/>
    <w:rsid w:val="001C2C30"/>
    <w:rsid w:val="001C2FF5"/>
    <w:rsid w:val="001C300F"/>
    <w:rsid w:val="001C301D"/>
    <w:rsid w:val="001C325D"/>
    <w:rsid w:val="001C33B1"/>
    <w:rsid w:val="001C3CBD"/>
    <w:rsid w:val="001C4285"/>
    <w:rsid w:val="001C451D"/>
    <w:rsid w:val="001C45F8"/>
    <w:rsid w:val="001C4755"/>
    <w:rsid w:val="001C4B43"/>
    <w:rsid w:val="001C586B"/>
    <w:rsid w:val="001C5BCF"/>
    <w:rsid w:val="001C5E2A"/>
    <w:rsid w:val="001C60F2"/>
    <w:rsid w:val="001C6344"/>
    <w:rsid w:val="001C67E3"/>
    <w:rsid w:val="001C68AB"/>
    <w:rsid w:val="001C6E53"/>
    <w:rsid w:val="001C7044"/>
    <w:rsid w:val="001C71DC"/>
    <w:rsid w:val="001C770B"/>
    <w:rsid w:val="001C7809"/>
    <w:rsid w:val="001D013B"/>
    <w:rsid w:val="001D0435"/>
    <w:rsid w:val="001D07FE"/>
    <w:rsid w:val="001D09B0"/>
    <w:rsid w:val="001D0AE5"/>
    <w:rsid w:val="001D0DB6"/>
    <w:rsid w:val="001D0E17"/>
    <w:rsid w:val="001D1B0D"/>
    <w:rsid w:val="001D1F83"/>
    <w:rsid w:val="001D2A57"/>
    <w:rsid w:val="001D3970"/>
    <w:rsid w:val="001D3A01"/>
    <w:rsid w:val="001D3A72"/>
    <w:rsid w:val="001D44AE"/>
    <w:rsid w:val="001D460F"/>
    <w:rsid w:val="001D480F"/>
    <w:rsid w:val="001D4BD5"/>
    <w:rsid w:val="001D4FF1"/>
    <w:rsid w:val="001D52F7"/>
    <w:rsid w:val="001D541B"/>
    <w:rsid w:val="001D551D"/>
    <w:rsid w:val="001D5AD4"/>
    <w:rsid w:val="001D61E1"/>
    <w:rsid w:val="001D63C7"/>
    <w:rsid w:val="001D65A4"/>
    <w:rsid w:val="001D6619"/>
    <w:rsid w:val="001D663A"/>
    <w:rsid w:val="001D6778"/>
    <w:rsid w:val="001D6B32"/>
    <w:rsid w:val="001D6CCB"/>
    <w:rsid w:val="001D719D"/>
    <w:rsid w:val="001D7221"/>
    <w:rsid w:val="001D74B9"/>
    <w:rsid w:val="001D75F9"/>
    <w:rsid w:val="001D76BE"/>
    <w:rsid w:val="001D7770"/>
    <w:rsid w:val="001E0067"/>
    <w:rsid w:val="001E0110"/>
    <w:rsid w:val="001E051B"/>
    <w:rsid w:val="001E0960"/>
    <w:rsid w:val="001E09B8"/>
    <w:rsid w:val="001E0A11"/>
    <w:rsid w:val="001E0BEE"/>
    <w:rsid w:val="001E14FD"/>
    <w:rsid w:val="001E164A"/>
    <w:rsid w:val="001E1ADF"/>
    <w:rsid w:val="001E1B03"/>
    <w:rsid w:val="001E1D11"/>
    <w:rsid w:val="001E2927"/>
    <w:rsid w:val="001E2956"/>
    <w:rsid w:val="001E2993"/>
    <w:rsid w:val="001E29AF"/>
    <w:rsid w:val="001E2D13"/>
    <w:rsid w:val="001E2F46"/>
    <w:rsid w:val="001E3353"/>
    <w:rsid w:val="001E35F0"/>
    <w:rsid w:val="001E3E27"/>
    <w:rsid w:val="001E3E7D"/>
    <w:rsid w:val="001E4314"/>
    <w:rsid w:val="001E47AB"/>
    <w:rsid w:val="001E47F4"/>
    <w:rsid w:val="001E49D3"/>
    <w:rsid w:val="001E4D13"/>
    <w:rsid w:val="001E4D62"/>
    <w:rsid w:val="001E504F"/>
    <w:rsid w:val="001E5172"/>
    <w:rsid w:val="001E51BC"/>
    <w:rsid w:val="001E539F"/>
    <w:rsid w:val="001E56CE"/>
    <w:rsid w:val="001E5AD2"/>
    <w:rsid w:val="001E689D"/>
    <w:rsid w:val="001E6A39"/>
    <w:rsid w:val="001E6B63"/>
    <w:rsid w:val="001E6DE8"/>
    <w:rsid w:val="001E712A"/>
    <w:rsid w:val="001E7D76"/>
    <w:rsid w:val="001F036E"/>
    <w:rsid w:val="001F0F60"/>
    <w:rsid w:val="001F0F70"/>
    <w:rsid w:val="001F1777"/>
    <w:rsid w:val="001F1899"/>
    <w:rsid w:val="001F18AC"/>
    <w:rsid w:val="001F213F"/>
    <w:rsid w:val="001F23E0"/>
    <w:rsid w:val="001F27CB"/>
    <w:rsid w:val="001F2E7F"/>
    <w:rsid w:val="001F34E4"/>
    <w:rsid w:val="001F360B"/>
    <w:rsid w:val="001F38AE"/>
    <w:rsid w:val="001F3E79"/>
    <w:rsid w:val="001F4254"/>
    <w:rsid w:val="001F426A"/>
    <w:rsid w:val="001F463B"/>
    <w:rsid w:val="001F4908"/>
    <w:rsid w:val="001F5050"/>
    <w:rsid w:val="001F5148"/>
    <w:rsid w:val="001F5514"/>
    <w:rsid w:val="001F5681"/>
    <w:rsid w:val="001F5CA7"/>
    <w:rsid w:val="001F617A"/>
    <w:rsid w:val="001F67B6"/>
    <w:rsid w:val="001F7087"/>
    <w:rsid w:val="001F74A2"/>
    <w:rsid w:val="001F74BB"/>
    <w:rsid w:val="001F76BF"/>
    <w:rsid w:val="001F789D"/>
    <w:rsid w:val="001F7A97"/>
    <w:rsid w:val="001F7E07"/>
    <w:rsid w:val="001F7EA7"/>
    <w:rsid w:val="001F7EB2"/>
    <w:rsid w:val="002007F3"/>
    <w:rsid w:val="00200B12"/>
    <w:rsid w:val="00201211"/>
    <w:rsid w:val="00201799"/>
    <w:rsid w:val="00201944"/>
    <w:rsid w:val="002023D3"/>
    <w:rsid w:val="00202E79"/>
    <w:rsid w:val="00203EB9"/>
    <w:rsid w:val="002044A4"/>
    <w:rsid w:val="002044EC"/>
    <w:rsid w:val="00204545"/>
    <w:rsid w:val="00204C87"/>
    <w:rsid w:val="00204F8E"/>
    <w:rsid w:val="00205171"/>
    <w:rsid w:val="00205275"/>
    <w:rsid w:val="002053AA"/>
    <w:rsid w:val="0020550A"/>
    <w:rsid w:val="002059F5"/>
    <w:rsid w:val="00205AB1"/>
    <w:rsid w:val="00205D0B"/>
    <w:rsid w:val="00206063"/>
    <w:rsid w:val="00206673"/>
    <w:rsid w:val="002072CD"/>
    <w:rsid w:val="0020761E"/>
    <w:rsid w:val="0020774B"/>
    <w:rsid w:val="002078F2"/>
    <w:rsid w:val="00207DB5"/>
    <w:rsid w:val="00210572"/>
    <w:rsid w:val="00211839"/>
    <w:rsid w:val="00211BDE"/>
    <w:rsid w:val="002128D9"/>
    <w:rsid w:val="00212963"/>
    <w:rsid w:val="00213276"/>
    <w:rsid w:val="002134D8"/>
    <w:rsid w:val="002136CD"/>
    <w:rsid w:val="002137F9"/>
    <w:rsid w:val="00213906"/>
    <w:rsid w:val="00213970"/>
    <w:rsid w:val="00213B32"/>
    <w:rsid w:val="00213BE9"/>
    <w:rsid w:val="00213E03"/>
    <w:rsid w:val="00213EEB"/>
    <w:rsid w:val="00214076"/>
    <w:rsid w:val="002141E2"/>
    <w:rsid w:val="002142F1"/>
    <w:rsid w:val="002151C1"/>
    <w:rsid w:val="00215A0C"/>
    <w:rsid w:val="00215C08"/>
    <w:rsid w:val="00216387"/>
    <w:rsid w:val="00216A4C"/>
    <w:rsid w:val="00216CBC"/>
    <w:rsid w:val="00217273"/>
    <w:rsid w:val="00217A3D"/>
    <w:rsid w:val="002202C4"/>
    <w:rsid w:val="0022075E"/>
    <w:rsid w:val="00220965"/>
    <w:rsid w:val="00220BA8"/>
    <w:rsid w:val="00220DA0"/>
    <w:rsid w:val="00220F08"/>
    <w:rsid w:val="0022107E"/>
    <w:rsid w:val="002212CE"/>
    <w:rsid w:val="002215DA"/>
    <w:rsid w:val="00222457"/>
    <w:rsid w:val="00222E38"/>
    <w:rsid w:val="002234DB"/>
    <w:rsid w:val="002239EF"/>
    <w:rsid w:val="00223B91"/>
    <w:rsid w:val="00224133"/>
    <w:rsid w:val="0022442C"/>
    <w:rsid w:val="00224588"/>
    <w:rsid w:val="002248D8"/>
    <w:rsid w:val="002249BE"/>
    <w:rsid w:val="00224B2C"/>
    <w:rsid w:val="002252DF"/>
    <w:rsid w:val="0022534E"/>
    <w:rsid w:val="00225900"/>
    <w:rsid w:val="00225DEE"/>
    <w:rsid w:val="00225EB2"/>
    <w:rsid w:val="00226007"/>
    <w:rsid w:val="002266E5"/>
    <w:rsid w:val="00226BEF"/>
    <w:rsid w:val="00226D19"/>
    <w:rsid w:val="00227E06"/>
    <w:rsid w:val="002300FA"/>
    <w:rsid w:val="0023030C"/>
    <w:rsid w:val="0023097C"/>
    <w:rsid w:val="00231013"/>
    <w:rsid w:val="002313F8"/>
    <w:rsid w:val="0023151A"/>
    <w:rsid w:val="0023188F"/>
    <w:rsid w:val="00231944"/>
    <w:rsid w:val="00231B12"/>
    <w:rsid w:val="00231CE7"/>
    <w:rsid w:val="00231FFE"/>
    <w:rsid w:val="002320C6"/>
    <w:rsid w:val="00232867"/>
    <w:rsid w:val="00232AA8"/>
    <w:rsid w:val="00232CD6"/>
    <w:rsid w:val="00232D2D"/>
    <w:rsid w:val="00232F49"/>
    <w:rsid w:val="0023343D"/>
    <w:rsid w:val="0023392F"/>
    <w:rsid w:val="00233B84"/>
    <w:rsid w:val="00233CA5"/>
    <w:rsid w:val="00233E2A"/>
    <w:rsid w:val="00233EB8"/>
    <w:rsid w:val="002342C8"/>
    <w:rsid w:val="00234904"/>
    <w:rsid w:val="00234BB5"/>
    <w:rsid w:val="00234D21"/>
    <w:rsid w:val="0023502C"/>
    <w:rsid w:val="0023542F"/>
    <w:rsid w:val="0023548B"/>
    <w:rsid w:val="00235938"/>
    <w:rsid w:val="00236055"/>
    <w:rsid w:val="00236312"/>
    <w:rsid w:val="002367C4"/>
    <w:rsid w:val="002368CC"/>
    <w:rsid w:val="00236ACE"/>
    <w:rsid w:val="002376F5"/>
    <w:rsid w:val="0023770F"/>
    <w:rsid w:val="0023798F"/>
    <w:rsid w:val="00237A49"/>
    <w:rsid w:val="00237DB6"/>
    <w:rsid w:val="00240035"/>
    <w:rsid w:val="00240071"/>
    <w:rsid w:val="002400A9"/>
    <w:rsid w:val="002401D8"/>
    <w:rsid w:val="002402D7"/>
    <w:rsid w:val="00240A09"/>
    <w:rsid w:val="00241081"/>
    <w:rsid w:val="002410D8"/>
    <w:rsid w:val="002411CF"/>
    <w:rsid w:val="002415D4"/>
    <w:rsid w:val="00241618"/>
    <w:rsid w:val="00241E20"/>
    <w:rsid w:val="00241EEB"/>
    <w:rsid w:val="00242845"/>
    <w:rsid w:val="00243F93"/>
    <w:rsid w:val="0024445A"/>
    <w:rsid w:val="00244531"/>
    <w:rsid w:val="00244DBA"/>
    <w:rsid w:val="00245114"/>
    <w:rsid w:val="00245549"/>
    <w:rsid w:val="00245ABC"/>
    <w:rsid w:val="00245D73"/>
    <w:rsid w:val="0024638F"/>
    <w:rsid w:val="00246729"/>
    <w:rsid w:val="00246D92"/>
    <w:rsid w:val="00246E66"/>
    <w:rsid w:val="00246F03"/>
    <w:rsid w:val="0024716A"/>
    <w:rsid w:val="00247469"/>
    <w:rsid w:val="002477FF"/>
    <w:rsid w:val="00247CB9"/>
    <w:rsid w:val="00247F66"/>
    <w:rsid w:val="00250275"/>
    <w:rsid w:val="0025050A"/>
    <w:rsid w:val="00250754"/>
    <w:rsid w:val="00250928"/>
    <w:rsid w:val="002509AF"/>
    <w:rsid w:val="00250AF6"/>
    <w:rsid w:val="00250F3F"/>
    <w:rsid w:val="00251048"/>
    <w:rsid w:val="002510F7"/>
    <w:rsid w:val="00251652"/>
    <w:rsid w:val="00251664"/>
    <w:rsid w:val="00251DB3"/>
    <w:rsid w:val="0025262B"/>
    <w:rsid w:val="002526DD"/>
    <w:rsid w:val="00252DD4"/>
    <w:rsid w:val="00253244"/>
    <w:rsid w:val="00253312"/>
    <w:rsid w:val="002540B9"/>
    <w:rsid w:val="002542AE"/>
    <w:rsid w:val="00254336"/>
    <w:rsid w:val="00254638"/>
    <w:rsid w:val="00254A04"/>
    <w:rsid w:val="00254BE0"/>
    <w:rsid w:val="00254C31"/>
    <w:rsid w:val="00254CE9"/>
    <w:rsid w:val="00254E6A"/>
    <w:rsid w:val="00254F39"/>
    <w:rsid w:val="00255170"/>
    <w:rsid w:val="00255964"/>
    <w:rsid w:val="00255D50"/>
    <w:rsid w:val="00255E50"/>
    <w:rsid w:val="00255E95"/>
    <w:rsid w:val="00255EC4"/>
    <w:rsid w:val="0025601B"/>
    <w:rsid w:val="0025661C"/>
    <w:rsid w:val="00256792"/>
    <w:rsid w:val="00256FB9"/>
    <w:rsid w:val="00256FF6"/>
    <w:rsid w:val="002573D2"/>
    <w:rsid w:val="00257A1A"/>
    <w:rsid w:val="00257E41"/>
    <w:rsid w:val="002606C5"/>
    <w:rsid w:val="00260CA2"/>
    <w:rsid w:val="00260EFE"/>
    <w:rsid w:val="002611D5"/>
    <w:rsid w:val="002615D6"/>
    <w:rsid w:val="00261C4B"/>
    <w:rsid w:val="00261D95"/>
    <w:rsid w:val="00261FFA"/>
    <w:rsid w:val="002625F3"/>
    <w:rsid w:val="002627E9"/>
    <w:rsid w:val="00262960"/>
    <w:rsid w:val="00262F67"/>
    <w:rsid w:val="0026325C"/>
    <w:rsid w:val="0026392A"/>
    <w:rsid w:val="00263A6C"/>
    <w:rsid w:val="00263A85"/>
    <w:rsid w:val="00263C99"/>
    <w:rsid w:val="00264231"/>
    <w:rsid w:val="0026426C"/>
    <w:rsid w:val="00264407"/>
    <w:rsid w:val="00264C39"/>
    <w:rsid w:val="00265023"/>
    <w:rsid w:val="002653EF"/>
    <w:rsid w:val="0026548E"/>
    <w:rsid w:val="0026577A"/>
    <w:rsid w:val="0026588D"/>
    <w:rsid w:val="00266007"/>
    <w:rsid w:val="00266555"/>
    <w:rsid w:val="002666FC"/>
    <w:rsid w:val="00266AE9"/>
    <w:rsid w:val="00266CA4"/>
    <w:rsid w:val="00267489"/>
    <w:rsid w:val="00267A50"/>
    <w:rsid w:val="00267DBA"/>
    <w:rsid w:val="00267EFF"/>
    <w:rsid w:val="00270471"/>
    <w:rsid w:val="00270B28"/>
    <w:rsid w:val="00270E70"/>
    <w:rsid w:val="00271073"/>
    <w:rsid w:val="0027156E"/>
    <w:rsid w:val="00271F80"/>
    <w:rsid w:val="00272267"/>
    <w:rsid w:val="00272551"/>
    <w:rsid w:val="002729DB"/>
    <w:rsid w:val="0027308F"/>
    <w:rsid w:val="002734FF"/>
    <w:rsid w:val="002736DE"/>
    <w:rsid w:val="00274355"/>
    <w:rsid w:val="00274B38"/>
    <w:rsid w:val="00274CC3"/>
    <w:rsid w:val="002752CC"/>
    <w:rsid w:val="002756D0"/>
    <w:rsid w:val="0027590C"/>
    <w:rsid w:val="00275DED"/>
    <w:rsid w:val="00276089"/>
    <w:rsid w:val="002762FF"/>
    <w:rsid w:val="00276478"/>
    <w:rsid w:val="00276FD0"/>
    <w:rsid w:val="0027783C"/>
    <w:rsid w:val="00277958"/>
    <w:rsid w:val="00277DC4"/>
    <w:rsid w:val="00277DE9"/>
    <w:rsid w:val="00277F07"/>
    <w:rsid w:val="002803EC"/>
    <w:rsid w:val="00280BB2"/>
    <w:rsid w:val="00280C82"/>
    <w:rsid w:val="00280D68"/>
    <w:rsid w:val="00281610"/>
    <w:rsid w:val="00281A79"/>
    <w:rsid w:val="00281FD3"/>
    <w:rsid w:val="00282404"/>
    <w:rsid w:val="0028328E"/>
    <w:rsid w:val="00283614"/>
    <w:rsid w:val="00283B92"/>
    <w:rsid w:val="00284F6A"/>
    <w:rsid w:val="002851CF"/>
    <w:rsid w:val="00285382"/>
    <w:rsid w:val="00285B68"/>
    <w:rsid w:val="00285E59"/>
    <w:rsid w:val="0028610B"/>
    <w:rsid w:val="00286602"/>
    <w:rsid w:val="0028685C"/>
    <w:rsid w:val="0028694E"/>
    <w:rsid w:val="00287425"/>
    <w:rsid w:val="002879F5"/>
    <w:rsid w:val="00287AEF"/>
    <w:rsid w:val="00287EE6"/>
    <w:rsid w:val="002909B0"/>
    <w:rsid w:val="00290F80"/>
    <w:rsid w:val="00291796"/>
    <w:rsid w:val="002917ED"/>
    <w:rsid w:val="002919D5"/>
    <w:rsid w:val="00292157"/>
    <w:rsid w:val="002921A1"/>
    <w:rsid w:val="00292A76"/>
    <w:rsid w:val="00292DF5"/>
    <w:rsid w:val="00292E59"/>
    <w:rsid w:val="002932FB"/>
    <w:rsid w:val="00293FE4"/>
    <w:rsid w:val="002942E7"/>
    <w:rsid w:val="0029549F"/>
    <w:rsid w:val="00295514"/>
    <w:rsid w:val="002959CE"/>
    <w:rsid w:val="00295CB6"/>
    <w:rsid w:val="00295FBF"/>
    <w:rsid w:val="002967D7"/>
    <w:rsid w:val="00296C1B"/>
    <w:rsid w:val="00296C4B"/>
    <w:rsid w:val="002971E9"/>
    <w:rsid w:val="0029742C"/>
    <w:rsid w:val="00297B34"/>
    <w:rsid w:val="00297D45"/>
    <w:rsid w:val="002A0118"/>
    <w:rsid w:val="002A02A9"/>
    <w:rsid w:val="002A040F"/>
    <w:rsid w:val="002A0620"/>
    <w:rsid w:val="002A072C"/>
    <w:rsid w:val="002A1C6F"/>
    <w:rsid w:val="002A2587"/>
    <w:rsid w:val="002A261F"/>
    <w:rsid w:val="002A289F"/>
    <w:rsid w:val="002A28DC"/>
    <w:rsid w:val="002A2B16"/>
    <w:rsid w:val="002A2D35"/>
    <w:rsid w:val="002A30B2"/>
    <w:rsid w:val="002A334C"/>
    <w:rsid w:val="002A374F"/>
    <w:rsid w:val="002A4516"/>
    <w:rsid w:val="002A57BB"/>
    <w:rsid w:val="002A5ED4"/>
    <w:rsid w:val="002A5F3F"/>
    <w:rsid w:val="002A6026"/>
    <w:rsid w:val="002A64F0"/>
    <w:rsid w:val="002A6BAA"/>
    <w:rsid w:val="002A6F4B"/>
    <w:rsid w:val="002A7580"/>
    <w:rsid w:val="002A7871"/>
    <w:rsid w:val="002A78EB"/>
    <w:rsid w:val="002A793A"/>
    <w:rsid w:val="002A7ED3"/>
    <w:rsid w:val="002B006D"/>
    <w:rsid w:val="002B00BB"/>
    <w:rsid w:val="002B0516"/>
    <w:rsid w:val="002B0A0C"/>
    <w:rsid w:val="002B1041"/>
    <w:rsid w:val="002B1766"/>
    <w:rsid w:val="002B1AFB"/>
    <w:rsid w:val="002B1D0F"/>
    <w:rsid w:val="002B24C9"/>
    <w:rsid w:val="002B28DE"/>
    <w:rsid w:val="002B2DB1"/>
    <w:rsid w:val="002B338F"/>
    <w:rsid w:val="002B3F98"/>
    <w:rsid w:val="002B4EBB"/>
    <w:rsid w:val="002B4F3C"/>
    <w:rsid w:val="002B5471"/>
    <w:rsid w:val="002B5645"/>
    <w:rsid w:val="002B5ABA"/>
    <w:rsid w:val="002B5C92"/>
    <w:rsid w:val="002B5E31"/>
    <w:rsid w:val="002B606E"/>
    <w:rsid w:val="002B61EC"/>
    <w:rsid w:val="002B6335"/>
    <w:rsid w:val="002B63DF"/>
    <w:rsid w:val="002B67E1"/>
    <w:rsid w:val="002B69F2"/>
    <w:rsid w:val="002B6A3F"/>
    <w:rsid w:val="002B772E"/>
    <w:rsid w:val="002C0776"/>
    <w:rsid w:val="002C0AE8"/>
    <w:rsid w:val="002C1122"/>
    <w:rsid w:val="002C1530"/>
    <w:rsid w:val="002C1776"/>
    <w:rsid w:val="002C20C8"/>
    <w:rsid w:val="002C23F1"/>
    <w:rsid w:val="002C291F"/>
    <w:rsid w:val="002C3189"/>
    <w:rsid w:val="002C3635"/>
    <w:rsid w:val="002C3B4B"/>
    <w:rsid w:val="002C3C95"/>
    <w:rsid w:val="002C40B6"/>
    <w:rsid w:val="002C4CEA"/>
    <w:rsid w:val="002C4E4A"/>
    <w:rsid w:val="002C535F"/>
    <w:rsid w:val="002C58C6"/>
    <w:rsid w:val="002C5B06"/>
    <w:rsid w:val="002C5D62"/>
    <w:rsid w:val="002C61FD"/>
    <w:rsid w:val="002C62CE"/>
    <w:rsid w:val="002C6E58"/>
    <w:rsid w:val="002C7082"/>
    <w:rsid w:val="002C70DD"/>
    <w:rsid w:val="002C7179"/>
    <w:rsid w:val="002C7332"/>
    <w:rsid w:val="002C73D8"/>
    <w:rsid w:val="002D01D1"/>
    <w:rsid w:val="002D02EE"/>
    <w:rsid w:val="002D0351"/>
    <w:rsid w:val="002D07EC"/>
    <w:rsid w:val="002D0A9C"/>
    <w:rsid w:val="002D0D02"/>
    <w:rsid w:val="002D0D29"/>
    <w:rsid w:val="002D111F"/>
    <w:rsid w:val="002D129E"/>
    <w:rsid w:val="002D1633"/>
    <w:rsid w:val="002D1A9A"/>
    <w:rsid w:val="002D1E33"/>
    <w:rsid w:val="002D1EAA"/>
    <w:rsid w:val="002D1F9E"/>
    <w:rsid w:val="002D24C6"/>
    <w:rsid w:val="002D25FB"/>
    <w:rsid w:val="002D27B1"/>
    <w:rsid w:val="002D28DF"/>
    <w:rsid w:val="002D29B7"/>
    <w:rsid w:val="002D2A0F"/>
    <w:rsid w:val="002D2A7F"/>
    <w:rsid w:val="002D2AB8"/>
    <w:rsid w:val="002D2C40"/>
    <w:rsid w:val="002D33A1"/>
    <w:rsid w:val="002D3D2F"/>
    <w:rsid w:val="002D432F"/>
    <w:rsid w:val="002D515B"/>
    <w:rsid w:val="002D558A"/>
    <w:rsid w:val="002D565A"/>
    <w:rsid w:val="002D5904"/>
    <w:rsid w:val="002D5AC5"/>
    <w:rsid w:val="002D5B0A"/>
    <w:rsid w:val="002D6124"/>
    <w:rsid w:val="002D6561"/>
    <w:rsid w:val="002D6D4E"/>
    <w:rsid w:val="002D6F68"/>
    <w:rsid w:val="002D7134"/>
    <w:rsid w:val="002D724A"/>
    <w:rsid w:val="002D7597"/>
    <w:rsid w:val="002D75ED"/>
    <w:rsid w:val="002D7BDC"/>
    <w:rsid w:val="002D7FD7"/>
    <w:rsid w:val="002E02B2"/>
    <w:rsid w:val="002E02E9"/>
    <w:rsid w:val="002E0407"/>
    <w:rsid w:val="002E0FBD"/>
    <w:rsid w:val="002E1039"/>
    <w:rsid w:val="002E1404"/>
    <w:rsid w:val="002E1836"/>
    <w:rsid w:val="002E1F08"/>
    <w:rsid w:val="002E2349"/>
    <w:rsid w:val="002E28BF"/>
    <w:rsid w:val="002E2A3D"/>
    <w:rsid w:val="002E310E"/>
    <w:rsid w:val="002E3710"/>
    <w:rsid w:val="002E3C78"/>
    <w:rsid w:val="002E429E"/>
    <w:rsid w:val="002E46A0"/>
    <w:rsid w:val="002E4AB2"/>
    <w:rsid w:val="002E4BB4"/>
    <w:rsid w:val="002E4E9E"/>
    <w:rsid w:val="002E5183"/>
    <w:rsid w:val="002E54A3"/>
    <w:rsid w:val="002E55BE"/>
    <w:rsid w:val="002E5B66"/>
    <w:rsid w:val="002E5ED0"/>
    <w:rsid w:val="002E6653"/>
    <w:rsid w:val="002E66CF"/>
    <w:rsid w:val="002E6F9F"/>
    <w:rsid w:val="002E79F4"/>
    <w:rsid w:val="002E7E9A"/>
    <w:rsid w:val="002F018E"/>
    <w:rsid w:val="002F05A6"/>
    <w:rsid w:val="002F0E74"/>
    <w:rsid w:val="002F0EC3"/>
    <w:rsid w:val="002F102B"/>
    <w:rsid w:val="002F122E"/>
    <w:rsid w:val="002F1511"/>
    <w:rsid w:val="002F1750"/>
    <w:rsid w:val="002F1DC3"/>
    <w:rsid w:val="002F1F4F"/>
    <w:rsid w:val="002F1F76"/>
    <w:rsid w:val="002F234C"/>
    <w:rsid w:val="002F25C1"/>
    <w:rsid w:val="002F2C33"/>
    <w:rsid w:val="002F307C"/>
    <w:rsid w:val="002F31AE"/>
    <w:rsid w:val="002F31EA"/>
    <w:rsid w:val="002F3473"/>
    <w:rsid w:val="002F3CF6"/>
    <w:rsid w:val="002F3EA4"/>
    <w:rsid w:val="002F43B6"/>
    <w:rsid w:val="002F4413"/>
    <w:rsid w:val="002F5573"/>
    <w:rsid w:val="002F5F45"/>
    <w:rsid w:val="002F62F8"/>
    <w:rsid w:val="002F6536"/>
    <w:rsid w:val="002F655A"/>
    <w:rsid w:val="002F68E0"/>
    <w:rsid w:val="002F6A01"/>
    <w:rsid w:val="002F7B1E"/>
    <w:rsid w:val="002F7C92"/>
    <w:rsid w:val="002F7DE4"/>
    <w:rsid w:val="002F7FEC"/>
    <w:rsid w:val="0030011F"/>
    <w:rsid w:val="003004E0"/>
    <w:rsid w:val="003007C6"/>
    <w:rsid w:val="0030125A"/>
    <w:rsid w:val="003012C3"/>
    <w:rsid w:val="00301AC6"/>
    <w:rsid w:val="00301C70"/>
    <w:rsid w:val="00301DE0"/>
    <w:rsid w:val="0030208B"/>
    <w:rsid w:val="00302286"/>
    <w:rsid w:val="00302301"/>
    <w:rsid w:val="0030260D"/>
    <w:rsid w:val="003028BE"/>
    <w:rsid w:val="00303402"/>
    <w:rsid w:val="0030386B"/>
    <w:rsid w:val="00303889"/>
    <w:rsid w:val="00303919"/>
    <w:rsid w:val="00304B83"/>
    <w:rsid w:val="00305070"/>
    <w:rsid w:val="00305479"/>
    <w:rsid w:val="00305A0A"/>
    <w:rsid w:val="00305DAD"/>
    <w:rsid w:val="00305E9C"/>
    <w:rsid w:val="00305EB3"/>
    <w:rsid w:val="00305F96"/>
    <w:rsid w:val="0030601C"/>
    <w:rsid w:val="003068C6"/>
    <w:rsid w:val="00306931"/>
    <w:rsid w:val="00306BED"/>
    <w:rsid w:val="00306EC1"/>
    <w:rsid w:val="00306F40"/>
    <w:rsid w:val="003074DA"/>
    <w:rsid w:val="0030790C"/>
    <w:rsid w:val="00310071"/>
    <w:rsid w:val="003100B3"/>
    <w:rsid w:val="0031027A"/>
    <w:rsid w:val="003104AA"/>
    <w:rsid w:val="00310C17"/>
    <w:rsid w:val="00310E28"/>
    <w:rsid w:val="00311151"/>
    <w:rsid w:val="00311175"/>
    <w:rsid w:val="003112F0"/>
    <w:rsid w:val="00311412"/>
    <w:rsid w:val="0031186F"/>
    <w:rsid w:val="00311B2E"/>
    <w:rsid w:val="00311B9D"/>
    <w:rsid w:val="00311D21"/>
    <w:rsid w:val="00311D73"/>
    <w:rsid w:val="00312511"/>
    <w:rsid w:val="003129D7"/>
    <w:rsid w:val="0031305F"/>
    <w:rsid w:val="003131BC"/>
    <w:rsid w:val="00313996"/>
    <w:rsid w:val="00313DA5"/>
    <w:rsid w:val="00314797"/>
    <w:rsid w:val="00314AB0"/>
    <w:rsid w:val="00314C07"/>
    <w:rsid w:val="00314C31"/>
    <w:rsid w:val="00314FED"/>
    <w:rsid w:val="003153B1"/>
    <w:rsid w:val="00315FF4"/>
    <w:rsid w:val="00316792"/>
    <w:rsid w:val="0031683F"/>
    <w:rsid w:val="00316961"/>
    <w:rsid w:val="00316D9D"/>
    <w:rsid w:val="003173A3"/>
    <w:rsid w:val="003177BF"/>
    <w:rsid w:val="0031784E"/>
    <w:rsid w:val="00317B77"/>
    <w:rsid w:val="00317CAA"/>
    <w:rsid w:val="00317D9C"/>
    <w:rsid w:val="00317EC8"/>
    <w:rsid w:val="00320114"/>
    <w:rsid w:val="00320759"/>
    <w:rsid w:val="00320F01"/>
    <w:rsid w:val="0032103F"/>
    <w:rsid w:val="003214BB"/>
    <w:rsid w:val="003215FB"/>
    <w:rsid w:val="00321D6C"/>
    <w:rsid w:val="00321DD5"/>
    <w:rsid w:val="003224BF"/>
    <w:rsid w:val="003229F2"/>
    <w:rsid w:val="00322CBD"/>
    <w:rsid w:val="00322D4C"/>
    <w:rsid w:val="003233B1"/>
    <w:rsid w:val="003237CA"/>
    <w:rsid w:val="0032381F"/>
    <w:rsid w:val="003238C0"/>
    <w:rsid w:val="00323CFC"/>
    <w:rsid w:val="00323EA1"/>
    <w:rsid w:val="00324120"/>
    <w:rsid w:val="00324274"/>
    <w:rsid w:val="00324356"/>
    <w:rsid w:val="003243CE"/>
    <w:rsid w:val="00324456"/>
    <w:rsid w:val="00324734"/>
    <w:rsid w:val="00324CD0"/>
    <w:rsid w:val="003259E8"/>
    <w:rsid w:val="00325DAB"/>
    <w:rsid w:val="0032621C"/>
    <w:rsid w:val="003267DA"/>
    <w:rsid w:val="00326B62"/>
    <w:rsid w:val="00326E0D"/>
    <w:rsid w:val="00326F00"/>
    <w:rsid w:val="00327261"/>
    <w:rsid w:val="00327E05"/>
    <w:rsid w:val="0033017E"/>
    <w:rsid w:val="00330460"/>
    <w:rsid w:val="00330843"/>
    <w:rsid w:val="00331552"/>
    <w:rsid w:val="00331BB4"/>
    <w:rsid w:val="00331F06"/>
    <w:rsid w:val="0033253C"/>
    <w:rsid w:val="0033259C"/>
    <w:rsid w:val="003327B4"/>
    <w:rsid w:val="00332AB6"/>
    <w:rsid w:val="0033392B"/>
    <w:rsid w:val="003339C9"/>
    <w:rsid w:val="00333A25"/>
    <w:rsid w:val="00333BB9"/>
    <w:rsid w:val="00333CF2"/>
    <w:rsid w:val="003343BC"/>
    <w:rsid w:val="003349F4"/>
    <w:rsid w:val="00334AA2"/>
    <w:rsid w:val="00335ECB"/>
    <w:rsid w:val="0033617E"/>
    <w:rsid w:val="0033619E"/>
    <w:rsid w:val="0033655A"/>
    <w:rsid w:val="0033686B"/>
    <w:rsid w:val="0033698A"/>
    <w:rsid w:val="003369BC"/>
    <w:rsid w:val="00336CF0"/>
    <w:rsid w:val="00337B68"/>
    <w:rsid w:val="00340417"/>
    <w:rsid w:val="00340463"/>
    <w:rsid w:val="003404C2"/>
    <w:rsid w:val="00340508"/>
    <w:rsid w:val="0034057E"/>
    <w:rsid w:val="00340A63"/>
    <w:rsid w:val="00340D17"/>
    <w:rsid w:val="00341394"/>
    <w:rsid w:val="00341538"/>
    <w:rsid w:val="00341928"/>
    <w:rsid w:val="00341DB0"/>
    <w:rsid w:val="00342209"/>
    <w:rsid w:val="0034250A"/>
    <w:rsid w:val="00342EA8"/>
    <w:rsid w:val="00343693"/>
    <w:rsid w:val="00343B6F"/>
    <w:rsid w:val="0034413D"/>
    <w:rsid w:val="003441E2"/>
    <w:rsid w:val="00344254"/>
    <w:rsid w:val="00344688"/>
    <w:rsid w:val="00344B7E"/>
    <w:rsid w:val="00344E8A"/>
    <w:rsid w:val="00344ED8"/>
    <w:rsid w:val="00345375"/>
    <w:rsid w:val="003454B1"/>
    <w:rsid w:val="0034553F"/>
    <w:rsid w:val="003459D5"/>
    <w:rsid w:val="00345A35"/>
    <w:rsid w:val="00345B2B"/>
    <w:rsid w:val="00345C38"/>
    <w:rsid w:val="00345E10"/>
    <w:rsid w:val="0034688A"/>
    <w:rsid w:val="00346BAD"/>
    <w:rsid w:val="00346BB6"/>
    <w:rsid w:val="00347C18"/>
    <w:rsid w:val="00347FB5"/>
    <w:rsid w:val="00350387"/>
    <w:rsid w:val="003506A7"/>
    <w:rsid w:val="0035087A"/>
    <w:rsid w:val="00350F75"/>
    <w:rsid w:val="003515B6"/>
    <w:rsid w:val="003515BE"/>
    <w:rsid w:val="0035175F"/>
    <w:rsid w:val="0035189E"/>
    <w:rsid w:val="00351AC6"/>
    <w:rsid w:val="00351DF9"/>
    <w:rsid w:val="003525B2"/>
    <w:rsid w:val="003525B5"/>
    <w:rsid w:val="003526FE"/>
    <w:rsid w:val="00352704"/>
    <w:rsid w:val="003527DC"/>
    <w:rsid w:val="003532D1"/>
    <w:rsid w:val="00353B97"/>
    <w:rsid w:val="00353DD3"/>
    <w:rsid w:val="0035450A"/>
    <w:rsid w:val="0035470E"/>
    <w:rsid w:val="00354EB2"/>
    <w:rsid w:val="00354F15"/>
    <w:rsid w:val="003550E7"/>
    <w:rsid w:val="00355AC8"/>
    <w:rsid w:val="00355C5F"/>
    <w:rsid w:val="00355F72"/>
    <w:rsid w:val="00356052"/>
    <w:rsid w:val="00356533"/>
    <w:rsid w:val="003569B0"/>
    <w:rsid w:val="003569C7"/>
    <w:rsid w:val="00356C12"/>
    <w:rsid w:val="00356D48"/>
    <w:rsid w:val="00357044"/>
    <w:rsid w:val="0035713D"/>
    <w:rsid w:val="0035727A"/>
    <w:rsid w:val="003601FF"/>
    <w:rsid w:val="0036030E"/>
    <w:rsid w:val="0036042B"/>
    <w:rsid w:val="0036088D"/>
    <w:rsid w:val="00360D5F"/>
    <w:rsid w:val="00360F0C"/>
    <w:rsid w:val="00360FBA"/>
    <w:rsid w:val="003610F2"/>
    <w:rsid w:val="00361997"/>
    <w:rsid w:val="00361B36"/>
    <w:rsid w:val="00361C85"/>
    <w:rsid w:val="00361DF2"/>
    <w:rsid w:val="00362364"/>
    <w:rsid w:val="00362A63"/>
    <w:rsid w:val="00362EAA"/>
    <w:rsid w:val="0036326A"/>
    <w:rsid w:val="003632A4"/>
    <w:rsid w:val="00363361"/>
    <w:rsid w:val="00363485"/>
    <w:rsid w:val="00363544"/>
    <w:rsid w:val="00363A81"/>
    <w:rsid w:val="0036404F"/>
    <w:rsid w:val="003640F5"/>
    <w:rsid w:val="00364454"/>
    <w:rsid w:val="00364EA6"/>
    <w:rsid w:val="003652EC"/>
    <w:rsid w:val="0036579D"/>
    <w:rsid w:val="003658AC"/>
    <w:rsid w:val="00365C7A"/>
    <w:rsid w:val="00366201"/>
    <w:rsid w:val="00366483"/>
    <w:rsid w:val="0036670F"/>
    <w:rsid w:val="0036716E"/>
    <w:rsid w:val="003672C4"/>
    <w:rsid w:val="0036736D"/>
    <w:rsid w:val="00367571"/>
    <w:rsid w:val="003702AA"/>
    <w:rsid w:val="003703A4"/>
    <w:rsid w:val="00370434"/>
    <w:rsid w:val="003713CE"/>
    <w:rsid w:val="00371925"/>
    <w:rsid w:val="00371B56"/>
    <w:rsid w:val="00371BA5"/>
    <w:rsid w:val="00371D01"/>
    <w:rsid w:val="00371D09"/>
    <w:rsid w:val="00371D20"/>
    <w:rsid w:val="0037228A"/>
    <w:rsid w:val="003727CE"/>
    <w:rsid w:val="00372BD0"/>
    <w:rsid w:val="00372BED"/>
    <w:rsid w:val="00372BF7"/>
    <w:rsid w:val="00372FF8"/>
    <w:rsid w:val="00373606"/>
    <w:rsid w:val="00373CCD"/>
    <w:rsid w:val="00373DE0"/>
    <w:rsid w:val="00373E9E"/>
    <w:rsid w:val="00374152"/>
    <w:rsid w:val="0037465A"/>
    <w:rsid w:val="00375EB0"/>
    <w:rsid w:val="00376BC4"/>
    <w:rsid w:val="00376EE5"/>
    <w:rsid w:val="00376FA0"/>
    <w:rsid w:val="00377850"/>
    <w:rsid w:val="00380317"/>
    <w:rsid w:val="00380364"/>
    <w:rsid w:val="00381154"/>
    <w:rsid w:val="003812D4"/>
    <w:rsid w:val="00381B78"/>
    <w:rsid w:val="00381B82"/>
    <w:rsid w:val="003821B4"/>
    <w:rsid w:val="0038304F"/>
    <w:rsid w:val="003831B5"/>
    <w:rsid w:val="003835F5"/>
    <w:rsid w:val="003837CE"/>
    <w:rsid w:val="00383DB4"/>
    <w:rsid w:val="0038490F"/>
    <w:rsid w:val="00384A25"/>
    <w:rsid w:val="00384AC0"/>
    <w:rsid w:val="00384F82"/>
    <w:rsid w:val="003850A1"/>
    <w:rsid w:val="003850C1"/>
    <w:rsid w:val="003856BA"/>
    <w:rsid w:val="00385EE2"/>
    <w:rsid w:val="00385FF9"/>
    <w:rsid w:val="0038611F"/>
    <w:rsid w:val="00386D45"/>
    <w:rsid w:val="003870EA"/>
    <w:rsid w:val="0038741F"/>
    <w:rsid w:val="00387CCC"/>
    <w:rsid w:val="00387E10"/>
    <w:rsid w:val="00390797"/>
    <w:rsid w:val="003909EE"/>
    <w:rsid w:val="00390A0E"/>
    <w:rsid w:val="00390A71"/>
    <w:rsid w:val="00390CA0"/>
    <w:rsid w:val="00390CBF"/>
    <w:rsid w:val="003917A5"/>
    <w:rsid w:val="00391C51"/>
    <w:rsid w:val="00391D87"/>
    <w:rsid w:val="00391DAF"/>
    <w:rsid w:val="00391DE5"/>
    <w:rsid w:val="003921DE"/>
    <w:rsid w:val="003928A6"/>
    <w:rsid w:val="00392CAC"/>
    <w:rsid w:val="00392D1F"/>
    <w:rsid w:val="00392E10"/>
    <w:rsid w:val="00392F2F"/>
    <w:rsid w:val="003933FC"/>
    <w:rsid w:val="00394209"/>
    <w:rsid w:val="003948C1"/>
    <w:rsid w:val="003951B1"/>
    <w:rsid w:val="003951F4"/>
    <w:rsid w:val="00396163"/>
    <w:rsid w:val="0039647F"/>
    <w:rsid w:val="00396560"/>
    <w:rsid w:val="00396E88"/>
    <w:rsid w:val="0039712C"/>
    <w:rsid w:val="00397415"/>
    <w:rsid w:val="00397495"/>
    <w:rsid w:val="00397818"/>
    <w:rsid w:val="00397837"/>
    <w:rsid w:val="00397DE6"/>
    <w:rsid w:val="003A0593"/>
    <w:rsid w:val="003A05EF"/>
    <w:rsid w:val="003A0E3A"/>
    <w:rsid w:val="003A147D"/>
    <w:rsid w:val="003A1593"/>
    <w:rsid w:val="003A15AD"/>
    <w:rsid w:val="003A27C6"/>
    <w:rsid w:val="003A30FD"/>
    <w:rsid w:val="003A3329"/>
    <w:rsid w:val="003A415A"/>
    <w:rsid w:val="003A4231"/>
    <w:rsid w:val="003A4559"/>
    <w:rsid w:val="003A460A"/>
    <w:rsid w:val="003A49D9"/>
    <w:rsid w:val="003A5CA9"/>
    <w:rsid w:val="003A5CB0"/>
    <w:rsid w:val="003A5D6E"/>
    <w:rsid w:val="003A5FFE"/>
    <w:rsid w:val="003A67DD"/>
    <w:rsid w:val="003A6E58"/>
    <w:rsid w:val="003A78F2"/>
    <w:rsid w:val="003B0290"/>
    <w:rsid w:val="003B0627"/>
    <w:rsid w:val="003B0A3C"/>
    <w:rsid w:val="003B0E34"/>
    <w:rsid w:val="003B163D"/>
    <w:rsid w:val="003B18BD"/>
    <w:rsid w:val="003B19D3"/>
    <w:rsid w:val="003B1B94"/>
    <w:rsid w:val="003B2048"/>
    <w:rsid w:val="003B2107"/>
    <w:rsid w:val="003B2113"/>
    <w:rsid w:val="003B241E"/>
    <w:rsid w:val="003B2484"/>
    <w:rsid w:val="003B26C4"/>
    <w:rsid w:val="003B294A"/>
    <w:rsid w:val="003B29DC"/>
    <w:rsid w:val="003B3716"/>
    <w:rsid w:val="003B3762"/>
    <w:rsid w:val="003B376A"/>
    <w:rsid w:val="003B3CD3"/>
    <w:rsid w:val="003B42B4"/>
    <w:rsid w:val="003B430C"/>
    <w:rsid w:val="003B48F3"/>
    <w:rsid w:val="003B4907"/>
    <w:rsid w:val="003B4F78"/>
    <w:rsid w:val="003B515A"/>
    <w:rsid w:val="003B54D8"/>
    <w:rsid w:val="003B56C5"/>
    <w:rsid w:val="003B5E48"/>
    <w:rsid w:val="003B62FF"/>
    <w:rsid w:val="003B64CF"/>
    <w:rsid w:val="003B6742"/>
    <w:rsid w:val="003B6CB6"/>
    <w:rsid w:val="003B74C2"/>
    <w:rsid w:val="003B759F"/>
    <w:rsid w:val="003C0003"/>
    <w:rsid w:val="003C0012"/>
    <w:rsid w:val="003C057B"/>
    <w:rsid w:val="003C0D53"/>
    <w:rsid w:val="003C101E"/>
    <w:rsid w:val="003C1547"/>
    <w:rsid w:val="003C164C"/>
    <w:rsid w:val="003C1DC5"/>
    <w:rsid w:val="003C208A"/>
    <w:rsid w:val="003C2479"/>
    <w:rsid w:val="003C27B0"/>
    <w:rsid w:val="003C2AFC"/>
    <w:rsid w:val="003C2B78"/>
    <w:rsid w:val="003C3521"/>
    <w:rsid w:val="003C3C0C"/>
    <w:rsid w:val="003C3F52"/>
    <w:rsid w:val="003C3F5B"/>
    <w:rsid w:val="003C479D"/>
    <w:rsid w:val="003C4C0F"/>
    <w:rsid w:val="003C4C8E"/>
    <w:rsid w:val="003C50DF"/>
    <w:rsid w:val="003C558C"/>
    <w:rsid w:val="003C573C"/>
    <w:rsid w:val="003C5752"/>
    <w:rsid w:val="003C62CD"/>
    <w:rsid w:val="003C66D1"/>
    <w:rsid w:val="003C6876"/>
    <w:rsid w:val="003C69CD"/>
    <w:rsid w:val="003C6C2C"/>
    <w:rsid w:val="003C6CE6"/>
    <w:rsid w:val="003C7403"/>
    <w:rsid w:val="003C752D"/>
    <w:rsid w:val="003C76E7"/>
    <w:rsid w:val="003C796B"/>
    <w:rsid w:val="003C7A27"/>
    <w:rsid w:val="003C7B65"/>
    <w:rsid w:val="003C7C5B"/>
    <w:rsid w:val="003C7CE2"/>
    <w:rsid w:val="003D01D4"/>
    <w:rsid w:val="003D037F"/>
    <w:rsid w:val="003D03BE"/>
    <w:rsid w:val="003D0894"/>
    <w:rsid w:val="003D13A1"/>
    <w:rsid w:val="003D13F5"/>
    <w:rsid w:val="003D1E2D"/>
    <w:rsid w:val="003D248F"/>
    <w:rsid w:val="003D29C3"/>
    <w:rsid w:val="003D2C87"/>
    <w:rsid w:val="003D32DA"/>
    <w:rsid w:val="003D3375"/>
    <w:rsid w:val="003D3BC1"/>
    <w:rsid w:val="003D3D92"/>
    <w:rsid w:val="003D5844"/>
    <w:rsid w:val="003D5D43"/>
    <w:rsid w:val="003D5E9F"/>
    <w:rsid w:val="003D6171"/>
    <w:rsid w:val="003D633A"/>
    <w:rsid w:val="003D642E"/>
    <w:rsid w:val="003D64D6"/>
    <w:rsid w:val="003D66C8"/>
    <w:rsid w:val="003D6B00"/>
    <w:rsid w:val="003D6C4E"/>
    <w:rsid w:val="003D7BD8"/>
    <w:rsid w:val="003E0557"/>
    <w:rsid w:val="003E0744"/>
    <w:rsid w:val="003E0F14"/>
    <w:rsid w:val="003E10A8"/>
    <w:rsid w:val="003E15C5"/>
    <w:rsid w:val="003E194D"/>
    <w:rsid w:val="003E1D07"/>
    <w:rsid w:val="003E1F1F"/>
    <w:rsid w:val="003E29E9"/>
    <w:rsid w:val="003E2A8B"/>
    <w:rsid w:val="003E2AFB"/>
    <w:rsid w:val="003E2E91"/>
    <w:rsid w:val="003E2ED9"/>
    <w:rsid w:val="003E3384"/>
    <w:rsid w:val="003E4149"/>
    <w:rsid w:val="003E5A85"/>
    <w:rsid w:val="003E5DE8"/>
    <w:rsid w:val="003E605C"/>
    <w:rsid w:val="003E7229"/>
    <w:rsid w:val="003E72C5"/>
    <w:rsid w:val="003E76A3"/>
    <w:rsid w:val="003E779B"/>
    <w:rsid w:val="003E7977"/>
    <w:rsid w:val="003E7D44"/>
    <w:rsid w:val="003F0070"/>
    <w:rsid w:val="003F05AD"/>
    <w:rsid w:val="003F07E7"/>
    <w:rsid w:val="003F0966"/>
    <w:rsid w:val="003F0AC1"/>
    <w:rsid w:val="003F0B6E"/>
    <w:rsid w:val="003F0E08"/>
    <w:rsid w:val="003F169F"/>
    <w:rsid w:val="003F1740"/>
    <w:rsid w:val="003F1BE2"/>
    <w:rsid w:val="003F1D52"/>
    <w:rsid w:val="003F21EE"/>
    <w:rsid w:val="003F2215"/>
    <w:rsid w:val="003F2636"/>
    <w:rsid w:val="003F2B04"/>
    <w:rsid w:val="003F2E28"/>
    <w:rsid w:val="003F33A9"/>
    <w:rsid w:val="003F3B7D"/>
    <w:rsid w:val="003F4B9A"/>
    <w:rsid w:val="003F4D22"/>
    <w:rsid w:val="003F4E31"/>
    <w:rsid w:val="003F5B69"/>
    <w:rsid w:val="003F6418"/>
    <w:rsid w:val="003F6939"/>
    <w:rsid w:val="003F6AD0"/>
    <w:rsid w:val="003F6E0B"/>
    <w:rsid w:val="003F707E"/>
    <w:rsid w:val="003F79FA"/>
    <w:rsid w:val="003F7C91"/>
    <w:rsid w:val="00400A8F"/>
    <w:rsid w:val="00400E78"/>
    <w:rsid w:val="00401295"/>
    <w:rsid w:val="0040147F"/>
    <w:rsid w:val="004014C6"/>
    <w:rsid w:val="004015EB"/>
    <w:rsid w:val="004017B6"/>
    <w:rsid w:val="00401A75"/>
    <w:rsid w:val="00401D0C"/>
    <w:rsid w:val="004026FB"/>
    <w:rsid w:val="00402ABB"/>
    <w:rsid w:val="00402F6F"/>
    <w:rsid w:val="00403135"/>
    <w:rsid w:val="00403156"/>
    <w:rsid w:val="00403163"/>
    <w:rsid w:val="00403222"/>
    <w:rsid w:val="00403303"/>
    <w:rsid w:val="00403B33"/>
    <w:rsid w:val="00403D31"/>
    <w:rsid w:val="00403D70"/>
    <w:rsid w:val="00403DBC"/>
    <w:rsid w:val="00403EA3"/>
    <w:rsid w:val="00403F07"/>
    <w:rsid w:val="00404801"/>
    <w:rsid w:val="004049AE"/>
    <w:rsid w:val="00404BAE"/>
    <w:rsid w:val="00404C62"/>
    <w:rsid w:val="00404F08"/>
    <w:rsid w:val="0040609A"/>
    <w:rsid w:val="00406325"/>
    <w:rsid w:val="00406911"/>
    <w:rsid w:val="0040712E"/>
    <w:rsid w:val="00407728"/>
    <w:rsid w:val="004079F3"/>
    <w:rsid w:val="00407A1D"/>
    <w:rsid w:val="004100D2"/>
    <w:rsid w:val="004109C1"/>
    <w:rsid w:val="0041102D"/>
    <w:rsid w:val="00411297"/>
    <w:rsid w:val="0041186D"/>
    <w:rsid w:val="0041198A"/>
    <w:rsid w:val="00411F8F"/>
    <w:rsid w:val="004124A2"/>
    <w:rsid w:val="004129E3"/>
    <w:rsid w:val="00412C31"/>
    <w:rsid w:val="004131BB"/>
    <w:rsid w:val="00413EC5"/>
    <w:rsid w:val="00413FF4"/>
    <w:rsid w:val="004145CD"/>
    <w:rsid w:val="0041579B"/>
    <w:rsid w:val="00415A4A"/>
    <w:rsid w:val="00416372"/>
    <w:rsid w:val="00416549"/>
    <w:rsid w:val="00416A29"/>
    <w:rsid w:val="00416AA4"/>
    <w:rsid w:val="00416C26"/>
    <w:rsid w:val="004171B9"/>
    <w:rsid w:val="00417978"/>
    <w:rsid w:val="00417FEB"/>
    <w:rsid w:val="004201C3"/>
    <w:rsid w:val="004202D5"/>
    <w:rsid w:val="004204C3"/>
    <w:rsid w:val="0042089A"/>
    <w:rsid w:val="004208AF"/>
    <w:rsid w:val="00420A4A"/>
    <w:rsid w:val="0042111B"/>
    <w:rsid w:val="00421703"/>
    <w:rsid w:val="00421843"/>
    <w:rsid w:val="00421BAB"/>
    <w:rsid w:val="00422405"/>
    <w:rsid w:val="00422BAE"/>
    <w:rsid w:val="00422F75"/>
    <w:rsid w:val="004236DF"/>
    <w:rsid w:val="00423974"/>
    <w:rsid w:val="00423CE6"/>
    <w:rsid w:val="00424415"/>
    <w:rsid w:val="00424483"/>
    <w:rsid w:val="004244BF"/>
    <w:rsid w:val="00424564"/>
    <w:rsid w:val="00424CB3"/>
    <w:rsid w:val="00425545"/>
    <w:rsid w:val="00426E72"/>
    <w:rsid w:val="004274B2"/>
    <w:rsid w:val="00427630"/>
    <w:rsid w:val="004278DB"/>
    <w:rsid w:val="00427C22"/>
    <w:rsid w:val="00427D0B"/>
    <w:rsid w:val="00427E26"/>
    <w:rsid w:val="004301A9"/>
    <w:rsid w:val="00430314"/>
    <w:rsid w:val="00430648"/>
    <w:rsid w:val="00431184"/>
    <w:rsid w:val="004312FD"/>
    <w:rsid w:val="00431D71"/>
    <w:rsid w:val="00431FF1"/>
    <w:rsid w:val="004322E8"/>
    <w:rsid w:val="0043316F"/>
    <w:rsid w:val="00433618"/>
    <w:rsid w:val="00433A17"/>
    <w:rsid w:val="00433A5A"/>
    <w:rsid w:val="00433CB0"/>
    <w:rsid w:val="00433CF1"/>
    <w:rsid w:val="00433D08"/>
    <w:rsid w:val="00433EA8"/>
    <w:rsid w:val="00434A8D"/>
    <w:rsid w:val="00435B1B"/>
    <w:rsid w:val="00435BFB"/>
    <w:rsid w:val="00436338"/>
    <w:rsid w:val="00436461"/>
    <w:rsid w:val="0043689A"/>
    <w:rsid w:val="00436A87"/>
    <w:rsid w:val="00436BFF"/>
    <w:rsid w:val="00437164"/>
    <w:rsid w:val="0044047B"/>
    <w:rsid w:val="004410EB"/>
    <w:rsid w:val="00441733"/>
    <w:rsid w:val="004419D8"/>
    <w:rsid w:val="004420C8"/>
    <w:rsid w:val="00442634"/>
    <w:rsid w:val="00442746"/>
    <w:rsid w:val="00442B70"/>
    <w:rsid w:val="00442BDE"/>
    <w:rsid w:val="004430DB"/>
    <w:rsid w:val="004431C4"/>
    <w:rsid w:val="004435D5"/>
    <w:rsid w:val="00443C0E"/>
    <w:rsid w:val="00444CEC"/>
    <w:rsid w:val="00444CF3"/>
    <w:rsid w:val="00444D85"/>
    <w:rsid w:val="00445620"/>
    <w:rsid w:val="0044686F"/>
    <w:rsid w:val="0044728E"/>
    <w:rsid w:val="00447D9D"/>
    <w:rsid w:val="004500BD"/>
    <w:rsid w:val="004505C0"/>
    <w:rsid w:val="00450707"/>
    <w:rsid w:val="00451449"/>
    <w:rsid w:val="0045176E"/>
    <w:rsid w:val="00451EF5"/>
    <w:rsid w:val="004522F2"/>
    <w:rsid w:val="0045257F"/>
    <w:rsid w:val="00452976"/>
    <w:rsid w:val="00452A22"/>
    <w:rsid w:val="00452CF7"/>
    <w:rsid w:val="0045357E"/>
    <w:rsid w:val="00453A39"/>
    <w:rsid w:val="00453AAA"/>
    <w:rsid w:val="004544DB"/>
    <w:rsid w:val="004549A6"/>
    <w:rsid w:val="00454C0B"/>
    <w:rsid w:val="00455241"/>
    <w:rsid w:val="00455706"/>
    <w:rsid w:val="00455C43"/>
    <w:rsid w:val="004560BD"/>
    <w:rsid w:val="004566F2"/>
    <w:rsid w:val="0045670D"/>
    <w:rsid w:val="00456811"/>
    <w:rsid w:val="00456D7E"/>
    <w:rsid w:val="00456E91"/>
    <w:rsid w:val="004573AD"/>
    <w:rsid w:val="004573DE"/>
    <w:rsid w:val="00457C15"/>
    <w:rsid w:val="00457CF8"/>
    <w:rsid w:val="00457DAE"/>
    <w:rsid w:val="00460AB4"/>
    <w:rsid w:val="00461008"/>
    <w:rsid w:val="00461125"/>
    <w:rsid w:val="00461196"/>
    <w:rsid w:val="00461361"/>
    <w:rsid w:val="00461510"/>
    <w:rsid w:val="00461B09"/>
    <w:rsid w:val="00461DE6"/>
    <w:rsid w:val="0046206A"/>
    <w:rsid w:val="004621CC"/>
    <w:rsid w:val="00462300"/>
    <w:rsid w:val="00462A0F"/>
    <w:rsid w:val="00462C76"/>
    <w:rsid w:val="00463241"/>
    <w:rsid w:val="0046396D"/>
    <w:rsid w:val="00463979"/>
    <w:rsid w:val="00463A58"/>
    <w:rsid w:val="00463B56"/>
    <w:rsid w:val="004649BA"/>
    <w:rsid w:val="00464CED"/>
    <w:rsid w:val="00464F08"/>
    <w:rsid w:val="004652F4"/>
    <w:rsid w:val="0046549F"/>
    <w:rsid w:val="00465C8E"/>
    <w:rsid w:val="00465CC6"/>
    <w:rsid w:val="00465F26"/>
    <w:rsid w:val="00466043"/>
    <w:rsid w:val="004664E6"/>
    <w:rsid w:val="00466A5E"/>
    <w:rsid w:val="00466F4E"/>
    <w:rsid w:val="00467029"/>
    <w:rsid w:val="0046715C"/>
    <w:rsid w:val="00467A88"/>
    <w:rsid w:val="00467BE6"/>
    <w:rsid w:val="0047024A"/>
    <w:rsid w:val="0047041B"/>
    <w:rsid w:val="00471065"/>
    <w:rsid w:val="00471F8D"/>
    <w:rsid w:val="00472016"/>
    <w:rsid w:val="004721BC"/>
    <w:rsid w:val="004722A2"/>
    <w:rsid w:val="00472478"/>
    <w:rsid w:val="00472623"/>
    <w:rsid w:val="004731A8"/>
    <w:rsid w:val="004739A7"/>
    <w:rsid w:val="00473A3E"/>
    <w:rsid w:val="004741A1"/>
    <w:rsid w:val="00474279"/>
    <w:rsid w:val="0047463E"/>
    <w:rsid w:val="00474823"/>
    <w:rsid w:val="0047499B"/>
    <w:rsid w:val="00474FB0"/>
    <w:rsid w:val="00475057"/>
    <w:rsid w:val="00475200"/>
    <w:rsid w:val="00475939"/>
    <w:rsid w:val="00475C85"/>
    <w:rsid w:val="0047613F"/>
    <w:rsid w:val="0047619D"/>
    <w:rsid w:val="00476AA4"/>
    <w:rsid w:val="00476D94"/>
    <w:rsid w:val="004770FC"/>
    <w:rsid w:val="004775F8"/>
    <w:rsid w:val="00477B7E"/>
    <w:rsid w:val="00480E1B"/>
    <w:rsid w:val="00481535"/>
    <w:rsid w:val="00481566"/>
    <w:rsid w:val="00481C1F"/>
    <w:rsid w:val="004820BE"/>
    <w:rsid w:val="00482198"/>
    <w:rsid w:val="004821B1"/>
    <w:rsid w:val="0048292E"/>
    <w:rsid w:val="00482BA1"/>
    <w:rsid w:val="00482FD1"/>
    <w:rsid w:val="004830C9"/>
    <w:rsid w:val="0048332C"/>
    <w:rsid w:val="00483AB8"/>
    <w:rsid w:val="00484161"/>
    <w:rsid w:val="0048422F"/>
    <w:rsid w:val="004842F3"/>
    <w:rsid w:val="00484313"/>
    <w:rsid w:val="004844B6"/>
    <w:rsid w:val="0048459A"/>
    <w:rsid w:val="00484B1F"/>
    <w:rsid w:val="00486C44"/>
    <w:rsid w:val="004879BC"/>
    <w:rsid w:val="00487CFB"/>
    <w:rsid w:val="00490489"/>
    <w:rsid w:val="00490785"/>
    <w:rsid w:val="00490D22"/>
    <w:rsid w:val="00490D7C"/>
    <w:rsid w:val="004914F5"/>
    <w:rsid w:val="004918C5"/>
    <w:rsid w:val="00491BB1"/>
    <w:rsid w:val="00491F89"/>
    <w:rsid w:val="0049212E"/>
    <w:rsid w:val="004924AE"/>
    <w:rsid w:val="004925BD"/>
    <w:rsid w:val="00492723"/>
    <w:rsid w:val="00492A3D"/>
    <w:rsid w:val="00492AAC"/>
    <w:rsid w:val="00492CC3"/>
    <w:rsid w:val="00493772"/>
    <w:rsid w:val="00493AEA"/>
    <w:rsid w:val="00493E12"/>
    <w:rsid w:val="004940C0"/>
    <w:rsid w:val="00494382"/>
    <w:rsid w:val="00494453"/>
    <w:rsid w:val="00494A48"/>
    <w:rsid w:val="00494F54"/>
    <w:rsid w:val="004950B2"/>
    <w:rsid w:val="004952F1"/>
    <w:rsid w:val="004956B7"/>
    <w:rsid w:val="00495962"/>
    <w:rsid w:val="004961AD"/>
    <w:rsid w:val="004962F9"/>
    <w:rsid w:val="00497A14"/>
    <w:rsid w:val="00497DAC"/>
    <w:rsid w:val="004A0067"/>
    <w:rsid w:val="004A0111"/>
    <w:rsid w:val="004A0484"/>
    <w:rsid w:val="004A0949"/>
    <w:rsid w:val="004A0A0F"/>
    <w:rsid w:val="004A0B87"/>
    <w:rsid w:val="004A0F87"/>
    <w:rsid w:val="004A10F8"/>
    <w:rsid w:val="004A1535"/>
    <w:rsid w:val="004A19FA"/>
    <w:rsid w:val="004A1BEA"/>
    <w:rsid w:val="004A1ED0"/>
    <w:rsid w:val="004A1FE1"/>
    <w:rsid w:val="004A2048"/>
    <w:rsid w:val="004A26C4"/>
    <w:rsid w:val="004A34AC"/>
    <w:rsid w:val="004A3ADE"/>
    <w:rsid w:val="004A42BE"/>
    <w:rsid w:val="004A4689"/>
    <w:rsid w:val="004A4729"/>
    <w:rsid w:val="004A47C1"/>
    <w:rsid w:val="004A499C"/>
    <w:rsid w:val="004A4A90"/>
    <w:rsid w:val="004A4ADB"/>
    <w:rsid w:val="004A5031"/>
    <w:rsid w:val="004A5797"/>
    <w:rsid w:val="004A5B36"/>
    <w:rsid w:val="004A60C9"/>
    <w:rsid w:val="004A698E"/>
    <w:rsid w:val="004A75B4"/>
    <w:rsid w:val="004A78D4"/>
    <w:rsid w:val="004A7E94"/>
    <w:rsid w:val="004B05B8"/>
    <w:rsid w:val="004B0649"/>
    <w:rsid w:val="004B070E"/>
    <w:rsid w:val="004B07E3"/>
    <w:rsid w:val="004B184F"/>
    <w:rsid w:val="004B1A99"/>
    <w:rsid w:val="004B211E"/>
    <w:rsid w:val="004B2A6C"/>
    <w:rsid w:val="004B2CC0"/>
    <w:rsid w:val="004B2D30"/>
    <w:rsid w:val="004B2EA6"/>
    <w:rsid w:val="004B2EF5"/>
    <w:rsid w:val="004B2F17"/>
    <w:rsid w:val="004B3419"/>
    <w:rsid w:val="004B37EA"/>
    <w:rsid w:val="004B3CE8"/>
    <w:rsid w:val="004B4067"/>
    <w:rsid w:val="004B435E"/>
    <w:rsid w:val="004B43D6"/>
    <w:rsid w:val="004B44F7"/>
    <w:rsid w:val="004B48B6"/>
    <w:rsid w:val="004B4B94"/>
    <w:rsid w:val="004B552A"/>
    <w:rsid w:val="004B57C9"/>
    <w:rsid w:val="004B5EE0"/>
    <w:rsid w:val="004B5FE3"/>
    <w:rsid w:val="004B6011"/>
    <w:rsid w:val="004B63F7"/>
    <w:rsid w:val="004B66C0"/>
    <w:rsid w:val="004B66FE"/>
    <w:rsid w:val="004B6762"/>
    <w:rsid w:val="004B6793"/>
    <w:rsid w:val="004B6E0B"/>
    <w:rsid w:val="004B7241"/>
    <w:rsid w:val="004B7813"/>
    <w:rsid w:val="004B791B"/>
    <w:rsid w:val="004B7BB1"/>
    <w:rsid w:val="004B7E5B"/>
    <w:rsid w:val="004B7EDD"/>
    <w:rsid w:val="004C0644"/>
    <w:rsid w:val="004C06A8"/>
    <w:rsid w:val="004C08A2"/>
    <w:rsid w:val="004C08DF"/>
    <w:rsid w:val="004C11FF"/>
    <w:rsid w:val="004C1B9F"/>
    <w:rsid w:val="004C1C3A"/>
    <w:rsid w:val="004C1C6F"/>
    <w:rsid w:val="004C2533"/>
    <w:rsid w:val="004C2B34"/>
    <w:rsid w:val="004C3187"/>
    <w:rsid w:val="004C34F7"/>
    <w:rsid w:val="004C356D"/>
    <w:rsid w:val="004C3B54"/>
    <w:rsid w:val="004C3CA7"/>
    <w:rsid w:val="004C3EE0"/>
    <w:rsid w:val="004C4214"/>
    <w:rsid w:val="004C43DA"/>
    <w:rsid w:val="004C4F36"/>
    <w:rsid w:val="004C53E5"/>
    <w:rsid w:val="004C5768"/>
    <w:rsid w:val="004C58B2"/>
    <w:rsid w:val="004C63E2"/>
    <w:rsid w:val="004C6968"/>
    <w:rsid w:val="004C6BFD"/>
    <w:rsid w:val="004C7496"/>
    <w:rsid w:val="004C7731"/>
    <w:rsid w:val="004C7A5D"/>
    <w:rsid w:val="004C7F90"/>
    <w:rsid w:val="004D00EF"/>
    <w:rsid w:val="004D0108"/>
    <w:rsid w:val="004D02C9"/>
    <w:rsid w:val="004D0349"/>
    <w:rsid w:val="004D0894"/>
    <w:rsid w:val="004D20DE"/>
    <w:rsid w:val="004D20F1"/>
    <w:rsid w:val="004D2501"/>
    <w:rsid w:val="004D2992"/>
    <w:rsid w:val="004D2A4B"/>
    <w:rsid w:val="004D2B95"/>
    <w:rsid w:val="004D33CE"/>
    <w:rsid w:val="004D3579"/>
    <w:rsid w:val="004D3A48"/>
    <w:rsid w:val="004D3A4E"/>
    <w:rsid w:val="004D3E99"/>
    <w:rsid w:val="004D41E9"/>
    <w:rsid w:val="004D43EC"/>
    <w:rsid w:val="004D465A"/>
    <w:rsid w:val="004D49DE"/>
    <w:rsid w:val="004D4ED5"/>
    <w:rsid w:val="004D52ED"/>
    <w:rsid w:val="004D573E"/>
    <w:rsid w:val="004D57D1"/>
    <w:rsid w:val="004D5B89"/>
    <w:rsid w:val="004D5DB5"/>
    <w:rsid w:val="004D61D8"/>
    <w:rsid w:val="004D62B9"/>
    <w:rsid w:val="004D6512"/>
    <w:rsid w:val="004D7059"/>
    <w:rsid w:val="004D71FC"/>
    <w:rsid w:val="004D7287"/>
    <w:rsid w:val="004D7295"/>
    <w:rsid w:val="004D73F6"/>
    <w:rsid w:val="004D74BB"/>
    <w:rsid w:val="004D7720"/>
    <w:rsid w:val="004D7E70"/>
    <w:rsid w:val="004E0D00"/>
    <w:rsid w:val="004E10EA"/>
    <w:rsid w:val="004E28A6"/>
    <w:rsid w:val="004E2BC5"/>
    <w:rsid w:val="004E2F20"/>
    <w:rsid w:val="004E3323"/>
    <w:rsid w:val="004E337C"/>
    <w:rsid w:val="004E3955"/>
    <w:rsid w:val="004E3BA7"/>
    <w:rsid w:val="004E3CC1"/>
    <w:rsid w:val="004E3ED8"/>
    <w:rsid w:val="004E4038"/>
    <w:rsid w:val="004E40A0"/>
    <w:rsid w:val="004E46C5"/>
    <w:rsid w:val="004E492C"/>
    <w:rsid w:val="004E501E"/>
    <w:rsid w:val="004E51F1"/>
    <w:rsid w:val="004E5454"/>
    <w:rsid w:val="004E5539"/>
    <w:rsid w:val="004E5711"/>
    <w:rsid w:val="004E5757"/>
    <w:rsid w:val="004E5F6B"/>
    <w:rsid w:val="004E61FE"/>
    <w:rsid w:val="004E6AD4"/>
    <w:rsid w:val="004E6CE4"/>
    <w:rsid w:val="004E6D4F"/>
    <w:rsid w:val="004E70A1"/>
    <w:rsid w:val="004E710D"/>
    <w:rsid w:val="004E7BC7"/>
    <w:rsid w:val="004E7C17"/>
    <w:rsid w:val="004E7FF9"/>
    <w:rsid w:val="004F0233"/>
    <w:rsid w:val="004F0473"/>
    <w:rsid w:val="004F0890"/>
    <w:rsid w:val="004F15A9"/>
    <w:rsid w:val="004F198D"/>
    <w:rsid w:val="004F1A46"/>
    <w:rsid w:val="004F1E91"/>
    <w:rsid w:val="004F21AB"/>
    <w:rsid w:val="004F24CA"/>
    <w:rsid w:val="004F2568"/>
    <w:rsid w:val="004F2743"/>
    <w:rsid w:val="004F28EB"/>
    <w:rsid w:val="004F3640"/>
    <w:rsid w:val="004F3A0E"/>
    <w:rsid w:val="004F3A61"/>
    <w:rsid w:val="004F3B04"/>
    <w:rsid w:val="004F3B56"/>
    <w:rsid w:val="004F4800"/>
    <w:rsid w:val="004F4973"/>
    <w:rsid w:val="004F49E5"/>
    <w:rsid w:val="004F4A89"/>
    <w:rsid w:val="004F4F8A"/>
    <w:rsid w:val="004F5D38"/>
    <w:rsid w:val="004F5FC2"/>
    <w:rsid w:val="004F6493"/>
    <w:rsid w:val="004F6583"/>
    <w:rsid w:val="004F6649"/>
    <w:rsid w:val="004F7624"/>
    <w:rsid w:val="004F7652"/>
    <w:rsid w:val="004F7B17"/>
    <w:rsid w:val="004F7CCA"/>
    <w:rsid w:val="0050006A"/>
    <w:rsid w:val="005002A2"/>
    <w:rsid w:val="005002DA"/>
    <w:rsid w:val="00500543"/>
    <w:rsid w:val="005005D0"/>
    <w:rsid w:val="00500A6C"/>
    <w:rsid w:val="00500ABE"/>
    <w:rsid w:val="00500B8C"/>
    <w:rsid w:val="00501691"/>
    <w:rsid w:val="00501A76"/>
    <w:rsid w:val="00501AAB"/>
    <w:rsid w:val="00501C99"/>
    <w:rsid w:val="00501F7F"/>
    <w:rsid w:val="00501FA0"/>
    <w:rsid w:val="00502B96"/>
    <w:rsid w:val="00503853"/>
    <w:rsid w:val="00503BA8"/>
    <w:rsid w:val="00503EA5"/>
    <w:rsid w:val="00503FA3"/>
    <w:rsid w:val="005042D3"/>
    <w:rsid w:val="00504903"/>
    <w:rsid w:val="00504DA2"/>
    <w:rsid w:val="0050502C"/>
    <w:rsid w:val="00505311"/>
    <w:rsid w:val="00505CEA"/>
    <w:rsid w:val="00505FEB"/>
    <w:rsid w:val="00506FC2"/>
    <w:rsid w:val="005072F1"/>
    <w:rsid w:val="005075F9"/>
    <w:rsid w:val="005102AC"/>
    <w:rsid w:val="0051050F"/>
    <w:rsid w:val="00510725"/>
    <w:rsid w:val="005110E6"/>
    <w:rsid w:val="0051130B"/>
    <w:rsid w:val="00511986"/>
    <w:rsid w:val="00511B0C"/>
    <w:rsid w:val="00511CA7"/>
    <w:rsid w:val="005125D8"/>
    <w:rsid w:val="00512EE4"/>
    <w:rsid w:val="00513072"/>
    <w:rsid w:val="00513138"/>
    <w:rsid w:val="00513983"/>
    <w:rsid w:val="00513ADA"/>
    <w:rsid w:val="005140BB"/>
    <w:rsid w:val="00514486"/>
    <w:rsid w:val="00514ED6"/>
    <w:rsid w:val="00515246"/>
    <w:rsid w:val="00515843"/>
    <w:rsid w:val="00515F31"/>
    <w:rsid w:val="0051648E"/>
    <w:rsid w:val="005168AD"/>
    <w:rsid w:val="0051697E"/>
    <w:rsid w:val="00516F61"/>
    <w:rsid w:val="005170CE"/>
    <w:rsid w:val="005176B0"/>
    <w:rsid w:val="005177F8"/>
    <w:rsid w:val="0051791E"/>
    <w:rsid w:val="005208B7"/>
    <w:rsid w:val="00520DDD"/>
    <w:rsid w:val="00521363"/>
    <w:rsid w:val="005216D4"/>
    <w:rsid w:val="00521D00"/>
    <w:rsid w:val="005220E8"/>
    <w:rsid w:val="005223D1"/>
    <w:rsid w:val="00522586"/>
    <w:rsid w:val="0052260B"/>
    <w:rsid w:val="00522624"/>
    <w:rsid w:val="005226CA"/>
    <w:rsid w:val="00522CBD"/>
    <w:rsid w:val="00522FB3"/>
    <w:rsid w:val="00523069"/>
    <w:rsid w:val="005232C8"/>
    <w:rsid w:val="00523713"/>
    <w:rsid w:val="00523996"/>
    <w:rsid w:val="00523ECF"/>
    <w:rsid w:val="0052448F"/>
    <w:rsid w:val="0052467B"/>
    <w:rsid w:val="00524B45"/>
    <w:rsid w:val="00524C12"/>
    <w:rsid w:val="0052503A"/>
    <w:rsid w:val="005255A4"/>
    <w:rsid w:val="00525A8D"/>
    <w:rsid w:val="00525DD4"/>
    <w:rsid w:val="005262D3"/>
    <w:rsid w:val="005262FF"/>
    <w:rsid w:val="00526A1D"/>
    <w:rsid w:val="00527015"/>
    <w:rsid w:val="005271C8"/>
    <w:rsid w:val="0052736A"/>
    <w:rsid w:val="0052768C"/>
    <w:rsid w:val="00527CC9"/>
    <w:rsid w:val="00527D83"/>
    <w:rsid w:val="00527ECA"/>
    <w:rsid w:val="00530617"/>
    <w:rsid w:val="00530D7C"/>
    <w:rsid w:val="00531118"/>
    <w:rsid w:val="005311F6"/>
    <w:rsid w:val="00531C95"/>
    <w:rsid w:val="00531DF0"/>
    <w:rsid w:val="00532262"/>
    <w:rsid w:val="00532710"/>
    <w:rsid w:val="00532717"/>
    <w:rsid w:val="005328B9"/>
    <w:rsid w:val="00532E5C"/>
    <w:rsid w:val="005334CA"/>
    <w:rsid w:val="005337FB"/>
    <w:rsid w:val="00533D10"/>
    <w:rsid w:val="00533D2D"/>
    <w:rsid w:val="0053406F"/>
    <w:rsid w:val="005346D7"/>
    <w:rsid w:val="005348C0"/>
    <w:rsid w:val="00534F18"/>
    <w:rsid w:val="00534F2C"/>
    <w:rsid w:val="00535890"/>
    <w:rsid w:val="00535A61"/>
    <w:rsid w:val="00535C44"/>
    <w:rsid w:val="00535D20"/>
    <w:rsid w:val="0053663F"/>
    <w:rsid w:val="00536695"/>
    <w:rsid w:val="00536B0A"/>
    <w:rsid w:val="00536B0B"/>
    <w:rsid w:val="0053743D"/>
    <w:rsid w:val="005375C9"/>
    <w:rsid w:val="005376B3"/>
    <w:rsid w:val="00537944"/>
    <w:rsid w:val="0054000C"/>
    <w:rsid w:val="005401A3"/>
    <w:rsid w:val="00540279"/>
    <w:rsid w:val="005408AB"/>
    <w:rsid w:val="00540E78"/>
    <w:rsid w:val="00540E8F"/>
    <w:rsid w:val="005413DC"/>
    <w:rsid w:val="00541A26"/>
    <w:rsid w:val="00541E0D"/>
    <w:rsid w:val="005420F8"/>
    <w:rsid w:val="005426AE"/>
    <w:rsid w:val="005427F1"/>
    <w:rsid w:val="00542C3E"/>
    <w:rsid w:val="00542E7D"/>
    <w:rsid w:val="0054339A"/>
    <w:rsid w:val="005433A1"/>
    <w:rsid w:val="0054357E"/>
    <w:rsid w:val="00543B8D"/>
    <w:rsid w:val="00543BE3"/>
    <w:rsid w:val="00543C24"/>
    <w:rsid w:val="00543C4D"/>
    <w:rsid w:val="005440DE"/>
    <w:rsid w:val="0054456E"/>
    <w:rsid w:val="005446AC"/>
    <w:rsid w:val="00544978"/>
    <w:rsid w:val="00544E98"/>
    <w:rsid w:val="00544FAB"/>
    <w:rsid w:val="00545784"/>
    <w:rsid w:val="00545B72"/>
    <w:rsid w:val="00545DC0"/>
    <w:rsid w:val="00546337"/>
    <w:rsid w:val="00546C66"/>
    <w:rsid w:val="00547185"/>
    <w:rsid w:val="005472DF"/>
    <w:rsid w:val="00547DA5"/>
    <w:rsid w:val="0055007C"/>
    <w:rsid w:val="00550581"/>
    <w:rsid w:val="00550599"/>
    <w:rsid w:val="005505AE"/>
    <w:rsid w:val="00550D7C"/>
    <w:rsid w:val="00550E07"/>
    <w:rsid w:val="00550F0E"/>
    <w:rsid w:val="005512A6"/>
    <w:rsid w:val="00551646"/>
    <w:rsid w:val="005517DC"/>
    <w:rsid w:val="00551CD3"/>
    <w:rsid w:val="005527DB"/>
    <w:rsid w:val="00552AA0"/>
    <w:rsid w:val="00552ECB"/>
    <w:rsid w:val="00552EE3"/>
    <w:rsid w:val="00552EED"/>
    <w:rsid w:val="00553297"/>
    <w:rsid w:val="00553A2E"/>
    <w:rsid w:val="00553CFE"/>
    <w:rsid w:val="00554755"/>
    <w:rsid w:val="00554874"/>
    <w:rsid w:val="00554DA6"/>
    <w:rsid w:val="0055539D"/>
    <w:rsid w:val="0055542A"/>
    <w:rsid w:val="005554A4"/>
    <w:rsid w:val="005558C4"/>
    <w:rsid w:val="00555F58"/>
    <w:rsid w:val="00556455"/>
    <w:rsid w:val="00556A56"/>
    <w:rsid w:val="00556FD4"/>
    <w:rsid w:val="005573C4"/>
    <w:rsid w:val="005573CD"/>
    <w:rsid w:val="00557760"/>
    <w:rsid w:val="005579E0"/>
    <w:rsid w:val="005600FE"/>
    <w:rsid w:val="005601E9"/>
    <w:rsid w:val="0056069A"/>
    <w:rsid w:val="00560906"/>
    <w:rsid w:val="005609BB"/>
    <w:rsid w:val="00560CEE"/>
    <w:rsid w:val="005614B8"/>
    <w:rsid w:val="00561C88"/>
    <w:rsid w:val="00561F96"/>
    <w:rsid w:val="00562112"/>
    <w:rsid w:val="00562379"/>
    <w:rsid w:val="0056240E"/>
    <w:rsid w:val="00562CFF"/>
    <w:rsid w:val="00563A48"/>
    <w:rsid w:val="00563CD7"/>
    <w:rsid w:val="00564A58"/>
    <w:rsid w:val="00564B1C"/>
    <w:rsid w:val="005652DA"/>
    <w:rsid w:val="0056545E"/>
    <w:rsid w:val="00565681"/>
    <w:rsid w:val="00565A81"/>
    <w:rsid w:val="00565BFC"/>
    <w:rsid w:val="00565D1F"/>
    <w:rsid w:val="005661F2"/>
    <w:rsid w:val="0056668E"/>
    <w:rsid w:val="005671C4"/>
    <w:rsid w:val="005674C1"/>
    <w:rsid w:val="00567CE5"/>
    <w:rsid w:val="00567D15"/>
    <w:rsid w:val="00567DA5"/>
    <w:rsid w:val="00570A2D"/>
    <w:rsid w:val="00570BD7"/>
    <w:rsid w:val="00570C12"/>
    <w:rsid w:val="005711EB"/>
    <w:rsid w:val="00571AC0"/>
    <w:rsid w:val="00572007"/>
    <w:rsid w:val="00572262"/>
    <w:rsid w:val="005723E5"/>
    <w:rsid w:val="00572A8B"/>
    <w:rsid w:val="00573126"/>
    <w:rsid w:val="0057327E"/>
    <w:rsid w:val="0057340E"/>
    <w:rsid w:val="0057350C"/>
    <w:rsid w:val="00573805"/>
    <w:rsid w:val="00573A65"/>
    <w:rsid w:val="00573B22"/>
    <w:rsid w:val="00574354"/>
    <w:rsid w:val="005745EA"/>
    <w:rsid w:val="00574600"/>
    <w:rsid w:val="00574A52"/>
    <w:rsid w:val="00574DB0"/>
    <w:rsid w:val="005750E7"/>
    <w:rsid w:val="00575208"/>
    <w:rsid w:val="0057572B"/>
    <w:rsid w:val="0057593C"/>
    <w:rsid w:val="00576298"/>
    <w:rsid w:val="00576A6E"/>
    <w:rsid w:val="00576CB3"/>
    <w:rsid w:val="00576FD6"/>
    <w:rsid w:val="00577D66"/>
    <w:rsid w:val="00580F02"/>
    <w:rsid w:val="00581355"/>
    <w:rsid w:val="0058192F"/>
    <w:rsid w:val="00581941"/>
    <w:rsid w:val="00581F0F"/>
    <w:rsid w:val="0058266A"/>
    <w:rsid w:val="005828EF"/>
    <w:rsid w:val="0058298A"/>
    <w:rsid w:val="00583133"/>
    <w:rsid w:val="00583203"/>
    <w:rsid w:val="005832F3"/>
    <w:rsid w:val="005834CF"/>
    <w:rsid w:val="005835DD"/>
    <w:rsid w:val="00583726"/>
    <w:rsid w:val="00583821"/>
    <w:rsid w:val="00583CA6"/>
    <w:rsid w:val="00583E22"/>
    <w:rsid w:val="0058400E"/>
    <w:rsid w:val="005844F4"/>
    <w:rsid w:val="005845D0"/>
    <w:rsid w:val="0058522C"/>
    <w:rsid w:val="005854B6"/>
    <w:rsid w:val="00585562"/>
    <w:rsid w:val="005857D8"/>
    <w:rsid w:val="00585CF8"/>
    <w:rsid w:val="00585D54"/>
    <w:rsid w:val="00586462"/>
    <w:rsid w:val="00586795"/>
    <w:rsid w:val="00586DD0"/>
    <w:rsid w:val="005873DF"/>
    <w:rsid w:val="0058753D"/>
    <w:rsid w:val="0058770F"/>
    <w:rsid w:val="0058780B"/>
    <w:rsid w:val="00587936"/>
    <w:rsid w:val="00587A08"/>
    <w:rsid w:val="00587A65"/>
    <w:rsid w:val="00587AE5"/>
    <w:rsid w:val="00587B81"/>
    <w:rsid w:val="00587F4E"/>
    <w:rsid w:val="00587FB7"/>
    <w:rsid w:val="00590457"/>
    <w:rsid w:val="00590512"/>
    <w:rsid w:val="0059088D"/>
    <w:rsid w:val="005917C2"/>
    <w:rsid w:val="005917ED"/>
    <w:rsid w:val="005918A6"/>
    <w:rsid w:val="00591B15"/>
    <w:rsid w:val="00592196"/>
    <w:rsid w:val="00592A9E"/>
    <w:rsid w:val="00593301"/>
    <w:rsid w:val="00593413"/>
    <w:rsid w:val="00593BA7"/>
    <w:rsid w:val="00593DA1"/>
    <w:rsid w:val="00593FB6"/>
    <w:rsid w:val="00594B51"/>
    <w:rsid w:val="00594C09"/>
    <w:rsid w:val="00594F2A"/>
    <w:rsid w:val="0059520B"/>
    <w:rsid w:val="0059544F"/>
    <w:rsid w:val="005956E3"/>
    <w:rsid w:val="00595848"/>
    <w:rsid w:val="0059612A"/>
    <w:rsid w:val="005968EE"/>
    <w:rsid w:val="00597358"/>
    <w:rsid w:val="0059754F"/>
    <w:rsid w:val="005977C2"/>
    <w:rsid w:val="00597835"/>
    <w:rsid w:val="00597BA9"/>
    <w:rsid w:val="00597F43"/>
    <w:rsid w:val="005A035D"/>
    <w:rsid w:val="005A07D6"/>
    <w:rsid w:val="005A16B1"/>
    <w:rsid w:val="005A2121"/>
    <w:rsid w:val="005A247D"/>
    <w:rsid w:val="005A2535"/>
    <w:rsid w:val="005A25B9"/>
    <w:rsid w:val="005A269E"/>
    <w:rsid w:val="005A3607"/>
    <w:rsid w:val="005A3929"/>
    <w:rsid w:val="005A3F15"/>
    <w:rsid w:val="005A453F"/>
    <w:rsid w:val="005A45C2"/>
    <w:rsid w:val="005A4C10"/>
    <w:rsid w:val="005A4C36"/>
    <w:rsid w:val="005A5321"/>
    <w:rsid w:val="005A5448"/>
    <w:rsid w:val="005A56B1"/>
    <w:rsid w:val="005A5855"/>
    <w:rsid w:val="005A5BE5"/>
    <w:rsid w:val="005A612A"/>
    <w:rsid w:val="005A622F"/>
    <w:rsid w:val="005A62A8"/>
    <w:rsid w:val="005A6A2E"/>
    <w:rsid w:val="005A7033"/>
    <w:rsid w:val="005A7048"/>
    <w:rsid w:val="005A706B"/>
    <w:rsid w:val="005A7563"/>
    <w:rsid w:val="005A759E"/>
    <w:rsid w:val="005A782B"/>
    <w:rsid w:val="005A7E55"/>
    <w:rsid w:val="005A7F95"/>
    <w:rsid w:val="005B0185"/>
    <w:rsid w:val="005B056D"/>
    <w:rsid w:val="005B0A6E"/>
    <w:rsid w:val="005B0FF0"/>
    <w:rsid w:val="005B1092"/>
    <w:rsid w:val="005B196A"/>
    <w:rsid w:val="005B1F6B"/>
    <w:rsid w:val="005B24CF"/>
    <w:rsid w:val="005B28AC"/>
    <w:rsid w:val="005B2A59"/>
    <w:rsid w:val="005B3B1F"/>
    <w:rsid w:val="005B3BCC"/>
    <w:rsid w:val="005B3CC4"/>
    <w:rsid w:val="005B3F31"/>
    <w:rsid w:val="005B3F42"/>
    <w:rsid w:val="005B3FE7"/>
    <w:rsid w:val="005B410F"/>
    <w:rsid w:val="005B4A58"/>
    <w:rsid w:val="005B4C10"/>
    <w:rsid w:val="005B546A"/>
    <w:rsid w:val="005B5563"/>
    <w:rsid w:val="005B57E8"/>
    <w:rsid w:val="005B5C62"/>
    <w:rsid w:val="005B605B"/>
    <w:rsid w:val="005B6133"/>
    <w:rsid w:val="005B65C6"/>
    <w:rsid w:val="005B6818"/>
    <w:rsid w:val="005B7243"/>
    <w:rsid w:val="005B7F24"/>
    <w:rsid w:val="005C040A"/>
    <w:rsid w:val="005C0759"/>
    <w:rsid w:val="005C08B5"/>
    <w:rsid w:val="005C0CBE"/>
    <w:rsid w:val="005C101D"/>
    <w:rsid w:val="005C1169"/>
    <w:rsid w:val="005C15F1"/>
    <w:rsid w:val="005C16B1"/>
    <w:rsid w:val="005C2017"/>
    <w:rsid w:val="005C2155"/>
    <w:rsid w:val="005C24A0"/>
    <w:rsid w:val="005C2672"/>
    <w:rsid w:val="005C357E"/>
    <w:rsid w:val="005C3A48"/>
    <w:rsid w:val="005C3B0E"/>
    <w:rsid w:val="005C3EBA"/>
    <w:rsid w:val="005C3FC9"/>
    <w:rsid w:val="005C41EF"/>
    <w:rsid w:val="005C42B1"/>
    <w:rsid w:val="005C42EB"/>
    <w:rsid w:val="005C44AB"/>
    <w:rsid w:val="005C55CC"/>
    <w:rsid w:val="005C5A41"/>
    <w:rsid w:val="005C5E33"/>
    <w:rsid w:val="005C5F14"/>
    <w:rsid w:val="005C678F"/>
    <w:rsid w:val="005C6E70"/>
    <w:rsid w:val="005C7078"/>
    <w:rsid w:val="005C7412"/>
    <w:rsid w:val="005C7A9B"/>
    <w:rsid w:val="005C7BAE"/>
    <w:rsid w:val="005C7BD6"/>
    <w:rsid w:val="005C7EA1"/>
    <w:rsid w:val="005D0080"/>
    <w:rsid w:val="005D0754"/>
    <w:rsid w:val="005D0956"/>
    <w:rsid w:val="005D0AE8"/>
    <w:rsid w:val="005D1080"/>
    <w:rsid w:val="005D12F1"/>
    <w:rsid w:val="005D15B2"/>
    <w:rsid w:val="005D1BF1"/>
    <w:rsid w:val="005D20A0"/>
    <w:rsid w:val="005D26E3"/>
    <w:rsid w:val="005D3252"/>
    <w:rsid w:val="005D3A27"/>
    <w:rsid w:val="005D3D99"/>
    <w:rsid w:val="005D4812"/>
    <w:rsid w:val="005D492D"/>
    <w:rsid w:val="005D4BB3"/>
    <w:rsid w:val="005D4EB2"/>
    <w:rsid w:val="005D5180"/>
    <w:rsid w:val="005D5367"/>
    <w:rsid w:val="005D5584"/>
    <w:rsid w:val="005D5873"/>
    <w:rsid w:val="005D58DA"/>
    <w:rsid w:val="005D69D7"/>
    <w:rsid w:val="005D6B84"/>
    <w:rsid w:val="005D7353"/>
    <w:rsid w:val="005D73B5"/>
    <w:rsid w:val="005D7525"/>
    <w:rsid w:val="005D7E87"/>
    <w:rsid w:val="005D7F71"/>
    <w:rsid w:val="005E0122"/>
    <w:rsid w:val="005E0188"/>
    <w:rsid w:val="005E08F3"/>
    <w:rsid w:val="005E0ABF"/>
    <w:rsid w:val="005E16C6"/>
    <w:rsid w:val="005E179B"/>
    <w:rsid w:val="005E1BEE"/>
    <w:rsid w:val="005E1C24"/>
    <w:rsid w:val="005E2967"/>
    <w:rsid w:val="005E2BE7"/>
    <w:rsid w:val="005E310A"/>
    <w:rsid w:val="005E3197"/>
    <w:rsid w:val="005E32E7"/>
    <w:rsid w:val="005E3467"/>
    <w:rsid w:val="005E3547"/>
    <w:rsid w:val="005E3B87"/>
    <w:rsid w:val="005E44CD"/>
    <w:rsid w:val="005E4F0A"/>
    <w:rsid w:val="005E4F92"/>
    <w:rsid w:val="005E4FE2"/>
    <w:rsid w:val="005E583D"/>
    <w:rsid w:val="005E5CAD"/>
    <w:rsid w:val="005E5DFE"/>
    <w:rsid w:val="005E62DE"/>
    <w:rsid w:val="005E6824"/>
    <w:rsid w:val="005E68A3"/>
    <w:rsid w:val="005E6B66"/>
    <w:rsid w:val="005E6BA0"/>
    <w:rsid w:val="005E6D4F"/>
    <w:rsid w:val="005E6E3D"/>
    <w:rsid w:val="005E6FD3"/>
    <w:rsid w:val="005E7DBE"/>
    <w:rsid w:val="005F02C2"/>
    <w:rsid w:val="005F0444"/>
    <w:rsid w:val="005F04B6"/>
    <w:rsid w:val="005F089F"/>
    <w:rsid w:val="005F0B8B"/>
    <w:rsid w:val="005F0E93"/>
    <w:rsid w:val="005F139B"/>
    <w:rsid w:val="005F1A4F"/>
    <w:rsid w:val="005F1F61"/>
    <w:rsid w:val="005F2ECA"/>
    <w:rsid w:val="005F33E2"/>
    <w:rsid w:val="005F428F"/>
    <w:rsid w:val="005F434C"/>
    <w:rsid w:val="005F4993"/>
    <w:rsid w:val="005F4BA1"/>
    <w:rsid w:val="005F4F90"/>
    <w:rsid w:val="005F5874"/>
    <w:rsid w:val="005F5C55"/>
    <w:rsid w:val="005F5FBE"/>
    <w:rsid w:val="005F626D"/>
    <w:rsid w:val="005F6557"/>
    <w:rsid w:val="005F696E"/>
    <w:rsid w:val="005F6B83"/>
    <w:rsid w:val="005F6E10"/>
    <w:rsid w:val="005F73A0"/>
    <w:rsid w:val="005F7711"/>
    <w:rsid w:val="005F7A32"/>
    <w:rsid w:val="006003C5"/>
    <w:rsid w:val="006007B0"/>
    <w:rsid w:val="00600F73"/>
    <w:rsid w:val="00601011"/>
    <w:rsid w:val="00601C8B"/>
    <w:rsid w:val="00601DEB"/>
    <w:rsid w:val="00602087"/>
    <w:rsid w:val="00602F20"/>
    <w:rsid w:val="00603850"/>
    <w:rsid w:val="006042C2"/>
    <w:rsid w:val="00604556"/>
    <w:rsid w:val="006046C7"/>
    <w:rsid w:val="00604B25"/>
    <w:rsid w:val="006053AD"/>
    <w:rsid w:val="0060562E"/>
    <w:rsid w:val="00605873"/>
    <w:rsid w:val="00605A2B"/>
    <w:rsid w:val="00605BEA"/>
    <w:rsid w:val="006060E5"/>
    <w:rsid w:val="006068FC"/>
    <w:rsid w:val="00606968"/>
    <w:rsid w:val="00606CE3"/>
    <w:rsid w:val="00606EC1"/>
    <w:rsid w:val="0060706B"/>
    <w:rsid w:val="006072E2"/>
    <w:rsid w:val="00607506"/>
    <w:rsid w:val="00607574"/>
    <w:rsid w:val="00607C14"/>
    <w:rsid w:val="00610179"/>
    <w:rsid w:val="006102E1"/>
    <w:rsid w:val="0061032F"/>
    <w:rsid w:val="00610476"/>
    <w:rsid w:val="0061056F"/>
    <w:rsid w:val="006114CC"/>
    <w:rsid w:val="00611510"/>
    <w:rsid w:val="00611845"/>
    <w:rsid w:val="00611B89"/>
    <w:rsid w:val="006121A6"/>
    <w:rsid w:val="0061256A"/>
    <w:rsid w:val="006127E3"/>
    <w:rsid w:val="006129E6"/>
    <w:rsid w:val="006129FD"/>
    <w:rsid w:val="00612EEB"/>
    <w:rsid w:val="00613226"/>
    <w:rsid w:val="0061399B"/>
    <w:rsid w:val="00613B03"/>
    <w:rsid w:val="00613CCC"/>
    <w:rsid w:val="00614046"/>
    <w:rsid w:val="00614101"/>
    <w:rsid w:val="006144C2"/>
    <w:rsid w:val="00614C71"/>
    <w:rsid w:val="006152DA"/>
    <w:rsid w:val="006154D8"/>
    <w:rsid w:val="00615D8E"/>
    <w:rsid w:val="00615F76"/>
    <w:rsid w:val="00616015"/>
    <w:rsid w:val="00616739"/>
    <w:rsid w:val="00616934"/>
    <w:rsid w:val="00616ACE"/>
    <w:rsid w:val="00616DB8"/>
    <w:rsid w:val="0062033F"/>
    <w:rsid w:val="00620C5C"/>
    <w:rsid w:val="006215CA"/>
    <w:rsid w:val="00621C8B"/>
    <w:rsid w:val="0062243F"/>
    <w:rsid w:val="006228B7"/>
    <w:rsid w:val="00622D75"/>
    <w:rsid w:val="00622F01"/>
    <w:rsid w:val="00622FC0"/>
    <w:rsid w:val="00623058"/>
    <w:rsid w:val="006231F5"/>
    <w:rsid w:val="00623685"/>
    <w:rsid w:val="006236DA"/>
    <w:rsid w:val="006238A1"/>
    <w:rsid w:val="00623ED6"/>
    <w:rsid w:val="0062483F"/>
    <w:rsid w:val="00624A20"/>
    <w:rsid w:val="006250E2"/>
    <w:rsid w:val="0062525A"/>
    <w:rsid w:val="0062575D"/>
    <w:rsid w:val="006258E6"/>
    <w:rsid w:val="00625F7B"/>
    <w:rsid w:val="0062649F"/>
    <w:rsid w:val="00626824"/>
    <w:rsid w:val="00626909"/>
    <w:rsid w:val="00626CFE"/>
    <w:rsid w:val="00626EA7"/>
    <w:rsid w:val="00626F5C"/>
    <w:rsid w:val="00627CB3"/>
    <w:rsid w:val="00627DAE"/>
    <w:rsid w:val="006300F9"/>
    <w:rsid w:val="00630394"/>
    <w:rsid w:val="006309A5"/>
    <w:rsid w:val="00630A36"/>
    <w:rsid w:val="00630D0C"/>
    <w:rsid w:val="00630D2A"/>
    <w:rsid w:val="00631CF2"/>
    <w:rsid w:val="00632030"/>
    <w:rsid w:val="0063244C"/>
    <w:rsid w:val="00632D00"/>
    <w:rsid w:val="006332D3"/>
    <w:rsid w:val="0063330F"/>
    <w:rsid w:val="0063359C"/>
    <w:rsid w:val="00633A6A"/>
    <w:rsid w:val="006344B6"/>
    <w:rsid w:val="006345B2"/>
    <w:rsid w:val="0063522F"/>
    <w:rsid w:val="0063523E"/>
    <w:rsid w:val="00635266"/>
    <w:rsid w:val="0063536E"/>
    <w:rsid w:val="00635484"/>
    <w:rsid w:val="006356DE"/>
    <w:rsid w:val="00635D2F"/>
    <w:rsid w:val="00635D33"/>
    <w:rsid w:val="00635E95"/>
    <w:rsid w:val="0063622E"/>
    <w:rsid w:val="00636C8C"/>
    <w:rsid w:val="00636D1A"/>
    <w:rsid w:val="0063702A"/>
    <w:rsid w:val="00637C2C"/>
    <w:rsid w:val="00637C9D"/>
    <w:rsid w:val="00637FB5"/>
    <w:rsid w:val="006401C5"/>
    <w:rsid w:val="00640551"/>
    <w:rsid w:val="006405FC"/>
    <w:rsid w:val="00640BC9"/>
    <w:rsid w:val="00641AB7"/>
    <w:rsid w:val="00641D49"/>
    <w:rsid w:val="0064200E"/>
    <w:rsid w:val="00642185"/>
    <w:rsid w:val="00642354"/>
    <w:rsid w:val="006425AD"/>
    <w:rsid w:val="00643117"/>
    <w:rsid w:val="0064311D"/>
    <w:rsid w:val="0064370C"/>
    <w:rsid w:val="00643DCD"/>
    <w:rsid w:val="00643F89"/>
    <w:rsid w:val="00644017"/>
    <w:rsid w:val="0064411B"/>
    <w:rsid w:val="0064417D"/>
    <w:rsid w:val="006458DA"/>
    <w:rsid w:val="006466B1"/>
    <w:rsid w:val="00646920"/>
    <w:rsid w:val="00646C99"/>
    <w:rsid w:val="00646D19"/>
    <w:rsid w:val="00646FCF"/>
    <w:rsid w:val="00647244"/>
    <w:rsid w:val="00647306"/>
    <w:rsid w:val="006476F2"/>
    <w:rsid w:val="006502AA"/>
    <w:rsid w:val="00650307"/>
    <w:rsid w:val="00650691"/>
    <w:rsid w:val="006507B9"/>
    <w:rsid w:val="006508A2"/>
    <w:rsid w:val="0065095B"/>
    <w:rsid w:val="00650AF2"/>
    <w:rsid w:val="00650D91"/>
    <w:rsid w:val="00650FAE"/>
    <w:rsid w:val="0065170B"/>
    <w:rsid w:val="00651ACF"/>
    <w:rsid w:val="0065213C"/>
    <w:rsid w:val="006526E8"/>
    <w:rsid w:val="006531DA"/>
    <w:rsid w:val="00653681"/>
    <w:rsid w:val="00653E4F"/>
    <w:rsid w:val="006540F3"/>
    <w:rsid w:val="006541E2"/>
    <w:rsid w:val="0065446B"/>
    <w:rsid w:val="006544E4"/>
    <w:rsid w:val="0065452F"/>
    <w:rsid w:val="00654AAF"/>
    <w:rsid w:val="00654FA8"/>
    <w:rsid w:val="00655D6A"/>
    <w:rsid w:val="0065665A"/>
    <w:rsid w:val="006569F0"/>
    <w:rsid w:val="00657525"/>
    <w:rsid w:val="00657665"/>
    <w:rsid w:val="006579CF"/>
    <w:rsid w:val="00657E77"/>
    <w:rsid w:val="00660074"/>
    <w:rsid w:val="0066028D"/>
    <w:rsid w:val="00660809"/>
    <w:rsid w:val="00660925"/>
    <w:rsid w:val="00661412"/>
    <w:rsid w:val="0066143D"/>
    <w:rsid w:val="00661EB3"/>
    <w:rsid w:val="00662275"/>
    <w:rsid w:val="00662B8F"/>
    <w:rsid w:val="00662C0D"/>
    <w:rsid w:val="0066315E"/>
    <w:rsid w:val="0066353E"/>
    <w:rsid w:val="00663682"/>
    <w:rsid w:val="00663885"/>
    <w:rsid w:val="00663B0B"/>
    <w:rsid w:val="00663B6A"/>
    <w:rsid w:val="00663C5F"/>
    <w:rsid w:val="00663D29"/>
    <w:rsid w:val="00663D56"/>
    <w:rsid w:val="0066433F"/>
    <w:rsid w:val="00664470"/>
    <w:rsid w:val="00664793"/>
    <w:rsid w:val="00664A98"/>
    <w:rsid w:val="0066612F"/>
    <w:rsid w:val="00666642"/>
    <w:rsid w:val="006666DE"/>
    <w:rsid w:val="00667083"/>
    <w:rsid w:val="00667109"/>
    <w:rsid w:val="00667361"/>
    <w:rsid w:val="0066752C"/>
    <w:rsid w:val="00667FE8"/>
    <w:rsid w:val="00670226"/>
    <w:rsid w:val="006702A5"/>
    <w:rsid w:val="00670C27"/>
    <w:rsid w:val="00671303"/>
    <w:rsid w:val="00671527"/>
    <w:rsid w:val="006718D1"/>
    <w:rsid w:val="00672359"/>
    <w:rsid w:val="006723B4"/>
    <w:rsid w:val="00672B53"/>
    <w:rsid w:val="00672DD4"/>
    <w:rsid w:val="00672F9D"/>
    <w:rsid w:val="006734F6"/>
    <w:rsid w:val="00673598"/>
    <w:rsid w:val="00673617"/>
    <w:rsid w:val="00673815"/>
    <w:rsid w:val="00674103"/>
    <w:rsid w:val="0067447A"/>
    <w:rsid w:val="006747D6"/>
    <w:rsid w:val="00674B5F"/>
    <w:rsid w:val="00674C3C"/>
    <w:rsid w:val="00674EFE"/>
    <w:rsid w:val="006751A5"/>
    <w:rsid w:val="00676319"/>
    <w:rsid w:val="00676788"/>
    <w:rsid w:val="00676E67"/>
    <w:rsid w:val="00677538"/>
    <w:rsid w:val="00677AA9"/>
    <w:rsid w:val="00677BC3"/>
    <w:rsid w:val="00677CA1"/>
    <w:rsid w:val="00677D7B"/>
    <w:rsid w:val="00677E22"/>
    <w:rsid w:val="0068077B"/>
    <w:rsid w:val="00680D5C"/>
    <w:rsid w:val="00681C54"/>
    <w:rsid w:val="00681C6C"/>
    <w:rsid w:val="00681F5F"/>
    <w:rsid w:val="00681FBB"/>
    <w:rsid w:val="006820CD"/>
    <w:rsid w:val="00682249"/>
    <w:rsid w:val="00682A90"/>
    <w:rsid w:val="00682F4C"/>
    <w:rsid w:val="0068321C"/>
    <w:rsid w:val="00683285"/>
    <w:rsid w:val="00683E1A"/>
    <w:rsid w:val="00683FDA"/>
    <w:rsid w:val="0068471E"/>
    <w:rsid w:val="00684A19"/>
    <w:rsid w:val="00684BBC"/>
    <w:rsid w:val="0068501A"/>
    <w:rsid w:val="006852A5"/>
    <w:rsid w:val="00685A3D"/>
    <w:rsid w:val="00685BC7"/>
    <w:rsid w:val="00686126"/>
    <w:rsid w:val="006862DF"/>
    <w:rsid w:val="006868F9"/>
    <w:rsid w:val="00686E3C"/>
    <w:rsid w:val="00686E88"/>
    <w:rsid w:val="00687B69"/>
    <w:rsid w:val="00687B7F"/>
    <w:rsid w:val="00687F41"/>
    <w:rsid w:val="00687F43"/>
    <w:rsid w:val="00690A31"/>
    <w:rsid w:val="00690F93"/>
    <w:rsid w:val="00691055"/>
    <w:rsid w:val="0069119B"/>
    <w:rsid w:val="006911D1"/>
    <w:rsid w:val="006913D6"/>
    <w:rsid w:val="006920B8"/>
    <w:rsid w:val="006927B5"/>
    <w:rsid w:val="0069299F"/>
    <w:rsid w:val="006929F0"/>
    <w:rsid w:val="00692B54"/>
    <w:rsid w:val="00692E6B"/>
    <w:rsid w:val="006932C5"/>
    <w:rsid w:val="006933B7"/>
    <w:rsid w:val="0069350B"/>
    <w:rsid w:val="00693A4E"/>
    <w:rsid w:val="00693DB7"/>
    <w:rsid w:val="00693DF6"/>
    <w:rsid w:val="006940B4"/>
    <w:rsid w:val="00694535"/>
    <w:rsid w:val="00694611"/>
    <w:rsid w:val="006947A4"/>
    <w:rsid w:val="00694B8E"/>
    <w:rsid w:val="00695064"/>
    <w:rsid w:val="006950B5"/>
    <w:rsid w:val="0069510D"/>
    <w:rsid w:val="006956A8"/>
    <w:rsid w:val="006958CF"/>
    <w:rsid w:val="00695EDA"/>
    <w:rsid w:val="0069646C"/>
    <w:rsid w:val="0069654C"/>
    <w:rsid w:val="00696AA7"/>
    <w:rsid w:val="00696BD3"/>
    <w:rsid w:val="00696F05"/>
    <w:rsid w:val="0069720A"/>
    <w:rsid w:val="006972F6"/>
    <w:rsid w:val="00697E1B"/>
    <w:rsid w:val="00697FAF"/>
    <w:rsid w:val="006A0187"/>
    <w:rsid w:val="006A04EC"/>
    <w:rsid w:val="006A07DA"/>
    <w:rsid w:val="006A104C"/>
    <w:rsid w:val="006A106F"/>
    <w:rsid w:val="006A10FC"/>
    <w:rsid w:val="006A194A"/>
    <w:rsid w:val="006A1F04"/>
    <w:rsid w:val="006A1FB7"/>
    <w:rsid w:val="006A2013"/>
    <w:rsid w:val="006A217D"/>
    <w:rsid w:val="006A22E9"/>
    <w:rsid w:val="006A3C99"/>
    <w:rsid w:val="006A3D80"/>
    <w:rsid w:val="006A4085"/>
    <w:rsid w:val="006A441F"/>
    <w:rsid w:val="006A4832"/>
    <w:rsid w:val="006A4E83"/>
    <w:rsid w:val="006A5500"/>
    <w:rsid w:val="006A5D9C"/>
    <w:rsid w:val="006A6256"/>
    <w:rsid w:val="006A676C"/>
    <w:rsid w:val="006A6858"/>
    <w:rsid w:val="006A690B"/>
    <w:rsid w:val="006A721A"/>
    <w:rsid w:val="006A7746"/>
    <w:rsid w:val="006A7871"/>
    <w:rsid w:val="006A7D30"/>
    <w:rsid w:val="006B004D"/>
    <w:rsid w:val="006B0295"/>
    <w:rsid w:val="006B03BB"/>
    <w:rsid w:val="006B059D"/>
    <w:rsid w:val="006B0958"/>
    <w:rsid w:val="006B11A2"/>
    <w:rsid w:val="006B1240"/>
    <w:rsid w:val="006B1300"/>
    <w:rsid w:val="006B14D4"/>
    <w:rsid w:val="006B17F3"/>
    <w:rsid w:val="006B189B"/>
    <w:rsid w:val="006B1990"/>
    <w:rsid w:val="006B254C"/>
    <w:rsid w:val="006B273E"/>
    <w:rsid w:val="006B2CD8"/>
    <w:rsid w:val="006B326F"/>
    <w:rsid w:val="006B36A0"/>
    <w:rsid w:val="006B3974"/>
    <w:rsid w:val="006B4153"/>
    <w:rsid w:val="006B43CC"/>
    <w:rsid w:val="006B46F7"/>
    <w:rsid w:val="006B4C85"/>
    <w:rsid w:val="006B5528"/>
    <w:rsid w:val="006B5911"/>
    <w:rsid w:val="006B5B7E"/>
    <w:rsid w:val="006B5C7D"/>
    <w:rsid w:val="006B5EFE"/>
    <w:rsid w:val="006B6DF6"/>
    <w:rsid w:val="006B6FD2"/>
    <w:rsid w:val="006C0728"/>
    <w:rsid w:val="006C07A4"/>
    <w:rsid w:val="006C13C1"/>
    <w:rsid w:val="006C17DE"/>
    <w:rsid w:val="006C1D26"/>
    <w:rsid w:val="006C241A"/>
    <w:rsid w:val="006C2BEA"/>
    <w:rsid w:val="006C2CCD"/>
    <w:rsid w:val="006C32E0"/>
    <w:rsid w:val="006C375E"/>
    <w:rsid w:val="006C4194"/>
    <w:rsid w:val="006C4F28"/>
    <w:rsid w:val="006C502C"/>
    <w:rsid w:val="006C53FA"/>
    <w:rsid w:val="006C55D8"/>
    <w:rsid w:val="006C5848"/>
    <w:rsid w:val="006C5999"/>
    <w:rsid w:val="006C60D8"/>
    <w:rsid w:val="006C60E0"/>
    <w:rsid w:val="006C6169"/>
    <w:rsid w:val="006C6198"/>
    <w:rsid w:val="006C6B47"/>
    <w:rsid w:val="006C7264"/>
    <w:rsid w:val="006C7846"/>
    <w:rsid w:val="006D0595"/>
    <w:rsid w:val="006D0799"/>
    <w:rsid w:val="006D0B7B"/>
    <w:rsid w:val="006D0C12"/>
    <w:rsid w:val="006D117B"/>
    <w:rsid w:val="006D11C2"/>
    <w:rsid w:val="006D179D"/>
    <w:rsid w:val="006D1BF0"/>
    <w:rsid w:val="006D25D8"/>
    <w:rsid w:val="006D29CA"/>
    <w:rsid w:val="006D2EEB"/>
    <w:rsid w:val="006D326F"/>
    <w:rsid w:val="006D33E4"/>
    <w:rsid w:val="006D3764"/>
    <w:rsid w:val="006D4804"/>
    <w:rsid w:val="006D49D6"/>
    <w:rsid w:val="006D4BAD"/>
    <w:rsid w:val="006D51B9"/>
    <w:rsid w:val="006D51E1"/>
    <w:rsid w:val="006D5598"/>
    <w:rsid w:val="006D561A"/>
    <w:rsid w:val="006D5CE3"/>
    <w:rsid w:val="006D73C6"/>
    <w:rsid w:val="006E037E"/>
    <w:rsid w:val="006E12FF"/>
    <w:rsid w:val="006E167C"/>
    <w:rsid w:val="006E170F"/>
    <w:rsid w:val="006E2704"/>
    <w:rsid w:val="006E29F0"/>
    <w:rsid w:val="006E2C01"/>
    <w:rsid w:val="006E2DFB"/>
    <w:rsid w:val="006E2E77"/>
    <w:rsid w:val="006E34FF"/>
    <w:rsid w:val="006E3714"/>
    <w:rsid w:val="006E3970"/>
    <w:rsid w:val="006E3C2C"/>
    <w:rsid w:val="006E3E60"/>
    <w:rsid w:val="006E3F1B"/>
    <w:rsid w:val="006E5B7C"/>
    <w:rsid w:val="006E5BF0"/>
    <w:rsid w:val="006E5E20"/>
    <w:rsid w:val="006E6359"/>
    <w:rsid w:val="006E69C7"/>
    <w:rsid w:val="006E7225"/>
    <w:rsid w:val="006E7277"/>
    <w:rsid w:val="006E73E3"/>
    <w:rsid w:val="006E7E40"/>
    <w:rsid w:val="006F003A"/>
    <w:rsid w:val="006F0643"/>
    <w:rsid w:val="006F0728"/>
    <w:rsid w:val="006F0779"/>
    <w:rsid w:val="006F0A81"/>
    <w:rsid w:val="006F2278"/>
    <w:rsid w:val="006F239F"/>
    <w:rsid w:val="006F2457"/>
    <w:rsid w:val="006F25C5"/>
    <w:rsid w:val="006F290D"/>
    <w:rsid w:val="006F2B9A"/>
    <w:rsid w:val="006F44B7"/>
    <w:rsid w:val="006F4CBF"/>
    <w:rsid w:val="006F4D0E"/>
    <w:rsid w:val="006F4E84"/>
    <w:rsid w:val="006F51F4"/>
    <w:rsid w:val="006F573D"/>
    <w:rsid w:val="006F5FA9"/>
    <w:rsid w:val="006F6070"/>
    <w:rsid w:val="006F62B3"/>
    <w:rsid w:val="006F67B4"/>
    <w:rsid w:val="006F70EF"/>
    <w:rsid w:val="006F725E"/>
    <w:rsid w:val="006F7C12"/>
    <w:rsid w:val="007000D8"/>
    <w:rsid w:val="007006A9"/>
    <w:rsid w:val="007009D1"/>
    <w:rsid w:val="007011D0"/>
    <w:rsid w:val="00701412"/>
    <w:rsid w:val="00701716"/>
    <w:rsid w:val="00701CF2"/>
    <w:rsid w:val="007020F1"/>
    <w:rsid w:val="0070258A"/>
    <w:rsid w:val="00702D5B"/>
    <w:rsid w:val="00702D87"/>
    <w:rsid w:val="00703080"/>
    <w:rsid w:val="007030F5"/>
    <w:rsid w:val="00703139"/>
    <w:rsid w:val="00703169"/>
    <w:rsid w:val="007031E2"/>
    <w:rsid w:val="00703B17"/>
    <w:rsid w:val="00703D83"/>
    <w:rsid w:val="00703F0D"/>
    <w:rsid w:val="00704147"/>
    <w:rsid w:val="007042DB"/>
    <w:rsid w:val="0070462D"/>
    <w:rsid w:val="007048CA"/>
    <w:rsid w:val="00704A32"/>
    <w:rsid w:val="00706237"/>
    <w:rsid w:val="007066AB"/>
    <w:rsid w:val="007066D5"/>
    <w:rsid w:val="007067F4"/>
    <w:rsid w:val="007069C6"/>
    <w:rsid w:val="00707771"/>
    <w:rsid w:val="007104AC"/>
    <w:rsid w:val="00710B81"/>
    <w:rsid w:val="00710EF6"/>
    <w:rsid w:val="00711054"/>
    <w:rsid w:val="007114E2"/>
    <w:rsid w:val="0071151F"/>
    <w:rsid w:val="0071154F"/>
    <w:rsid w:val="00711928"/>
    <w:rsid w:val="00711F3D"/>
    <w:rsid w:val="00711F62"/>
    <w:rsid w:val="00711F7D"/>
    <w:rsid w:val="007123CF"/>
    <w:rsid w:val="00712665"/>
    <w:rsid w:val="00712C6E"/>
    <w:rsid w:val="00712E66"/>
    <w:rsid w:val="007133FC"/>
    <w:rsid w:val="0071351D"/>
    <w:rsid w:val="00713BCD"/>
    <w:rsid w:val="00713EEC"/>
    <w:rsid w:val="007141AA"/>
    <w:rsid w:val="00714AAE"/>
    <w:rsid w:val="00714AC6"/>
    <w:rsid w:val="00714CC1"/>
    <w:rsid w:val="00714FFE"/>
    <w:rsid w:val="00715C66"/>
    <w:rsid w:val="00715E3A"/>
    <w:rsid w:val="007163A0"/>
    <w:rsid w:val="00716CA1"/>
    <w:rsid w:val="00717025"/>
    <w:rsid w:val="007174B2"/>
    <w:rsid w:val="0071792D"/>
    <w:rsid w:val="00717A56"/>
    <w:rsid w:val="00717B62"/>
    <w:rsid w:val="00717C35"/>
    <w:rsid w:val="0072005B"/>
    <w:rsid w:val="00720700"/>
    <w:rsid w:val="007208F0"/>
    <w:rsid w:val="007212D5"/>
    <w:rsid w:val="0072194C"/>
    <w:rsid w:val="00721C29"/>
    <w:rsid w:val="00722AFF"/>
    <w:rsid w:val="00722DCD"/>
    <w:rsid w:val="00723428"/>
    <w:rsid w:val="007238A2"/>
    <w:rsid w:val="00723EEB"/>
    <w:rsid w:val="00724039"/>
    <w:rsid w:val="00724269"/>
    <w:rsid w:val="007244A6"/>
    <w:rsid w:val="00724CDA"/>
    <w:rsid w:val="00724F81"/>
    <w:rsid w:val="00724FBA"/>
    <w:rsid w:val="00724FE6"/>
    <w:rsid w:val="007252F4"/>
    <w:rsid w:val="00725AA3"/>
    <w:rsid w:val="00726262"/>
    <w:rsid w:val="00726286"/>
    <w:rsid w:val="00726903"/>
    <w:rsid w:val="00727082"/>
    <w:rsid w:val="00727A49"/>
    <w:rsid w:val="00727A75"/>
    <w:rsid w:val="00727EA6"/>
    <w:rsid w:val="00732485"/>
    <w:rsid w:val="00732835"/>
    <w:rsid w:val="00732A74"/>
    <w:rsid w:val="00732F66"/>
    <w:rsid w:val="00733158"/>
    <w:rsid w:val="00733A14"/>
    <w:rsid w:val="00733C6E"/>
    <w:rsid w:val="00733EDF"/>
    <w:rsid w:val="0073465F"/>
    <w:rsid w:val="00734880"/>
    <w:rsid w:val="00734B90"/>
    <w:rsid w:val="00734F64"/>
    <w:rsid w:val="00735201"/>
    <w:rsid w:val="00735779"/>
    <w:rsid w:val="007357E2"/>
    <w:rsid w:val="00735F63"/>
    <w:rsid w:val="00735F6F"/>
    <w:rsid w:val="0073603B"/>
    <w:rsid w:val="0073609B"/>
    <w:rsid w:val="007360A1"/>
    <w:rsid w:val="007360E5"/>
    <w:rsid w:val="007365EF"/>
    <w:rsid w:val="00736E19"/>
    <w:rsid w:val="00737088"/>
    <w:rsid w:val="00737115"/>
    <w:rsid w:val="0073730A"/>
    <w:rsid w:val="00737A09"/>
    <w:rsid w:val="00737CE7"/>
    <w:rsid w:val="00737F82"/>
    <w:rsid w:val="0074063D"/>
    <w:rsid w:val="007406BF"/>
    <w:rsid w:val="007415D0"/>
    <w:rsid w:val="00741ED8"/>
    <w:rsid w:val="00741FCB"/>
    <w:rsid w:val="007420DB"/>
    <w:rsid w:val="00742F69"/>
    <w:rsid w:val="007434C5"/>
    <w:rsid w:val="00743827"/>
    <w:rsid w:val="0074431A"/>
    <w:rsid w:val="00744DDB"/>
    <w:rsid w:val="00744E2A"/>
    <w:rsid w:val="00744F0D"/>
    <w:rsid w:val="0074528C"/>
    <w:rsid w:val="0074551C"/>
    <w:rsid w:val="00745641"/>
    <w:rsid w:val="0074599D"/>
    <w:rsid w:val="00745ACF"/>
    <w:rsid w:val="00745D0B"/>
    <w:rsid w:val="00745EE2"/>
    <w:rsid w:val="00745F98"/>
    <w:rsid w:val="00746188"/>
    <w:rsid w:val="00746843"/>
    <w:rsid w:val="007469B8"/>
    <w:rsid w:val="00746BA4"/>
    <w:rsid w:val="00746D49"/>
    <w:rsid w:val="00746D84"/>
    <w:rsid w:val="00746ECD"/>
    <w:rsid w:val="0074709A"/>
    <w:rsid w:val="007471BA"/>
    <w:rsid w:val="00747299"/>
    <w:rsid w:val="0074754C"/>
    <w:rsid w:val="00747B6D"/>
    <w:rsid w:val="00747DAD"/>
    <w:rsid w:val="00747F86"/>
    <w:rsid w:val="00750841"/>
    <w:rsid w:val="0075096A"/>
    <w:rsid w:val="00751751"/>
    <w:rsid w:val="00751B5C"/>
    <w:rsid w:val="00752133"/>
    <w:rsid w:val="007522D6"/>
    <w:rsid w:val="0075272C"/>
    <w:rsid w:val="007528ED"/>
    <w:rsid w:val="007529C9"/>
    <w:rsid w:val="00753057"/>
    <w:rsid w:val="007531E9"/>
    <w:rsid w:val="00753E4D"/>
    <w:rsid w:val="0075427A"/>
    <w:rsid w:val="00754866"/>
    <w:rsid w:val="0075498A"/>
    <w:rsid w:val="00754DE9"/>
    <w:rsid w:val="007550A9"/>
    <w:rsid w:val="007554B1"/>
    <w:rsid w:val="00755794"/>
    <w:rsid w:val="0075594A"/>
    <w:rsid w:val="00755F19"/>
    <w:rsid w:val="0075694D"/>
    <w:rsid w:val="00756EFE"/>
    <w:rsid w:val="007570E8"/>
    <w:rsid w:val="007575C1"/>
    <w:rsid w:val="007578BA"/>
    <w:rsid w:val="00757E54"/>
    <w:rsid w:val="00760977"/>
    <w:rsid w:val="00761E05"/>
    <w:rsid w:val="00762175"/>
    <w:rsid w:val="007621B9"/>
    <w:rsid w:val="0076283B"/>
    <w:rsid w:val="007628A0"/>
    <w:rsid w:val="00762AC1"/>
    <w:rsid w:val="00762C31"/>
    <w:rsid w:val="0076305C"/>
    <w:rsid w:val="00763ADD"/>
    <w:rsid w:val="00763C18"/>
    <w:rsid w:val="007640EF"/>
    <w:rsid w:val="00764747"/>
    <w:rsid w:val="00764759"/>
    <w:rsid w:val="00764A6B"/>
    <w:rsid w:val="00764C4D"/>
    <w:rsid w:val="00764CDB"/>
    <w:rsid w:val="00764DB7"/>
    <w:rsid w:val="00764DFA"/>
    <w:rsid w:val="00764FA0"/>
    <w:rsid w:val="007650BF"/>
    <w:rsid w:val="007654C5"/>
    <w:rsid w:val="007655AD"/>
    <w:rsid w:val="0076651C"/>
    <w:rsid w:val="007666FF"/>
    <w:rsid w:val="00766785"/>
    <w:rsid w:val="00766A0D"/>
    <w:rsid w:val="007674FF"/>
    <w:rsid w:val="007676A8"/>
    <w:rsid w:val="00767A9A"/>
    <w:rsid w:val="00770025"/>
    <w:rsid w:val="0077047B"/>
    <w:rsid w:val="00771190"/>
    <w:rsid w:val="0077132E"/>
    <w:rsid w:val="00771417"/>
    <w:rsid w:val="0077152B"/>
    <w:rsid w:val="00771A88"/>
    <w:rsid w:val="00771DE0"/>
    <w:rsid w:val="00772640"/>
    <w:rsid w:val="00772884"/>
    <w:rsid w:val="00772C46"/>
    <w:rsid w:val="00772C80"/>
    <w:rsid w:val="00772D1D"/>
    <w:rsid w:val="00773016"/>
    <w:rsid w:val="00773021"/>
    <w:rsid w:val="00773A31"/>
    <w:rsid w:val="00773AB9"/>
    <w:rsid w:val="00773BEA"/>
    <w:rsid w:val="00773CCC"/>
    <w:rsid w:val="00773DFF"/>
    <w:rsid w:val="00773FF3"/>
    <w:rsid w:val="007744C9"/>
    <w:rsid w:val="0077477C"/>
    <w:rsid w:val="00774903"/>
    <w:rsid w:val="007752FE"/>
    <w:rsid w:val="007757DE"/>
    <w:rsid w:val="007757E8"/>
    <w:rsid w:val="0077596F"/>
    <w:rsid w:val="0077608C"/>
    <w:rsid w:val="0077642B"/>
    <w:rsid w:val="007768CD"/>
    <w:rsid w:val="00776993"/>
    <w:rsid w:val="00776AED"/>
    <w:rsid w:val="00776B09"/>
    <w:rsid w:val="00776BBB"/>
    <w:rsid w:val="00776F55"/>
    <w:rsid w:val="00777129"/>
    <w:rsid w:val="00777E39"/>
    <w:rsid w:val="007804BA"/>
    <w:rsid w:val="00780818"/>
    <w:rsid w:val="0078081E"/>
    <w:rsid w:val="007811D4"/>
    <w:rsid w:val="0078126D"/>
    <w:rsid w:val="00781521"/>
    <w:rsid w:val="00781914"/>
    <w:rsid w:val="007822C4"/>
    <w:rsid w:val="007823B1"/>
    <w:rsid w:val="00782A4C"/>
    <w:rsid w:val="00782CE1"/>
    <w:rsid w:val="00782E53"/>
    <w:rsid w:val="00783555"/>
    <w:rsid w:val="00783761"/>
    <w:rsid w:val="007837C1"/>
    <w:rsid w:val="00784340"/>
    <w:rsid w:val="00784585"/>
    <w:rsid w:val="00785588"/>
    <w:rsid w:val="00785D84"/>
    <w:rsid w:val="00785F7E"/>
    <w:rsid w:val="00786419"/>
    <w:rsid w:val="007866C0"/>
    <w:rsid w:val="007867BD"/>
    <w:rsid w:val="007871B4"/>
    <w:rsid w:val="007876D3"/>
    <w:rsid w:val="0078772B"/>
    <w:rsid w:val="007877E3"/>
    <w:rsid w:val="00787B6F"/>
    <w:rsid w:val="00787BFE"/>
    <w:rsid w:val="00790F14"/>
    <w:rsid w:val="00790F28"/>
    <w:rsid w:val="007911B0"/>
    <w:rsid w:val="00791E1F"/>
    <w:rsid w:val="00792836"/>
    <w:rsid w:val="00792D02"/>
    <w:rsid w:val="00793320"/>
    <w:rsid w:val="0079366C"/>
    <w:rsid w:val="00793BD9"/>
    <w:rsid w:val="00793CAF"/>
    <w:rsid w:val="00793D67"/>
    <w:rsid w:val="00793EFF"/>
    <w:rsid w:val="0079413A"/>
    <w:rsid w:val="0079445F"/>
    <w:rsid w:val="00794489"/>
    <w:rsid w:val="00794897"/>
    <w:rsid w:val="00794D0E"/>
    <w:rsid w:val="007953B8"/>
    <w:rsid w:val="00795DE2"/>
    <w:rsid w:val="00795FC3"/>
    <w:rsid w:val="007961E4"/>
    <w:rsid w:val="007961F3"/>
    <w:rsid w:val="0079622A"/>
    <w:rsid w:val="0079628E"/>
    <w:rsid w:val="00796ACF"/>
    <w:rsid w:val="0079717E"/>
    <w:rsid w:val="00797476"/>
    <w:rsid w:val="007A0069"/>
    <w:rsid w:val="007A147B"/>
    <w:rsid w:val="007A17FC"/>
    <w:rsid w:val="007A18DD"/>
    <w:rsid w:val="007A258F"/>
    <w:rsid w:val="007A2F5B"/>
    <w:rsid w:val="007A3C27"/>
    <w:rsid w:val="007A439D"/>
    <w:rsid w:val="007A4D5C"/>
    <w:rsid w:val="007A578F"/>
    <w:rsid w:val="007A5A2C"/>
    <w:rsid w:val="007A5ACE"/>
    <w:rsid w:val="007A5CDB"/>
    <w:rsid w:val="007A6E9E"/>
    <w:rsid w:val="007A7374"/>
    <w:rsid w:val="007A7EFA"/>
    <w:rsid w:val="007B0215"/>
    <w:rsid w:val="007B052B"/>
    <w:rsid w:val="007B0D57"/>
    <w:rsid w:val="007B101C"/>
    <w:rsid w:val="007B15C2"/>
    <w:rsid w:val="007B16B1"/>
    <w:rsid w:val="007B1BCB"/>
    <w:rsid w:val="007B21E3"/>
    <w:rsid w:val="007B2928"/>
    <w:rsid w:val="007B377A"/>
    <w:rsid w:val="007B3A11"/>
    <w:rsid w:val="007B40DD"/>
    <w:rsid w:val="007B41A9"/>
    <w:rsid w:val="007B453A"/>
    <w:rsid w:val="007B4C56"/>
    <w:rsid w:val="007B5CBE"/>
    <w:rsid w:val="007B62A2"/>
    <w:rsid w:val="007B642E"/>
    <w:rsid w:val="007B6C45"/>
    <w:rsid w:val="007B6F21"/>
    <w:rsid w:val="007B7155"/>
    <w:rsid w:val="007B7280"/>
    <w:rsid w:val="007B7302"/>
    <w:rsid w:val="007B79ED"/>
    <w:rsid w:val="007B7F6A"/>
    <w:rsid w:val="007C0009"/>
    <w:rsid w:val="007C0CFB"/>
    <w:rsid w:val="007C12DB"/>
    <w:rsid w:val="007C151A"/>
    <w:rsid w:val="007C18FE"/>
    <w:rsid w:val="007C1B86"/>
    <w:rsid w:val="007C1CC4"/>
    <w:rsid w:val="007C1D58"/>
    <w:rsid w:val="007C2027"/>
    <w:rsid w:val="007C2324"/>
    <w:rsid w:val="007C2539"/>
    <w:rsid w:val="007C26CF"/>
    <w:rsid w:val="007C2D14"/>
    <w:rsid w:val="007C3005"/>
    <w:rsid w:val="007C3011"/>
    <w:rsid w:val="007C366A"/>
    <w:rsid w:val="007C41A3"/>
    <w:rsid w:val="007C4582"/>
    <w:rsid w:val="007C4681"/>
    <w:rsid w:val="007C475C"/>
    <w:rsid w:val="007C47E8"/>
    <w:rsid w:val="007C487D"/>
    <w:rsid w:val="007C4A77"/>
    <w:rsid w:val="007C4ACA"/>
    <w:rsid w:val="007C5004"/>
    <w:rsid w:val="007C543C"/>
    <w:rsid w:val="007C5B92"/>
    <w:rsid w:val="007C5C19"/>
    <w:rsid w:val="007C6379"/>
    <w:rsid w:val="007C6425"/>
    <w:rsid w:val="007C644D"/>
    <w:rsid w:val="007C6796"/>
    <w:rsid w:val="007C6908"/>
    <w:rsid w:val="007C7187"/>
    <w:rsid w:val="007D031D"/>
    <w:rsid w:val="007D063D"/>
    <w:rsid w:val="007D067D"/>
    <w:rsid w:val="007D0BFD"/>
    <w:rsid w:val="007D0D53"/>
    <w:rsid w:val="007D0E1F"/>
    <w:rsid w:val="007D16FE"/>
    <w:rsid w:val="007D1AAF"/>
    <w:rsid w:val="007D1C2D"/>
    <w:rsid w:val="007D1E6E"/>
    <w:rsid w:val="007D1F89"/>
    <w:rsid w:val="007D1FA9"/>
    <w:rsid w:val="007D2121"/>
    <w:rsid w:val="007D227D"/>
    <w:rsid w:val="007D317A"/>
    <w:rsid w:val="007D34A4"/>
    <w:rsid w:val="007D3736"/>
    <w:rsid w:val="007D3893"/>
    <w:rsid w:val="007D390A"/>
    <w:rsid w:val="007D4102"/>
    <w:rsid w:val="007D41E9"/>
    <w:rsid w:val="007D4BE3"/>
    <w:rsid w:val="007D4DB1"/>
    <w:rsid w:val="007D502C"/>
    <w:rsid w:val="007D5123"/>
    <w:rsid w:val="007D56A9"/>
    <w:rsid w:val="007D5A35"/>
    <w:rsid w:val="007D6371"/>
    <w:rsid w:val="007D6D19"/>
    <w:rsid w:val="007D6FEC"/>
    <w:rsid w:val="007D727E"/>
    <w:rsid w:val="007D728B"/>
    <w:rsid w:val="007D7685"/>
    <w:rsid w:val="007D7A36"/>
    <w:rsid w:val="007D7A56"/>
    <w:rsid w:val="007D7E60"/>
    <w:rsid w:val="007D7EFA"/>
    <w:rsid w:val="007E055C"/>
    <w:rsid w:val="007E065A"/>
    <w:rsid w:val="007E0869"/>
    <w:rsid w:val="007E088A"/>
    <w:rsid w:val="007E0F9C"/>
    <w:rsid w:val="007E1255"/>
    <w:rsid w:val="007E1259"/>
    <w:rsid w:val="007E15DF"/>
    <w:rsid w:val="007E16B1"/>
    <w:rsid w:val="007E1CBB"/>
    <w:rsid w:val="007E2CD5"/>
    <w:rsid w:val="007E2EA8"/>
    <w:rsid w:val="007E3276"/>
    <w:rsid w:val="007E3350"/>
    <w:rsid w:val="007E3BA6"/>
    <w:rsid w:val="007E3EC1"/>
    <w:rsid w:val="007E4141"/>
    <w:rsid w:val="007E4A7C"/>
    <w:rsid w:val="007E4C20"/>
    <w:rsid w:val="007E52D4"/>
    <w:rsid w:val="007E53C5"/>
    <w:rsid w:val="007E5885"/>
    <w:rsid w:val="007E5DFA"/>
    <w:rsid w:val="007E607B"/>
    <w:rsid w:val="007E617B"/>
    <w:rsid w:val="007E6529"/>
    <w:rsid w:val="007E6771"/>
    <w:rsid w:val="007E6C34"/>
    <w:rsid w:val="007E7488"/>
    <w:rsid w:val="007E7723"/>
    <w:rsid w:val="007E77CB"/>
    <w:rsid w:val="007E77E3"/>
    <w:rsid w:val="007F00EF"/>
    <w:rsid w:val="007F0518"/>
    <w:rsid w:val="007F0846"/>
    <w:rsid w:val="007F085E"/>
    <w:rsid w:val="007F1685"/>
    <w:rsid w:val="007F16FD"/>
    <w:rsid w:val="007F1BC6"/>
    <w:rsid w:val="007F2018"/>
    <w:rsid w:val="007F2135"/>
    <w:rsid w:val="007F27EB"/>
    <w:rsid w:val="007F2AFB"/>
    <w:rsid w:val="007F2D3E"/>
    <w:rsid w:val="007F33DB"/>
    <w:rsid w:val="007F3934"/>
    <w:rsid w:val="007F3B09"/>
    <w:rsid w:val="007F3B37"/>
    <w:rsid w:val="007F4061"/>
    <w:rsid w:val="007F43C0"/>
    <w:rsid w:val="007F4565"/>
    <w:rsid w:val="007F4CC8"/>
    <w:rsid w:val="007F560D"/>
    <w:rsid w:val="007F58CE"/>
    <w:rsid w:val="007F6224"/>
    <w:rsid w:val="007F6471"/>
    <w:rsid w:val="007F6499"/>
    <w:rsid w:val="007F686E"/>
    <w:rsid w:val="007F68B6"/>
    <w:rsid w:val="007F6EA1"/>
    <w:rsid w:val="007F70C3"/>
    <w:rsid w:val="007F7726"/>
    <w:rsid w:val="008002B4"/>
    <w:rsid w:val="0080059C"/>
    <w:rsid w:val="00800950"/>
    <w:rsid w:val="00800DAE"/>
    <w:rsid w:val="00801062"/>
    <w:rsid w:val="008015A8"/>
    <w:rsid w:val="00801C97"/>
    <w:rsid w:val="008023E0"/>
    <w:rsid w:val="00802C3F"/>
    <w:rsid w:val="00802C54"/>
    <w:rsid w:val="00803AE0"/>
    <w:rsid w:val="00803BF9"/>
    <w:rsid w:val="008042C0"/>
    <w:rsid w:val="00804A50"/>
    <w:rsid w:val="00804AA7"/>
    <w:rsid w:val="008051A8"/>
    <w:rsid w:val="00805BB0"/>
    <w:rsid w:val="00806B8C"/>
    <w:rsid w:val="00806DC2"/>
    <w:rsid w:val="00806EC7"/>
    <w:rsid w:val="0080708B"/>
    <w:rsid w:val="0080727B"/>
    <w:rsid w:val="0080799E"/>
    <w:rsid w:val="00807A7B"/>
    <w:rsid w:val="00807D20"/>
    <w:rsid w:val="0081004C"/>
    <w:rsid w:val="008100A4"/>
    <w:rsid w:val="008104B3"/>
    <w:rsid w:val="008104CB"/>
    <w:rsid w:val="00810571"/>
    <w:rsid w:val="008106A4"/>
    <w:rsid w:val="00810B26"/>
    <w:rsid w:val="00810D0A"/>
    <w:rsid w:val="00810D8E"/>
    <w:rsid w:val="008112CF"/>
    <w:rsid w:val="00811EB3"/>
    <w:rsid w:val="008125F1"/>
    <w:rsid w:val="008126EB"/>
    <w:rsid w:val="008128E9"/>
    <w:rsid w:val="008129F7"/>
    <w:rsid w:val="00812B47"/>
    <w:rsid w:val="00812C47"/>
    <w:rsid w:val="00814079"/>
    <w:rsid w:val="008140D7"/>
    <w:rsid w:val="00814494"/>
    <w:rsid w:val="0081494D"/>
    <w:rsid w:val="00814BD4"/>
    <w:rsid w:val="00814F72"/>
    <w:rsid w:val="0081518A"/>
    <w:rsid w:val="008153A2"/>
    <w:rsid w:val="00815669"/>
    <w:rsid w:val="00815C4F"/>
    <w:rsid w:val="008160FA"/>
    <w:rsid w:val="00817D4C"/>
    <w:rsid w:val="008201D0"/>
    <w:rsid w:val="008207FF"/>
    <w:rsid w:val="00820F89"/>
    <w:rsid w:val="0082122A"/>
    <w:rsid w:val="00821491"/>
    <w:rsid w:val="00821AAF"/>
    <w:rsid w:val="00821AD5"/>
    <w:rsid w:val="00821E08"/>
    <w:rsid w:val="0082236B"/>
    <w:rsid w:val="00822490"/>
    <w:rsid w:val="008229CB"/>
    <w:rsid w:val="008229EC"/>
    <w:rsid w:val="00823294"/>
    <w:rsid w:val="00823A7D"/>
    <w:rsid w:val="00823AD0"/>
    <w:rsid w:val="008241C9"/>
    <w:rsid w:val="0082497C"/>
    <w:rsid w:val="00824E40"/>
    <w:rsid w:val="0082527E"/>
    <w:rsid w:val="00826293"/>
    <w:rsid w:val="008269A4"/>
    <w:rsid w:val="00826A49"/>
    <w:rsid w:val="008270E5"/>
    <w:rsid w:val="0082729A"/>
    <w:rsid w:val="00827300"/>
    <w:rsid w:val="008276DD"/>
    <w:rsid w:val="00827D19"/>
    <w:rsid w:val="00827DC9"/>
    <w:rsid w:val="00827E03"/>
    <w:rsid w:val="00830B6E"/>
    <w:rsid w:val="00830E2E"/>
    <w:rsid w:val="00831362"/>
    <w:rsid w:val="0083136D"/>
    <w:rsid w:val="00831682"/>
    <w:rsid w:val="0083235A"/>
    <w:rsid w:val="0083284E"/>
    <w:rsid w:val="008329EA"/>
    <w:rsid w:val="00833245"/>
    <w:rsid w:val="0083333E"/>
    <w:rsid w:val="00833A7F"/>
    <w:rsid w:val="00833C82"/>
    <w:rsid w:val="00834FDE"/>
    <w:rsid w:val="008353E6"/>
    <w:rsid w:val="008356C7"/>
    <w:rsid w:val="00835825"/>
    <w:rsid w:val="00835FCC"/>
    <w:rsid w:val="008369C4"/>
    <w:rsid w:val="00836B50"/>
    <w:rsid w:val="00836C8A"/>
    <w:rsid w:val="00837204"/>
    <w:rsid w:val="00837302"/>
    <w:rsid w:val="008376C7"/>
    <w:rsid w:val="00837731"/>
    <w:rsid w:val="008377AD"/>
    <w:rsid w:val="0083784F"/>
    <w:rsid w:val="00837952"/>
    <w:rsid w:val="00840128"/>
    <w:rsid w:val="00840130"/>
    <w:rsid w:val="00840BC7"/>
    <w:rsid w:val="0084109D"/>
    <w:rsid w:val="008418FC"/>
    <w:rsid w:val="00841AD3"/>
    <w:rsid w:val="00841B96"/>
    <w:rsid w:val="00841C3A"/>
    <w:rsid w:val="00841E98"/>
    <w:rsid w:val="00842148"/>
    <w:rsid w:val="0084225B"/>
    <w:rsid w:val="008424C2"/>
    <w:rsid w:val="00842599"/>
    <w:rsid w:val="00842693"/>
    <w:rsid w:val="00842B00"/>
    <w:rsid w:val="00842CD1"/>
    <w:rsid w:val="0084307B"/>
    <w:rsid w:val="00843189"/>
    <w:rsid w:val="00843202"/>
    <w:rsid w:val="0084364B"/>
    <w:rsid w:val="00843956"/>
    <w:rsid w:val="00843ACC"/>
    <w:rsid w:val="00843C5A"/>
    <w:rsid w:val="00844244"/>
    <w:rsid w:val="008443E8"/>
    <w:rsid w:val="00844546"/>
    <w:rsid w:val="008447F4"/>
    <w:rsid w:val="00844858"/>
    <w:rsid w:val="0084492D"/>
    <w:rsid w:val="00845011"/>
    <w:rsid w:val="008453D9"/>
    <w:rsid w:val="0084567F"/>
    <w:rsid w:val="0084601B"/>
    <w:rsid w:val="00846393"/>
    <w:rsid w:val="008468C9"/>
    <w:rsid w:val="00846936"/>
    <w:rsid w:val="00846E9D"/>
    <w:rsid w:val="00846FDD"/>
    <w:rsid w:val="00847440"/>
    <w:rsid w:val="008474E3"/>
    <w:rsid w:val="00847558"/>
    <w:rsid w:val="0084757F"/>
    <w:rsid w:val="008477B1"/>
    <w:rsid w:val="00847AB4"/>
    <w:rsid w:val="008509D2"/>
    <w:rsid w:val="00850C4F"/>
    <w:rsid w:val="008514EC"/>
    <w:rsid w:val="00851535"/>
    <w:rsid w:val="00851712"/>
    <w:rsid w:val="00851865"/>
    <w:rsid w:val="00851A6A"/>
    <w:rsid w:val="00851C76"/>
    <w:rsid w:val="00851E27"/>
    <w:rsid w:val="008521EA"/>
    <w:rsid w:val="008525B1"/>
    <w:rsid w:val="00852756"/>
    <w:rsid w:val="008528C2"/>
    <w:rsid w:val="00852E9E"/>
    <w:rsid w:val="008530C9"/>
    <w:rsid w:val="008534E6"/>
    <w:rsid w:val="00853839"/>
    <w:rsid w:val="008538E0"/>
    <w:rsid w:val="008542CA"/>
    <w:rsid w:val="00854552"/>
    <w:rsid w:val="00854B58"/>
    <w:rsid w:val="00855481"/>
    <w:rsid w:val="00856126"/>
    <w:rsid w:val="008565A7"/>
    <w:rsid w:val="00856755"/>
    <w:rsid w:val="00856E5B"/>
    <w:rsid w:val="008575B9"/>
    <w:rsid w:val="008575D9"/>
    <w:rsid w:val="0085775B"/>
    <w:rsid w:val="00857A6A"/>
    <w:rsid w:val="00857C15"/>
    <w:rsid w:val="00857E4A"/>
    <w:rsid w:val="00860021"/>
    <w:rsid w:val="00860488"/>
    <w:rsid w:val="008604B3"/>
    <w:rsid w:val="008606CA"/>
    <w:rsid w:val="00860A62"/>
    <w:rsid w:val="00860A76"/>
    <w:rsid w:val="00860CD0"/>
    <w:rsid w:val="00860E3D"/>
    <w:rsid w:val="00860E9D"/>
    <w:rsid w:val="0086170F"/>
    <w:rsid w:val="00861EF3"/>
    <w:rsid w:val="00862092"/>
    <w:rsid w:val="0086236A"/>
    <w:rsid w:val="00862D77"/>
    <w:rsid w:val="008631AD"/>
    <w:rsid w:val="0086346A"/>
    <w:rsid w:val="00863774"/>
    <w:rsid w:val="00863787"/>
    <w:rsid w:val="008637B8"/>
    <w:rsid w:val="00863D49"/>
    <w:rsid w:val="00863F9A"/>
    <w:rsid w:val="00864169"/>
    <w:rsid w:val="00864B74"/>
    <w:rsid w:val="00865156"/>
    <w:rsid w:val="0086539F"/>
    <w:rsid w:val="008654E5"/>
    <w:rsid w:val="008657FB"/>
    <w:rsid w:val="00865D2F"/>
    <w:rsid w:val="00866236"/>
    <w:rsid w:val="00866782"/>
    <w:rsid w:val="00866895"/>
    <w:rsid w:val="00866D40"/>
    <w:rsid w:val="008670EC"/>
    <w:rsid w:val="00867844"/>
    <w:rsid w:val="008703D0"/>
    <w:rsid w:val="008704C3"/>
    <w:rsid w:val="008708ED"/>
    <w:rsid w:val="00870A0E"/>
    <w:rsid w:val="0087185D"/>
    <w:rsid w:val="00871C97"/>
    <w:rsid w:val="00871FE8"/>
    <w:rsid w:val="00872C2E"/>
    <w:rsid w:val="00872CED"/>
    <w:rsid w:val="00872D8F"/>
    <w:rsid w:val="00872EE3"/>
    <w:rsid w:val="008735BD"/>
    <w:rsid w:val="00873DE3"/>
    <w:rsid w:val="008740A6"/>
    <w:rsid w:val="008741A3"/>
    <w:rsid w:val="008742BF"/>
    <w:rsid w:val="008744CF"/>
    <w:rsid w:val="008745D8"/>
    <w:rsid w:val="00875CE2"/>
    <w:rsid w:val="008770B8"/>
    <w:rsid w:val="008771B9"/>
    <w:rsid w:val="00877400"/>
    <w:rsid w:val="00877884"/>
    <w:rsid w:val="00877AB8"/>
    <w:rsid w:val="00877DF7"/>
    <w:rsid w:val="00880284"/>
    <w:rsid w:val="0088052E"/>
    <w:rsid w:val="0088053C"/>
    <w:rsid w:val="008808A4"/>
    <w:rsid w:val="008808E5"/>
    <w:rsid w:val="00880AB7"/>
    <w:rsid w:val="00880B79"/>
    <w:rsid w:val="00881313"/>
    <w:rsid w:val="0088138E"/>
    <w:rsid w:val="008814D2"/>
    <w:rsid w:val="00881DAC"/>
    <w:rsid w:val="00881DD1"/>
    <w:rsid w:val="008822C5"/>
    <w:rsid w:val="0088241E"/>
    <w:rsid w:val="0088254B"/>
    <w:rsid w:val="0088279F"/>
    <w:rsid w:val="008840F9"/>
    <w:rsid w:val="008845C5"/>
    <w:rsid w:val="0088474C"/>
    <w:rsid w:val="00884A55"/>
    <w:rsid w:val="00884AE2"/>
    <w:rsid w:val="00884D3D"/>
    <w:rsid w:val="00885564"/>
    <w:rsid w:val="00885580"/>
    <w:rsid w:val="008858B8"/>
    <w:rsid w:val="0088618A"/>
    <w:rsid w:val="00886276"/>
    <w:rsid w:val="00886481"/>
    <w:rsid w:val="008865DC"/>
    <w:rsid w:val="00886AA3"/>
    <w:rsid w:val="008870BF"/>
    <w:rsid w:val="008871DC"/>
    <w:rsid w:val="00887306"/>
    <w:rsid w:val="008873FB"/>
    <w:rsid w:val="00887636"/>
    <w:rsid w:val="00887C09"/>
    <w:rsid w:val="00887E44"/>
    <w:rsid w:val="00887F0D"/>
    <w:rsid w:val="00887F39"/>
    <w:rsid w:val="00887F4B"/>
    <w:rsid w:val="00890D33"/>
    <w:rsid w:val="008911D3"/>
    <w:rsid w:val="00891372"/>
    <w:rsid w:val="0089154E"/>
    <w:rsid w:val="0089180B"/>
    <w:rsid w:val="0089190A"/>
    <w:rsid w:val="0089227A"/>
    <w:rsid w:val="00892F59"/>
    <w:rsid w:val="008935C5"/>
    <w:rsid w:val="00893BF7"/>
    <w:rsid w:val="008945DB"/>
    <w:rsid w:val="00894802"/>
    <w:rsid w:val="00894EBB"/>
    <w:rsid w:val="00895509"/>
    <w:rsid w:val="00895C90"/>
    <w:rsid w:val="00895DEF"/>
    <w:rsid w:val="0089630D"/>
    <w:rsid w:val="00897010"/>
    <w:rsid w:val="00897235"/>
    <w:rsid w:val="00897445"/>
    <w:rsid w:val="00897A56"/>
    <w:rsid w:val="00897BDC"/>
    <w:rsid w:val="00897E4C"/>
    <w:rsid w:val="008A00E6"/>
    <w:rsid w:val="008A01F7"/>
    <w:rsid w:val="008A0A64"/>
    <w:rsid w:val="008A1DBA"/>
    <w:rsid w:val="008A1E50"/>
    <w:rsid w:val="008A2013"/>
    <w:rsid w:val="008A2EB3"/>
    <w:rsid w:val="008A34CF"/>
    <w:rsid w:val="008A38B3"/>
    <w:rsid w:val="008A5054"/>
    <w:rsid w:val="008A5C6D"/>
    <w:rsid w:val="008A6206"/>
    <w:rsid w:val="008A6529"/>
    <w:rsid w:val="008A6A7B"/>
    <w:rsid w:val="008A6B20"/>
    <w:rsid w:val="008A6C57"/>
    <w:rsid w:val="008A707C"/>
    <w:rsid w:val="008A7194"/>
    <w:rsid w:val="008A7936"/>
    <w:rsid w:val="008A7C17"/>
    <w:rsid w:val="008A7DC5"/>
    <w:rsid w:val="008B04DB"/>
    <w:rsid w:val="008B0727"/>
    <w:rsid w:val="008B0751"/>
    <w:rsid w:val="008B1A9D"/>
    <w:rsid w:val="008B1DAF"/>
    <w:rsid w:val="008B2A76"/>
    <w:rsid w:val="008B2B97"/>
    <w:rsid w:val="008B2C4A"/>
    <w:rsid w:val="008B2CE0"/>
    <w:rsid w:val="008B2F0C"/>
    <w:rsid w:val="008B2F7E"/>
    <w:rsid w:val="008B3032"/>
    <w:rsid w:val="008B32AC"/>
    <w:rsid w:val="008B3797"/>
    <w:rsid w:val="008B383F"/>
    <w:rsid w:val="008B384F"/>
    <w:rsid w:val="008B3E50"/>
    <w:rsid w:val="008B4383"/>
    <w:rsid w:val="008B493D"/>
    <w:rsid w:val="008B4D4D"/>
    <w:rsid w:val="008B503E"/>
    <w:rsid w:val="008B5239"/>
    <w:rsid w:val="008B5498"/>
    <w:rsid w:val="008B5585"/>
    <w:rsid w:val="008B5EFB"/>
    <w:rsid w:val="008B6C0D"/>
    <w:rsid w:val="008B7181"/>
    <w:rsid w:val="008B7C6F"/>
    <w:rsid w:val="008B7E85"/>
    <w:rsid w:val="008C039E"/>
    <w:rsid w:val="008C04E0"/>
    <w:rsid w:val="008C0D4B"/>
    <w:rsid w:val="008C1E28"/>
    <w:rsid w:val="008C2836"/>
    <w:rsid w:val="008C2DC2"/>
    <w:rsid w:val="008C2E15"/>
    <w:rsid w:val="008C2E82"/>
    <w:rsid w:val="008C34E7"/>
    <w:rsid w:val="008C372F"/>
    <w:rsid w:val="008C38F1"/>
    <w:rsid w:val="008C3E31"/>
    <w:rsid w:val="008C455F"/>
    <w:rsid w:val="008C486C"/>
    <w:rsid w:val="008C4E90"/>
    <w:rsid w:val="008C4E92"/>
    <w:rsid w:val="008C56D9"/>
    <w:rsid w:val="008C5B07"/>
    <w:rsid w:val="008C5E23"/>
    <w:rsid w:val="008C6883"/>
    <w:rsid w:val="008C6936"/>
    <w:rsid w:val="008C6E77"/>
    <w:rsid w:val="008C6EA0"/>
    <w:rsid w:val="008C74B4"/>
    <w:rsid w:val="008D0BEB"/>
    <w:rsid w:val="008D1834"/>
    <w:rsid w:val="008D1938"/>
    <w:rsid w:val="008D20EC"/>
    <w:rsid w:val="008D232D"/>
    <w:rsid w:val="008D256E"/>
    <w:rsid w:val="008D25B8"/>
    <w:rsid w:val="008D2934"/>
    <w:rsid w:val="008D297D"/>
    <w:rsid w:val="008D2AE2"/>
    <w:rsid w:val="008D2CC4"/>
    <w:rsid w:val="008D2D4F"/>
    <w:rsid w:val="008D33BA"/>
    <w:rsid w:val="008D38C2"/>
    <w:rsid w:val="008D3B35"/>
    <w:rsid w:val="008D4B62"/>
    <w:rsid w:val="008D53A5"/>
    <w:rsid w:val="008D5544"/>
    <w:rsid w:val="008D55BE"/>
    <w:rsid w:val="008D67B5"/>
    <w:rsid w:val="008D6878"/>
    <w:rsid w:val="008D6D99"/>
    <w:rsid w:val="008D7253"/>
    <w:rsid w:val="008D73F8"/>
    <w:rsid w:val="008D7618"/>
    <w:rsid w:val="008D7BDB"/>
    <w:rsid w:val="008D7EE1"/>
    <w:rsid w:val="008E04A5"/>
    <w:rsid w:val="008E0C46"/>
    <w:rsid w:val="008E0EA0"/>
    <w:rsid w:val="008E1262"/>
    <w:rsid w:val="008E1786"/>
    <w:rsid w:val="008E18D2"/>
    <w:rsid w:val="008E1946"/>
    <w:rsid w:val="008E2699"/>
    <w:rsid w:val="008E2B96"/>
    <w:rsid w:val="008E2D52"/>
    <w:rsid w:val="008E2DE0"/>
    <w:rsid w:val="008E3F31"/>
    <w:rsid w:val="008E412C"/>
    <w:rsid w:val="008E4939"/>
    <w:rsid w:val="008E4DC9"/>
    <w:rsid w:val="008E5712"/>
    <w:rsid w:val="008E589C"/>
    <w:rsid w:val="008E59F0"/>
    <w:rsid w:val="008E6423"/>
    <w:rsid w:val="008E6629"/>
    <w:rsid w:val="008E668E"/>
    <w:rsid w:val="008E6A3E"/>
    <w:rsid w:val="008E6B1D"/>
    <w:rsid w:val="008E6CAA"/>
    <w:rsid w:val="008E70CE"/>
    <w:rsid w:val="008E71D0"/>
    <w:rsid w:val="008E7873"/>
    <w:rsid w:val="008E7FBA"/>
    <w:rsid w:val="008F000D"/>
    <w:rsid w:val="008F0134"/>
    <w:rsid w:val="008F02E2"/>
    <w:rsid w:val="008F0C5F"/>
    <w:rsid w:val="008F0CDC"/>
    <w:rsid w:val="008F1582"/>
    <w:rsid w:val="008F1688"/>
    <w:rsid w:val="008F186F"/>
    <w:rsid w:val="008F1AB6"/>
    <w:rsid w:val="008F28A4"/>
    <w:rsid w:val="008F2E1F"/>
    <w:rsid w:val="008F3290"/>
    <w:rsid w:val="008F3864"/>
    <w:rsid w:val="008F3A2E"/>
    <w:rsid w:val="008F3DAE"/>
    <w:rsid w:val="008F3E77"/>
    <w:rsid w:val="008F450F"/>
    <w:rsid w:val="008F4628"/>
    <w:rsid w:val="008F49F9"/>
    <w:rsid w:val="008F4CF2"/>
    <w:rsid w:val="008F500C"/>
    <w:rsid w:val="008F54C9"/>
    <w:rsid w:val="008F55AF"/>
    <w:rsid w:val="008F575D"/>
    <w:rsid w:val="008F5B95"/>
    <w:rsid w:val="008F63C0"/>
    <w:rsid w:val="008F6C63"/>
    <w:rsid w:val="008F6E05"/>
    <w:rsid w:val="008F703B"/>
    <w:rsid w:val="008F75B7"/>
    <w:rsid w:val="008F7799"/>
    <w:rsid w:val="008F7941"/>
    <w:rsid w:val="008F7CDD"/>
    <w:rsid w:val="009002DF"/>
    <w:rsid w:val="00900394"/>
    <w:rsid w:val="009004A1"/>
    <w:rsid w:val="009004AA"/>
    <w:rsid w:val="009004F0"/>
    <w:rsid w:val="0090122A"/>
    <w:rsid w:val="00901E80"/>
    <w:rsid w:val="00901FB4"/>
    <w:rsid w:val="00902722"/>
    <w:rsid w:val="00902935"/>
    <w:rsid w:val="009029B1"/>
    <w:rsid w:val="00902C4A"/>
    <w:rsid w:val="00902CC9"/>
    <w:rsid w:val="00902EDE"/>
    <w:rsid w:val="009031DC"/>
    <w:rsid w:val="0090358D"/>
    <w:rsid w:val="009038F4"/>
    <w:rsid w:val="00903D7B"/>
    <w:rsid w:val="00903DFA"/>
    <w:rsid w:val="0090419A"/>
    <w:rsid w:val="0090432C"/>
    <w:rsid w:val="009045DA"/>
    <w:rsid w:val="00904627"/>
    <w:rsid w:val="00904636"/>
    <w:rsid w:val="009056FB"/>
    <w:rsid w:val="009060C4"/>
    <w:rsid w:val="009060F7"/>
    <w:rsid w:val="00906478"/>
    <w:rsid w:val="00906833"/>
    <w:rsid w:val="00907410"/>
    <w:rsid w:val="009077C8"/>
    <w:rsid w:val="00907899"/>
    <w:rsid w:val="00907B75"/>
    <w:rsid w:val="00907C8A"/>
    <w:rsid w:val="00907DD1"/>
    <w:rsid w:val="009107F1"/>
    <w:rsid w:val="00910C08"/>
    <w:rsid w:val="00910FD2"/>
    <w:rsid w:val="00911021"/>
    <w:rsid w:val="009110C6"/>
    <w:rsid w:val="00911185"/>
    <w:rsid w:val="0091143B"/>
    <w:rsid w:val="00911E7D"/>
    <w:rsid w:val="009124BB"/>
    <w:rsid w:val="00912E3F"/>
    <w:rsid w:val="009131CF"/>
    <w:rsid w:val="009131EC"/>
    <w:rsid w:val="009133FA"/>
    <w:rsid w:val="00913612"/>
    <w:rsid w:val="00913DC2"/>
    <w:rsid w:val="00914435"/>
    <w:rsid w:val="0091459F"/>
    <w:rsid w:val="00914EB8"/>
    <w:rsid w:val="00915280"/>
    <w:rsid w:val="0091531D"/>
    <w:rsid w:val="0091563A"/>
    <w:rsid w:val="009159B2"/>
    <w:rsid w:val="00915B71"/>
    <w:rsid w:val="0091685A"/>
    <w:rsid w:val="00916A0C"/>
    <w:rsid w:val="00916E30"/>
    <w:rsid w:val="0091702B"/>
    <w:rsid w:val="009172DF"/>
    <w:rsid w:val="009178F0"/>
    <w:rsid w:val="00917CC8"/>
    <w:rsid w:val="00917CF5"/>
    <w:rsid w:val="009201F7"/>
    <w:rsid w:val="00920221"/>
    <w:rsid w:val="00920906"/>
    <w:rsid w:val="00920B36"/>
    <w:rsid w:val="00920CF1"/>
    <w:rsid w:val="00920E3F"/>
    <w:rsid w:val="0092131C"/>
    <w:rsid w:val="009215D8"/>
    <w:rsid w:val="00922679"/>
    <w:rsid w:val="009234FB"/>
    <w:rsid w:val="009237E7"/>
    <w:rsid w:val="00923C06"/>
    <w:rsid w:val="00923CBE"/>
    <w:rsid w:val="00923D26"/>
    <w:rsid w:val="00923D60"/>
    <w:rsid w:val="00923EBD"/>
    <w:rsid w:val="009242F4"/>
    <w:rsid w:val="009243F8"/>
    <w:rsid w:val="00924779"/>
    <w:rsid w:val="00924934"/>
    <w:rsid w:val="009249E4"/>
    <w:rsid w:val="00924A7F"/>
    <w:rsid w:val="00924B81"/>
    <w:rsid w:val="00924E61"/>
    <w:rsid w:val="00924F0B"/>
    <w:rsid w:val="009252B8"/>
    <w:rsid w:val="00925A5D"/>
    <w:rsid w:val="00925E78"/>
    <w:rsid w:val="0092644B"/>
    <w:rsid w:val="00926E33"/>
    <w:rsid w:val="00926FFC"/>
    <w:rsid w:val="0092727F"/>
    <w:rsid w:val="0093081A"/>
    <w:rsid w:val="00930A79"/>
    <w:rsid w:val="00930B21"/>
    <w:rsid w:val="00931490"/>
    <w:rsid w:val="00931B0F"/>
    <w:rsid w:val="00931E28"/>
    <w:rsid w:val="00932288"/>
    <w:rsid w:val="00932542"/>
    <w:rsid w:val="00932933"/>
    <w:rsid w:val="00932C12"/>
    <w:rsid w:val="00932DC2"/>
    <w:rsid w:val="00932F55"/>
    <w:rsid w:val="00933047"/>
    <w:rsid w:val="00933055"/>
    <w:rsid w:val="00934001"/>
    <w:rsid w:val="009340E1"/>
    <w:rsid w:val="0093498A"/>
    <w:rsid w:val="00934B50"/>
    <w:rsid w:val="00934E33"/>
    <w:rsid w:val="00935080"/>
    <w:rsid w:val="00935586"/>
    <w:rsid w:val="00935A7B"/>
    <w:rsid w:val="00935C8A"/>
    <w:rsid w:val="00935DFE"/>
    <w:rsid w:val="0093644D"/>
    <w:rsid w:val="00937411"/>
    <w:rsid w:val="009378FD"/>
    <w:rsid w:val="00937BBD"/>
    <w:rsid w:val="00937CD9"/>
    <w:rsid w:val="00937D7A"/>
    <w:rsid w:val="009402C4"/>
    <w:rsid w:val="00940454"/>
    <w:rsid w:val="00940AAE"/>
    <w:rsid w:val="00940D7A"/>
    <w:rsid w:val="0094183C"/>
    <w:rsid w:val="00941910"/>
    <w:rsid w:val="00941A32"/>
    <w:rsid w:val="00941A5C"/>
    <w:rsid w:val="00941F10"/>
    <w:rsid w:val="00942054"/>
    <w:rsid w:val="0094234A"/>
    <w:rsid w:val="00942816"/>
    <w:rsid w:val="00942BA1"/>
    <w:rsid w:val="00942BDE"/>
    <w:rsid w:val="00942CFD"/>
    <w:rsid w:val="00942E23"/>
    <w:rsid w:val="00942FD3"/>
    <w:rsid w:val="0094329A"/>
    <w:rsid w:val="00943A1F"/>
    <w:rsid w:val="00943CF1"/>
    <w:rsid w:val="00943EEB"/>
    <w:rsid w:val="0094439F"/>
    <w:rsid w:val="00944783"/>
    <w:rsid w:val="009447B6"/>
    <w:rsid w:val="00945193"/>
    <w:rsid w:val="0094527A"/>
    <w:rsid w:val="00945402"/>
    <w:rsid w:val="00945508"/>
    <w:rsid w:val="0094587D"/>
    <w:rsid w:val="00945AE9"/>
    <w:rsid w:val="00945F0F"/>
    <w:rsid w:val="00946BE9"/>
    <w:rsid w:val="00946DE0"/>
    <w:rsid w:val="00946EAD"/>
    <w:rsid w:val="00946FE8"/>
    <w:rsid w:val="0094722F"/>
    <w:rsid w:val="009472C4"/>
    <w:rsid w:val="009474C4"/>
    <w:rsid w:val="0094765C"/>
    <w:rsid w:val="009479BF"/>
    <w:rsid w:val="00950C2D"/>
    <w:rsid w:val="00950F4E"/>
    <w:rsid w:val="00951A2C"/>
    <w:rsid w:val="009520B1"/>
    <w:rsid w:val="00952390"/>
    <w:rsid w:val="009527CA"/>
    <w:rsid w:val="00953243"/>
    <w:rsid w:val="009539B9"/>
    <w:rsid w:val="00953D3B"/>
    <w:rsid w:val="00953E14"/>
    <w:rsid w:val="0095446F"/>
    <w:rsid w:val="00954873"/>
    <w:rsid w:val="009549C9"/>
    <w:rsid w:val="009549DA"/>
    <w:rsid w:val="00954C07"/>
    <w:rsid w:val="00954C92"/>
    <w:rsid w:val="00954C98"/>
    <w:rsid w:val="00954DCD"/>
    <w:rsid w:val="00954FDE"/>
    <w:rsid w:val="009552E6"/>
    <w:rsid w:val="00955531"/>
    <w:rsid w:val="009558B9"/>
    <w:rsid w:val="00956160"/>
    <w:rsid w:val="00956246"/>
    <w:rsid w:val="0095683C"/>
    <w:rsid w:val="00957555"/>
    <w:rsid w:val="009575C3"/>
    <w:rsid w:val="00957856"/>
    <w:rsid w:val="00957AFF"/>
    <w:rsid w:val="00960193"/>
    <w:rsid w:val="009602A6"/>
    <w:rsid w:val="00960EFF"/>
    <w:rsid w:val="009613B5"/>
    <w:rsid w:val="009613ED"/>
    <w:rsid w:val="009619C5"/>
    <w:rsid w:val="00961C1F"/>
    <w:rsid w:val="00961E4E"/>
    <w:rsid w:val="009623DE"/>
    <w:rsid w:val="009624B3"/>
    <w:rsid w:val="00962715"/>
    <w:rsid w:val="00962B11"/>
    <w:rsid w:val="00962B4C"/>
    <w:rsid w:val="00962DDA"/>
    <w:rsid w:val="009638FD"/>
    <w:rsid w:val="00963B07"/>
    <w:rsid w:val="00963ED3"/>
    <w:rsid w:val="00964486"/>
    <w:rsid w:val="009645E5"/>
    <w:rsid w:val="00964B52"/>
    <w:rsid w:val="00964CB4"/>
    <w:rsid w:val="00964D59"/>
    <w:rsid w:val="009654C3"/>
    <w:rsid w:val="009654DD"/>
    <w:rsid w:val="0096584B"/>
    <w:rsid w:val="009659A2"/>
    <w:rsid w:val="00965A76"/>
    <w:rsid w:val="00965CF2"/>
    <w:rsid w:val="0096622D"/>
    <w:rsid w:val="009664FB"/>
    <w:rsid w:val="009666CC"/>
    <w:rsid w:val="00966707"/>
    <w:rsid w:val="00966842"/>
    <w:rsid w:val="00966864"/>
    <w:rsid w:val="00966D3F"/>
    <w:rsid w:val="00966EAD"/>
    <w:rsid w:val="009671F7"/>
    <w:rsid w:val="009678C2"/>
    <w:rsid w:val="00967A36"/>
    <w:rsid w:val="00970944"/>
    <w:rsid w:val="00970F0B"/>
    <w:rsid w:val="00970FBE"/>
    <w:rsid w:val="009712BA"/>
    <w:rsid w:val="0097138F"/>
    <w:rsid w:val="0097179F"/>
    <w:rsid w:val="00971944"/>
    <w:rsid w:val="009719DB"/>
    <w:rsid w:val="00972378"/>
    <w:rsid w:val="0097239A"/>
    <w:rsid w:val="00972456"/>
    <w:rsid w:val="009726BB"/>
    <w:rsid w:val="00972D72"/>
    <w:rsid w:val="009733AD"/>
    <w:rsid w:val="009735FA"/>
    <w:rsid w:val="00973F65"/>
    <w:rsid w:val="009742AB"/>
    <w:rsid w:val="00974BFB"/>
    <w:rsid w:val="00974C0F"/>
    <w:rsid w:val="0097503C"/>
    <w:rsid w:val="009753FD"/>
    <w:rsid w:val="0097569D"/>
    <w:rsid w:val="00975AA5"/>
    <w:rsid w:val="00975B56"/>
    <w:rsid w:val="009769BF"/>
    <w:rsid w:val="00977662"/>
    <w:rsid w:val="00977B3F"/>
    <w:rsid w:val="00977C23"/>
    <w:rsid w:val="00980362"/>
    <w:rsid w:val="00980664"/>
    <w:rsid w:val="009806BF"/>
    <w:rsid w:val="0098075C"/>
    <w:rsid w:val="00980944"/>
    <w:rsid w:val="00980948"/>
    <w:rsid w:val="009809AA"/>
    <w:rsid w:val="009809F9"/>
    <w:rsid w:val="00980A91"/>
    <w:rsid w:val="00980C13"/>
    <w:rsid w:val="00980E68"/>
    <w:rsid w:val="00981A60"/>
    <w:rsid w:val="00981D04"/>
    <w:rsid w:val="00981F98"/>
    <w:rsid w:val="009824C2"/>
    <w:rsid w:val="009825A1"/>
    <w:rsid w:val="009825F6"/>
    <w:rsid w:val="00982B24"/>
    <w:rsid w:val="00983289"/>
    <w:rsid w:val="00983558"/>
    <w:rsid w:val="0098367B"/>
    <w:rsid w:val="009836A3"/>
    <w:rsid w:val="009837C4"/>
    <w:rsid w:val="00983D19"/>
    <w:rsid w:val="00983F64"/>
    <w:rsid w:val="009842EC"/>
    <w:rsid w:val="00984897"/>
    <w:rsid w:val="00984D0C"/>
    <w:rsid w:val="009858AC"/>
    <w:rsid w:val="00985CFA"/>
    <w:rsid w:val="00986183"/>
    <w:rsid w:val="0098631D"/>
    <w:rsid w:val="0098668F"/>
    <w:rsid w:val="00987130"/>
    <w:rsid w:val="00987167"/>
    <w:rsid w:val="00987650"/>
    <w:rsid w:val="00987A62"/>
    <w:rsid w:val="00987E00"/>
    <w:rsid w:val="00987F85"/>
    <w:rsid w:val="00990001"/>
    <w:rsid w:val="0099006D"/>
    <w:rsid w:val="00990F25"/>
    <w:rsid w:val="009914ED"/>
    <w:rsid w:val="00991A1C"/>
    <w:rsid w:val="0099208E"/>
    <w:rsid w:val="00992321"/>
    <w:rsid w:val="00992380"/>
    <w:rsid w:val="009924C0"/>
    <w:rsid w:val="009927E1"/>
    <w:rsid w:val="009928A2"/>
    <w:rsid w:val="00992A24"/>
    <w:rsid w:val="00992C39"/>
    <w:rsid w:val="00992C5F"/>
    <w:rsid w:val="00992C78"/>
    <w:rsid w:val="00992F29"/>
    <w:rsid w:val="0099303A"/>
    <w:rsid w:val="0099333E"/>
    <w:rsid w:val="00993465"/>
    <w:rsid w:val="00993482"/>
    <w:rsid w:val="009938DA"/>
    <w:rsid w:val="00993EB7"/>
    <w:rsid w:val="0099400E"/>
    <w:rsid w:val="009945B8"/>
    <w:rsid w:val="0099467C"/>
    <w:rsid w:val="00994AE8"/>
    <w:rsid w:val="00994DDC"/>
    <w:rsid w:val="0099559E"/>
    <w:rsid w:val="009956C3"/>
    <w:rsid w:val="0099599E"/>
    <w:rsid w:val="009960DF"/>
    <w:rsid w:val="00996812"/>
    <w:rsid w:val="00996C40"/>
    <w:rsid w:val="00996F3D"/>
    <w:rsid w:val="0099725F"/>
    <w:rsid w:val="009976D4"/>
    <w:rsid w:val="009977DC"/>
    <w:rsid w:val="00997B0D"/>
    <w:rsid w:val="009A0355"/>
    <w:rsid w:val="009A03F1"/>
    <w:rsid w:val="009A0B09"/>
    <w:rsid w:val="009A0BFB"/>
    <w:rsid w:val="009A0D09"/>
    <w:rsid w:val="009A0EAA"/>
    <w:rsid w:val="009A0F40"/>
    <w:rsid w:val="009A11B0"/>
    <w:rsid w:val="009A1588"/>
    <w:rsid w:val="009A159C"/>
    <w:rsid w:val="009A1ADE"/>
    <w:rsid w:val="009A1DF4"/>
    <w:rsid w:val="009A2084"/>
    <w:rsid w:val="009A220E"/>
    <w:rsid w:val="009A2788"/>
    <w:rsid w:val="009A295B"/>
    <w:rsid w:val="009A2B05"/>
    <w:rsid w:val="009A2C9B"/>
    <w:rsid w:val="009A2CA3"/>
    <w:rsid w:val="009A3201"/>
    <w:rsid w:val="009A35E3"/>
    <w:rsid w:val="009A394E"/>
    <w:rsid w:val="009A407B"/>
    <w:rsid w:val="009A412E"/>
    <w:rsid w:val="009A43B3"/>
    <w:rsid w:val="009A4525"/>
    <w:rsid w:val="009A4D1F"/>
    <w:rsid w:val="009A4E61"/>
    <w:rsid w:val="009A5069"/>
    <w:rsid w:val="009A5680"/>
    <w:rsid w:val="009A5DE5"/>
    <w:rsid w:val="009A5EE3"/>
    <w:rsid w:val="009A5F7D"/>
    <w:rsid w:val="009A62A6"/>
    <w:rsid w:val="009A6A9A"/>
    <w:rsid w:val="009A72C9"/>
    <w:rsid w:val="009A7432"/>
    <w:rsid w:val="009A76EC"/>
    <w:rsid w:val="009A7A0A"/>
    <w:rsid w:val="009A7B5C"/>
    <w:rsid w:val="009A7D6F"/>
    <w:rsid w:val="009B0646"/>
    <w:rsid w:val="009B06FA"/>
    <w:rsid w:val="009B07E4"/>
    <w:rsid w:val="009B0CFF"/>
    <w:rsid w:val="009B1ABD"/>
    <w:rsid w:val="009B2035"/>
    <w:rsid w:val="009B24DB"/>
    <w:rsid w:val="009B290D"/>
    <w:rsid w:val="009B32B7"/>
    <w:rsid w:val="009B3461"/>
    <w:rsid w:val="009B3CD9"/>
    <w:rsid w:val="009B3E97"/>
    <w:rsid w:val="009B466D"/>
    <w:rsid w:val="009B4BA8"/>
    <w:rsid w:val="009B5773"/>
    <w:rsid w:val="009B588A"/>
    <w:rsid w:val="009B58D6"/>
    <w:rsid w:val="009B6762"/>
    <w:rsid w:val="009B6856"/>
    <w:rsid w:val="009B6A71"/>
    <w:rsid w:val="009B7AF5"/>
    <w:rsid w:val="009B7CEA"/>
    <w:rsid w:val="009C0038"/>
    <w:rsid w:val="009C0AA9"/>
    <w:rsid w:val="009C0D73"/>
    <w:rsid w:val="009C1015"/>
    <w:rsid w:val="009C17E6"/>
    <w:rsid w:val="009C180A"/>
    <w:rsid w:val="009C1B12"/>
    <w:rsid w:val="009C1D2E"/>
    <w:rsid w:val="009C226B"/>
    <w:rsid w:val="009C26CF"/>
    <w:rsid w:val="009C2E90"/>
    <w:rsid w:val="009C2F89"/>
    <w:rsid w:val="009C344A"/>
    <w:rsid w:val="009C351E"/>
    <w:rsid w:val="009C39D1"/>
    <w:rsid w:val="009C3B3D"/>
    <w:rsid w:val="009C3DFC"/>
    <w:rsid w:val="009C3F2A"/>
    <w:rsid w:val="009C3F64"/>
    <w:rsid w:val="009C415F"/>
    <w:rsid w:val="009C4755"/>
    <w:rsid w:val="009C4948"/>
    <w:rsid w:val="009C4B02"/>
    <w:rsid w:val="009C4B6A"/>
    <w:rsid w:val="009C4B9D"/>
    <w:rsid w:val="009C4E70"/>
    <w:rsid w:val="009C5347"/>
    <w:rsid w:val="009C57A0"/>
    <w:rsid w:val="009C5E08"/>
    <w:rsid w:val="009C6290"/>
    <w:rsid w:val="009C6498"/>
    <w:rsid w:val="009C6A92"/>
    <w:rsid w:val="009C6E08"/>
    <w:rsid w:val="009C764A"/>
    <w:rsid w:val="009C77E4"/>
    <w:rsid w:val="009C79B2"/>
    <w:rsid w:val="009C7CCB"/>
    <w:rsid w:val="009D0987"/>
    <w:rsid w:val="009D12A4"/>
    <w:rsid w:val="009D12C2"/>
    <w:rsid w:val="009D15F8"/>
    <w:rsid w:val="009D18E2"/>
    <w:rsid w:val="009D1A84"/>
    <w:rsid w:val="009D1C86"/>
    <w:rsid w:val="009D1DC2"/>
    <w:rsid w:val="009D1F36"/>
    <w:rsid w:val="009D2373"/>
    <w:rsid w:val="009D26E1"/>
    <w:rsid w:val="009D3014"/>
    <w:rsid w:val="009D30D8"/>
    <w:rsid w:val="009D32B2"/>
    <w:rsid w:val="009D359D"/>
    <w:rsid w:val="009D36EE"/>
    <w:rsid w:val="009D3D7C"/>
    <w:rsid w:val="009D41E1"/>
    <w:rsid w:val="009D426D"/>
    <w:rsid w:val="009D468C"/>
    <w:rsid w:val="009D4985"/>
    <w:rsid w:val="009D647D"/>
    <w:rsid w:val="009D68C8"/>
    <w:rsid w:val="009D6C39"/>
    <w:rsid w:val="009D7673"/>
    <w:rsid w:val="009D7B6E"/>
    <w:rsid w:val="009D7CD8"/>
    <w:rsid w:val="009E0060"/>
    <w:rsid w:val="009E00AD"/>
    <w:rsid w:val="009E0801"/>
    <w:rsid w:val="009E0A68"/>
    <w:rsid w:val="009E0B36"/>
    <w:rsid w:val="009E0FE6"/>
    <w:rsid w:val="009E1B48"/>
    <w:rsid w:val="009E2184"/>
    <w:rsid w:val="009E21FF"/>
    <w:rsid w:val="009E2480"/>
    <w:rsid w:val="009E2887"/>
    <w:rsid w:val="009E32A2"/>
    <w:rsid w:val="009E38FB"/>
    <w:rsid w:val="009E3BFB"/>
    <w:rsid w:val="009E3E9D"/>
    <w:rsid w:val="009E3FE5"/>
    <w:rsid w:val="009E408E"/>
    <w:rsid w:val="009E4498"/>
    <w:rsid w:val="009E4AB3"/>
    <w:rsid w:val="009E4BA3"/>
    <w:rsid w:val="009E4E2E"/>
    <w:rsid w:val="009E4E67"/>
    <w:rsid w:val="009E4E9E"/>
    <w:rsid w:val="009E5688"/>
    <w:rsid w:val="009E5D0B"/>
    <w:rsid w:val="009E63C8"/>
    <w:rsid w:val="009E648E"/>
    <w:rsid w:val="009E6619"/>
    <w:rsid w:val="009E6621"/>
    <w:rsid w:val="009E6815"/>
    <w:rsid w:val="009E7382"/>
    <w:rsid w:val="009E75EC"/>
    <w:rsid w:val="009E785E"/>
    <w:rsid w:val="009E7E53"/>
    <w:rsid w:val="009F030C"/>
    <w:rsid w:val="009F05F8"/>
    <w:rsid w:val="009F075D"/>
    <w:rsid w:val="009F0CC4"/>
    <w:rsid w:val="009F1324"/>
    <w:rsid w:val="009F14CC"/>
    <w:rsid w:val="009F1BC0"/>
    <w:rsid w:val="009F2175"/>
    <w:rsid w:val="009F2279"/>
    <w:rsid w:val="009F22BF"/>
    <w:rsid w:val="009F2CCF"/>
    <w:rsid w:val="009F2E1F"/>
    <w:rsid w:val="009F2E7E"/>
    <w:rsid w:val="009F33D3"/>
    <w:rsid w:val="009F3FAD"/>
    <w:rsid w:val="009F40E0"/>
    <w:rsid w:val="009F41D5"/>
    <w:rsid w:val="009F4319"/>
    <w:rsid w:val="009F53EB"/>
    <w:rsid w:val="009F544B"/>
    <w:rsid w:val="009F5683"/>
    <w:rsid w:val="009F56A8"/>
    <w:rsid w:val="009F5B92"/>
    <w:rsid w:val="009F6248"/>
    <w:rsid w:val="009F62DF"/>
    <w:rsid w:val="009F64D3"/>
    <w:rsid w:val="009F64FC"/>
    <w:rsid w:val="009F672B"/>
    <w:rsid w:val="009F713E"/>
    <w:rsid w:val="009F7208"/>
    <w:rsid w:val="009F749F"/>
    <w:rsid w:val="009F769F"/>
    <w:rsid w:val="009F7902"/>
    <w:rsid w:val="009F7CFC"/>
    <w:rsid w:val="009F7D7C"/>
    <w:rsid w:val="00A002CC"/>
    <w:rsid w:val="00A010C5"/>
    <w:rsid w:val="00A015A8"/>
    <w:rsid w:val="00A01F8C"/>
    <w:rsid w:val="00A0231B"/>
    <w:rsid w:val="00A02634"/>
    <w:rsid w:val="00A02ECB"/>
    <w:rsid w:val="00A02F84"/>
    <w:rsid w:val="00A036EC"/>
    <w:rsid w:val="00A04F0A"/>
    <w:rsid w:val="00A04FDC"/>
    <w:rsid w:val="00A050FB"/>
    <w:rsid w:val="00A054F1"/>
    <w:rsid w:val="00A05915"/>
    <w:rsid w:val="00A05B2A"/>
    <w:rsid w:val="00A05C94"/>
    <w:rsid w:val="00A06154"/>
    <w:rsid w:val="00A061F4"/>
    <w:rsid w:val="00A0667F"/>
    <w:rsid w:val="00A067F9"/>
    <w:rsid w:val="00A06815"/>
    <w:rsid w:val="00A07452"/>
    <w:rsid w:val="00A07643"/>
    <w:rsid w:val="00A07ABB"/>
    <w:rsid w:val="00A07B33"/>
    <w:rsid w:val="00A07FAE"/>
    <w:rsid w:val="00A101BA"/>
    <w:rsid w:val="00A10416"/>
    <w:rsid w:val="00A10CE2"/>
    <w:rsid w:val="00A10D57"/>
    <w:rsid w:val="00A10E42"/>
    <w:rsid w:val="00A11012"/>
    <w:rsid w:val="00A11020"/>
    <w:rsid w:val="00A110AB"/>
    <w:rsid w:val="00A1144B"/>
    <w:rsid w:val="00A116AC"/>
    <w:rsid w:val="00A11A57"/>
    <w:rsid w:val="00A11A67"/>
    <w:rsid w:val="00A11C8C"/>
    <w:rsid w:val="00A1282D"/>
    <w:rsid w:val="00A12A62"/>
    <w:rsid w:val="00A12B43"/>
    <w:rsid w:val="00A132C3"/>
    <w:rsid w:val="00A136EE"/>
    <w:rsid w:val="00A13AAA"/>
    <w:rsid w:val="00A13B48"/>
    <w:rsid w:val="00A14841"/>
    <w:rsid w:val="00A14EDD"/>
    <w:rsid w:val="00A15058"/>
    <w:rsid w:val="00A15740"/>
    <w:rsid w:val="00A158DA"/>
    <w:rsid w:val="00A159E5"/>
    <w:rsid w:val="00A15A9B"/>
    <w:rsid w:val="00A1627B"/>
    <w:rsid w:val="00A163E5"/>
    <w:rsid w:val="00A165F6"/>
    <w:rsid w:val="00A16926"/>
    <w:rsid w:val="00A17613"/>
    <w:rsid w:val="00A176FC"/>
    <w:rsid w:val="00A177AD"/>
    <w:rsid w:val="00A17CB5"/>
    <w:rsid w:val="00A17D52"/>
    <w:rsid w:val="00A17DA1"/>
    <w:rsid w:val="00A17F88"/>
    <w:rsid w:val="00A20162"/>
    <w:rsid w:val="00A21480"/>
    <w:rsid w:val="00A2182D"/>
    <w:rsid w:val="00A2242C"/>
    <w:rsid w:val="00A22479"/>
    <w:rsid w:val="00A22C5C"/>
    <w:rsid w:val="00A233F4"/>
    <w:rsid w:val="00A23A74"/>
    <w:rsid w:val="00A23EEC"/>
    <w:rsid w:val="00A2410C"/>
    <w:rsid w:val="00A249B1"/>
    <w:rsid w:val="00A249C7"/>
    <w:rsid w:val="00A24F9F"/>
    <w:rsid w:val="00A255EB"/>
    <w:rsid w:val="00A25711"/>
    <w:rsid w:val="00A26A46"/>
    <w:rsid w:val="00A26F97"/>
    <w:rsid w:val="00A27572"/>
    <w:rsid w:val="00A2772D"/>
    <w:rsid w:val="00A27867"/>
    <w:rsid w:val="00A278E9"/>
    <w:rsid w:val="00A279F7"/>
    <w:rsid w:val="00A30A1E"/>
    <w:rsid w:val="00A30B45"/>
    <w:rsid w:val="00A30DBC"/>
    <w:rsid w:val="00A31821"/>
    <w:rsid w:val="00A31DAE"/>
    <w:rsid w:val="00A31E20"/>
    <w:rsid w:val="00A31FAC"/>
    <w:rsid w:val="00A322BA"/>
    <w:rsid w:val="00A32976"/>
    <w:rsid w:val="00A329F6"/>
    <w:rsid w:val="00A32A6D"/>
    <w:rsid w:val="00A32DDB"/>
    <w:rsid w:val="00A334B3"/>
    <w:rsid w:val="00A33553"/>
    <w:rsid w:val="00A337CC"/>
    <w:rsid w:val="00A33892"/>
    <w:rsid w:val="00A339F5"/>
    <w:rsid w:val="00A33C23"/>
    <w:rsid w:val="00A340A5"/>
    <w:rsid w:val="00A3464D"/>
    <w:rsid w:val="00A34D9C"/>
    <w:rsid w:val="00A35270"/>
    <w:rsid w:val="00A3589B"/>
    <w:rsid w:val="00A35922"/>
    <w:rsid w:val="00A36ADA"/>
    <w:rsid w:val="00A36D9B"/>
    <w:rsid w:val="00A36F45"/>
    <w:rsid w:val="00A36F8F"/>
    <w:rsid w:val="00A37042"/>
    <w:rsid w:val="00A372C6"/>
    <w:rsid w:val="00A37358"/>
    <w:rsid w:val="00A378F3"/>
    <w:rsid w:val="00A37C2D"/>
    <w:rsid w:val="00A37C4E"/>
    <w:rsid w:val="00A37D27"/>
    <w:rsid w:val="00A37DAC"/>
    <w:rsid w:val="00A40C5F"/>
    <w:rsid w:val="00A40F1F"/>
    <w:rsid w:val="00A410B3"/>
    <w:rsid w:val="00A41D83"/>
    <w:rsid w:val="00A43F7D"/>
    <w:rsid w:val="00A444B7"/>
    <w:rsid w:val="00A4517C"/>
    <w:rsid w:val="00A4528A"/>
    <w:rsid w:val="00A4549A"/>
    <w:rsid w:val="00A45614"/>
    <w:rsid w:val="00A45964"/>
    <w:rsid w:val="00A46697"/>
    <w:rsid w:val="00A4679F"/>
    <w:rsid w:val="00A467BA"/>
    <w:rsid w:val="00A46DC7"/>
    <w:rsid w:val="00A4708D"/>
    <w:rsid w:val="00A470AE"/>
    <w:rsid w:val="00A4728E"/>
    <w:rsid w:val="00A47C6F"/>
    <w:rsid w:val="00A47CD0"/>
    <w:rsid w:val="00A47F92"/>
    <w:rsid w:val="00A506C6"/>
    <w:rsid w:val="00A50808"/>
    <w:rsid w:val="00A51CC8"/>
    <w:rsid w:val="00A51CFE"/>
    <w:rsid w:val="00A527ED"/>
    <w:rsid w:val="00A52F6A"/>
    <w:rsid w:val="00A53F55"/>
    <w:rsid w:val="00A540BD"/>
    <w:rsid w:val="00A54E72"/>
    <w:rsid w:val="00A5506C"/>
    <w:rsid w:val="00A55316"/>
    <w:rsid w:val="00A55405"/>
    <w:rsid w:val="00A55726"/>
    <w:rsid w:val="00A55BA9"/>
    <w:rsid w:val="00A55BCE"/>
    <w:rsid w:val="00A5683E"/>
    <w:rsid w:val="00A568CE"/>
    <w:rsid w:val="00A56996"/>
    <w:rsid w:val="00A57449"/>
    <w:rsid w:val="00A5774B"/>
    <w:rsid w:val="00A57C98"/>
    <w:rsid w:val="00A60891"/>
    <w:rsid w:val="00A60B9D"/>
    <w:rsid w:val="00A60C37"/>
    <w:rsid w:val="00A60FE5"/>
    <w:rsid w:val="00A615DD"/>
    <w:rsid w:val="00A619E0"/>
    <w:rsid w:val="00A621BB"/>
    <w:rsid w:val="00A62BB0"/>
    <w:rsid w:val="00A62F6A"/>
    <w:rsid w:val="00A630EE"/>
    <w:rsid w:val="00A6347D"/>
    <w:rsid w:val="00A635CB"/>
    <w:rsid w:val="00A63652"/>
    <w:rsid w:val="00A636C8"/>
    <w:rsid w:val="00A64811"/>
    <w:rsid w:val="00A64E21"/>
    <w:rsid w:val="00A651D5"/>
    <w:rsid w:val="00A6537E"/>
    <w:rsid w:val="00A656CB"/>
    <w:rsid w:val="00A65A2B"/>
    <w:rsid w:val="00A65A3A"/>
    <w:rsid w:val="00A65BBD"/>
    <w:rsid w:val="00A65E37"/>
    <w:rsid w:val="00A66034"/>
    <w:rsid w:val="00A6608E"/>
    <w:rsid w:val="00A67279"/>
    <w:rsid w:val="00A673D7"/>
    <w:rsid w:val="00A674FF"/>
    <w:rsid w:val="00A67649"/>
    <w:rsid w:val="00A67BBE"/>
    <w:rsid w:val="00A7004A"/>
    <w:rsid w:val="00A70194"/>
    <w:rsid w:val="00A7028E"/>
    <w:rsid w:val="00A704B2"/>
    <w:rsid w:val="00A70D6E"/>
    <w:rsid w:val="00A718A5"/>
    <w:rsid w:val="00A71ED8"/>
    <w:rsid w:val="00A7229A"/>
    <w:rsid w:val="00A72523"/>
    <w:rsid w:val="00A726EF"/>
    <w:rsid w:val="00A72780"/>
    <w:rsid w:val="00A73499"/>
    <w:rsid w:val="00A738BF"/>
    <w:rsid w:val="00A74375"/>
    <w:rsid w:val="00A745B0"/>
    <w:rsid w:val="00A7474E"/>
    <w:rsid w:val="00A74AD2"/>
    <w:rsid w:val="00A74EBD"/>
    <w:rsid w:val="00A75262"/>
    <w:rsid w:val="00A759A6"/>
    <w:rsid w:val="00A75F79"/>
    <w:rsid w:val="00A763CA"/>
    <w:rsid w:val="00A766A3"/>
    <w:rsid w:val="00A76818"/>
    <w:rsid w:val="00A76DB7"/>
    <w:rsid w:val="00A77138"/>
    <w:rsid w:val="00A77330"/>
    <w:rsid w:val="00A801EA"/>
    <w:rsid w:val="00A80396"/>
    <w:rsid w:val="00A8072D"/>
    <w:rsid w:val="00A807E3"/>
    <w:rsid w:val="00A81120"/>
    <w:rsid w:val="00A815B4"/>
    <w:rsid w:val="00A8166C"/>
    <w:rsid w:val="00A816F0"/>
    <w:rsid w:val="00A81C8C"/>
    <w:rsid w:val="00A827E5"/>
    <w:rsid w:val="00A8287A"/>
    <w:rsid w:val="00A82931"/>
    <w:rsid w:val="00A82B57"/>
    <w:rsid w:val="00A838AB"/>
    <w:rsid w:val="00A83F4B"/>
    <w:rsid w:val="00A8411A"/>
    <w:rsid w:val="00A84B4F"/>
    <w:rsid w:val="00A84BDF"/>
    <w:rsid w:val="00A85271"/>
    <w:rsid w:val="00A85A8E"/>
    <w:rsid w:val="00A85BF9"/>
    <w:rsid w:val="00A85DF5"/>
    <w:rsid w:val="00A85F0A"/>
    <w:rsid w:val="00A86A41"/>
    <w:rsid w:val="00A86CE8"/>
    <w:rsid w:val="00A86E1A"/>
    <w:rsid w:val="00A87007"/>
    <w:rsid w:val="00A87344"/>
    <w:rsid w:val="00A87400"/>
    <w:rsid w:val="00A875A7"/>
    <w:rsid w:val="00A87864"/>
    <w:rsid w:val="00A879E1"/>
    <w:rsid w:val="00A900E4"/>
    <w:rsid w:val="00A901DF"/>
    <w:rsid w:val="00A902C0"/>
    <w:rsid w:val="00A9053E"/>
    <w:rsid w:val="00A90C25"/>
    <w:rsid w:val="00A914A1"/>
    <w:rsid w:val="00A916B2"/>
    <w:rsid w:val="00A916E4"/>
    <w:rsid w:val="00A919A3"/>
    <w:rsid w:val="00A919E0"/>
    <w:rsid w:val="00A91D6B"/>
    <w:rsid w:val="00A91F05"/>
    <w:rsid w:val="00A91F6F"/>
    <w:rsid w:val="00A92072"/>
    <w:rsid w:val="00A927C2"/>
    <w:rsid w:val="00A92A08"/>
    <w:rsid w:val="00A92A52"/>
    <w:rsid w:val="00A92CB8"/>
    <w:rsid w:val="00A92F4D"/>
    <w:rsid w:val="00A93347"/>
    <w:rsid w:val="00A934B4"/>
    <w:rsid w:val="00A9364E"/>
    <w:rsid w:val="00A93912"/>
    <w:rsid w:val="00A93992"/>
    <w:rsid w:val="00A93A16"/>
    <w:rsid w:val="00A93A38"/>
    <w:rsid w:val="00A93CB2"/>
    <w:rsid w:val="00A943AB"/>
    <w:rsid w:val="00A943E4"/>
    <w:rsid w:val="00A94588"/>
    <w:rsid w:val="00A9494A"/>
    <w:rsid w:val="00A94EE4"/>
    <w:rsid w:val="00A94F66"/>
    <w:rsid w:val="00A95064"/>
    <w:rsid w:val="00A952B8"/>
    <w:rsid w:val="00A95904"/>
    <w:rsid w:val="00A959F0"/>
    <w:rsid w:val="00A95CA7"/>
    <w:rsid w:val="00A95CC3"/>
    <w:rsid w:val="00A97256"/>
    <w:rsid w:val="00A9729E"/>
    <w:rsid w:val="00A97A4A"/>
    <w:rsid w:val="00A97D43"/>
    <w:rsid w:val="00A97EA1"/>
    <w:rsid w:val="00AA0893"/>
    <w:rsid w:val="00AA0CAB"/>
    <w:rsid w:val="00AA0E0E"/>
    <w:rsid w:val="00AA0EDA"/>
    <w:rsid w:val="00AA1226"/>
    <w:rsid w:val="00AA127C"/>
    <w:rsid w:val="00AA13F9"/>
    <w:rsid w:val="00AA16CA"/>
    <w:rsid w:val="00AA1A9C"/>
    <w:rsid w:val="00AA1E5C"/>
    <w:rsid w:val="00AA1EDE"/>
    <w:rsid w:val="00AA1FC1"/>
    <w:rsid w:val="00AA2EB4"/>
    <w:rsid w:val="00AA371A"/>
    <w:rsid w:val="00AA3B96"/>
    <w:rsid w:val="00AA4F31"/>
    <w:rsid w:val="00AA58FF"/>
    <w:rsid w:val="00AA5C75"/>
    <w:rsid w:val="00AA61FD"/>
    <w:rsid w:val="00AA64D5"/>
    <w:rsid w:val="00AA6A5A"/>
    <w:rsid w:val="00AA6CDF"/>
    <w:rsid w:val="00AA6E74"/>
    <w:rsid w:val="00AA748F"/>
    <w:rsid w:val="00AA798B"/>
    <w:rsid w:val="00AA79E2"/>
    <w:rsid w:val="00AA7D96"/>
    <w:rsid w:val="00AB0255"/>
    <w:rsid w:val="00AB0284"/>
    <w:rsid w:val="00AB0869"/>
    <w:rsid w:val="00AB0E68"/>
    <w:rsid w:val="00AB156B"/>
    <w:rsid w:val="00AB18E5"/>
    <w:rsid w:val="00AB22AA"/>
    <w:rsid w:val="00AB25E3"/>
    <w:rsid w:val="00AB29DD"/>
    <w:rsid w:val="00AB2A38"/>
    <w:rsid w:val="00AB3A77"/>
    <w:rsid w:val="00AB3F4B"/>
    <w:rsid w:val="00AB410E"/>
    <w:rsid w:val="00AB4AEB"/>
    <w:rsid w:val="00AB4B96"/>
    <w:rsid w:val="00AB4C32"/>
    <w:rsid w:val="00AB4DA1"/>
    <w:rsid w:val="00AB5402"/>
    <w:rsid w:val="00AB5559"/>
    <w:rsid w:val="00AB577C"/>
    <w:rsid w:val="00AB5CA6"/>
    <w:rsid w:val="00AB5DCD"/>
    <w:rsid w:val="00AB6238"/>
    <w:rsid w:val="00AB62BD"/>
    <w:rsid w:val="00AB65CF"/>
    <w:rsid w:val="00AB6752"/>
    <w:rsid w:val="00AB6E33"/>
    <w:rsid w:val="00AB73E0"/>
    <w:rsid w:val="00AB793F"/>
    <w:rsid w:val="00AB79FA"/>
    <w:rsid w:val="00AB7E42"/>
    <w:rsid w:val="00AC0193"/>
    <w:rsid w:val="00AC0723"/>
    <w:rsid w:val="00AC08FC"/>
    <w:rsid w:val="00AC1177"/>
    <w:rsid w:val="00AC1B8B"/>
    <w:rsid w:val="00AC228B"/>
    <w:rsid w:val="00AC3060"/>
    <w:rsid w:val="00AC319F"/>
    <w:rsid w:val="00AC36E9"/>
    <w:rsid w:val="00AC3D77"/>
    <w:rsid w:val="00AC3FF1"/>
    <w:rsid w:val="00AC3FFC"/>
    <w:rsid w:val="00AC401A"/>
    <w:rsid w:val="00AC4352"/>
    <w:rsid w:val="00AC45CB"/>
    <w:rsid w:val="00AC4A70"/>
    <w:rsid w:val="00AC552C"/>
    <w:rsid w:val="00AC57EB"/>
    <w:rsid w:val="00AC65CA"/>
    <w:rsid w:val="00AC67A9"/>
    <w:rsid w:val="00AC6DC1"/>
    <w:rsid w:val="00AC7314"/>
    <w:rsid w:val="00AC7899"/>
    <w:rsid w:val="00AC7B60"/>
    <w:rsid w:val="00AD023D"/>
    <w:rsid w:val="00AD08AF"/>
    <w:rsid w:val="00AD11B1"/>
    <w:rsid w:val="00AD1848"/>
    <w:rsid w:val="00AD1AAF"/>
    <w:rsid w:val="00AD1C6D"/>
    <w:rsid w:val="00AD1F9B"/>
    <w:rsid w:val="00AD29CB"/>
    <w:rsid w:val="00AD2F92"/>
    <w:rsid w:val="00AD35EE"/>
    <w:rsid w:val="00AD3811"/>
    <w:rsid w:val="00AD391B"/>
    <w:rsid w:val="00AD3C9C"/>
    <w:rsid w:val="00AD414F"/>
    <w:rsid w:val="00AD497C"/>
    <w:rsid w:val="00AD4C51"/>
    <w:rsid w:val="00AD4CBD"/>
    <w:rsid w:val="00AD4CF4"/>
    <w:rsid w:val="00AD52FD"/>
    <w:rsid w:val="00AD5541"/>
    <w:rsid w:val="00AD570C"/>
    <w:rsid w:val="00AD5AB0"/>
    <w:rsid w:val="00AD5B7D"/>
    <w:rsid w:val="00AD5D4A"/>
    <w:rsid w:val="00AD6B15"/>
    <w:rsid w:val="00AD6CCC"/>
    <w:rsid w:val="00AD6E5D"/>
    <w:rsid w:val="00AD74D9"/>
    <w:rsid w:val="00AE0189"/>
    <w:rsid w:val="00AE05C0"/>
    <w:rsid w:val="00AE067E"/>
    <w:rsid w:val="00AE0F18"/>
    <w:rsid w:val="00AE1AF3"/>
    <w:rsid w:val="00AE23C3"/>
    <w:rsid w:val="00AE23DC"/>
    <w:rsid w:val="00AE2FA4"/>
    <w:rsid w:val="00AE30CD"/>
    <w:rsid w:val="00AE343F"/>
    <w:rsid w:val="00AE359C"/>
    <w:rsid w:val="00AE3FA6"/>
    <w:rsid w:val="00AE4A08"/>
    <w:rsid w:val="00AE50A2"/>
    <w:rsid w:val="00AE57CE"/>
    <w:rsid w:val="00AE5856"/>
    <w:rsid w:val="00AE5EA2"/>
    <w:rsid w:val="00AE617C"/>
    <w:rsid w:val="00AE6E5C"/>
    <w:rsid w:val="00AE7376"/>
    <w:rsid w:val="00AE79FE"/>
    <w:rsid w:val="00AF05FA"/>
    <w:rsid w:val="00AF0652"/>
    <w:rsid w:val="00AF0D93"/>
    <w:rsid w:val="00AF12F8"/>
    <w:rsid w:val="00AF21A0"/>
    <w:rsid w:val="00AF22F0"/>
    <w:rsid w:val="00AF2438"/>
    <w:rsid w:val="00AF2610"/>
    <w:rsid w:val="00AF2ACB"/>
    <w:rsid w:val="00AF3138"/>
    <w:rsid w:val="00AF38D5"/>
    <w:rsid w:val="00AF4C72"/>
    <w:rsid w:val="00AF542A"/>
    <w:rsid w:val="00AF5794"/>
    <w:rsid w:val="00AF57C0"/>
    <w:rsid w:val="00AF5F8B"/>
    <w:rsid w:val="00AF67BF"/>
    <w:rsid w:val="00AF6CA7"/>
    <w:rsid w:val="00AF6DBC"/>
    <w:rsid w:val="00AF6E26"/>
    <w:rsid w:val="00AF6EC1"/>
    <w:rsid w:val="00AF7099"/>
    <w:rsid w:val="00AF7B68"/>
    <w:rsid w:val="00AF7B94"/>
    <w:rsid w:val="00B004EB"/>
    <w:rsid w:val="00B00559"/>
    <w:rsid w:val="00B00BAA"/>
    <w:rsid w:val="00B00C5A"/>
    <w:rsid w:val="00B01122"/>
    <w:rsid w:val="00B01183"/>
    <w:rsid w:val="00B01288"/>
    <w:rsid w:val="00B019DF"/>
    <w:rsid w:val="00B01BDE"/>
    <w:rsid w:val="00B01EAE"/>
    <w:rsid w:val="00B02552"/>
    <w:rsid w:val="00B02B6F"/>
    <w:rsid w:val="00B02C6D"/>
    <w:rsid w:val="00B02DAE"/>
    <w:rsid w:val="00B02DEC"/>
    <w:rsid w:val="00B02E91"/>
    <w:rsid w:val="00B03557"/>
    <w:rsid w:val="00B03806"/>
    <w:rsid w:val="00B039A0"/>
    <w:rsid w:val="00B03AC0"/>
    <w:rsid w:val="00B03C60"/>
    <w:rsid w:val="00B03D9A"/>
    <w:rsid w:val="00B04AEE"/>
    <w:rsid w:val="00B04C40"/>
    <w:rsid w:val="00B04E9D"/>
    <w:rsid w:val="00B04EB2"/>
    <w:rsid w:val="00B052B0"/>
    <w:rsid w:val="00B055D1"/>
    <w:rsid w:val="00B05866"/>
    <w:rsid w:val="00B05ACC"/>
    <w:rsid w:val="00B05F7B"/>
    <w:rsid w:val="00B06B08"/>
    <w:rsid w:val="00B07CC1"/>
    <w:rsid w:val="00B10409"/>
    <w:rsid w:val="00B1108C"/>
    <w:rsid w:val="00B11444"/>
    <w:rsid w:val="00B11CCE"/>
    <w:rsid w:val="00B11E7C"/>
    <w:rsid w:val="00B12356"/>
    <w:rsid w:val="00B12415"/>
    <w:rsid w:val="00B127DB"/>
    <w:rsid w:val="00B129E9"/>
    <w:rsid w:val="00B12A21"/>
    <w:rsid w:val="00B12BED"/>
    <w:rsid w:val="00B13349"/>
    <w:rsid w:val="00B13741"/>
    <w:rsid w:val="00B13946"/>
    <w:rsid w:val="00B13C02"/>
    <w:rsid w:val="00B13D14"/>
    <w:rsid w:val="00B14098"/>
    <w:rsid w:val="00B14129"/>
    <w:rsid w:val="00B14DEE"/>
    <w:rsid w:val="00B1511F"/>
    <w:rsid w:val="00B15163"/>
    <w:rsid w:val="00B153BE"/>
    <w:rsid w:val="00B15899"/>
    <w:rsid w:val="00B1593A"/>
    <w:rsid w:val="00B15C7F"/>
    <w:rsid w:val="00B15CE9"/>
    <w:rsid w:val="00B16289"/>
    <w:rsid w:val="00B16C9A"/>
    <w:rsid w:val="00B173B5"/>
    <w:rsid w:val="00B17BF7"/>
    <w:rsid w:val="00B17C08"/>
    <w:rsid w:val="00B206F0"/>
    <w:rsid w:val="00B20A56"/>
    <w:rsid w:val="00B20B1A"/>
    <w:rsid w:val="00B20C39"/>
    <w:rsid w:val="00B20F35"/>
    <w:rsid w:val="00B21151"/>
    <w:rsid w:val="00B21511"/>
    <w:rsid w:val="00B2171D"/>
    <w:rsid w:val="00B21752"/>
    <w:rsid w:val="00B220DA"/>
    <w:rsid w:val="00B2252C"/>
    <w:rsid w:val="00B22A86"/>
    <w:rsid w:val="00B232A8"/>
    <w:rsid w:val="00B2366B"/>
    <w:rsid w:val="00B236B7"/>
    <w:rsid w:val="00B2384C"/>
    <w:rsid w:val="00B240B8"/>
    <w:rsid w:val="00B24D80"/>
    <w:rsid w:val="00B25030"/>
    <w:rsid w:val="00B25317"/>
    <w:rsid w:val="00B2692D"/>
    <w:rsid w:val="00B26BEE"/>
    <w:rsid w:val="00B273CD"/>
    <w:rsid w:val="00B27AF7"/>
    <w:rsid w:val="00B27DC2"/>
    <w:rsid w:val="00B27F20"/>
    <w:rsid w:val="00B300A4"/>
    <w:rsid w:val="00B302BC"/>
    <w:rsid w:val="00B302E1"/>
    <w:rsid w:val="00B306DA"/>
    <w:rsid w:val="00B30831"/>
    <w:rsid w:val="00B30D33"/>
    <w:rsid w:val="00B31427"/>
    <w:rsid w:val="00B3145A"/>
    <w:rsid w:val="00B317B1"/>
    <w:rsid w:val="00B3243C"/>
    <w:rsid w:val="00B3415E"/>
    <w:rsid w:val="00B3462A"/>
    <w:rsid w:val="00B346C7"/>
    <w:rsid w:val="00B34A89"/>
    <w:rsid w:val="00B34E2D"/>
    <w:rsid w:val="00B35822"/>
    <w:rsid w:val="00B35F0C"/>
    <w:rsid w:val="00B366E3"/>
    <w:rsid w:val="00B36731"/>
    <w:rsid w:val="00B3740B"/>
    <w:rsid w:val="00B40195"/>
    <w:rsid w:val="00B40443"/>
    <w:rsid w:val="00B40908"/>
    <w:rsid w:val="00B418B9"/>
    <w:rsid w:val="00B422BB"/>
    <w:rsid w:val="00B42861"/>
    <w:rsid w:val="00B42E7A"/>
    <w:rsid w:val="00B43A8C"/>
    <w:rsid w:val="00B43E76"/>
    <w:rsid w:val="00B43F80"/>
    <w:rsid w:val="00B4423D"/>
    <w:rsid w:val="00B44A83"/>
    <w:rsid w:val="00B44F40"/>
    <w:rsid w:val="00B454D8"/>
    <w:rsid w:val="00B45852"/>
    <w:rsid w:val="00B458E8"/>
    <w:rsid w:val="00B45EE4"/>
    <w:rsid w:val="00B45F3C"/>
    <w:rsid w:val="00B4627A"/>
    <w:rsid w:val="00B50295"/>
    <w:rsid w:val="00B50327"/>
    <w:rsid w:val="00B50D0C"/>
    <w:rsid w:val="00B51045"/>
    <w:rsid w:val="00B513CC"/>
    <w:rsid w:val="00B5152C"/>
    <w:rsid w:val="00B51679"/>
    <w:rsid w:val="00B52002"/>
    <w:rsid w:val="00B527AD"/>
    <w:rsid w:val="00B52FD9"/>
    <w:rsid w:val="00B533F2"/>
    <w:rsid w:val="00B537E3"/>
    <w:rsid w:val="00B53E3F"/>
    <w:rsid w:val="00B53EAD"/>
    <w:rsid w:val="00B54416"/>
    <w:rsid w:val="00B54B2F"/>
    <w:rsid w:val="00B54BF3"/>
    <w:rsid w:val="00B54F9C"/>
    <w:rsid w:val="00B5515B"/>
    <w:rsid w:val="00B551FE"/>
    <w:rsid w:val="00B553A4"/>
    <w:rsid w:val="00B55F6A"/>
    <w:rsid w:val="00B5667E"/>
    <w:rsid w:val="00B566F1"/>
    <w:rsid w:val="00B57168"/>
    <w:rsid w:val="00B5764F"/>
    <w:rsid w:val="00B57983"/>
    <w:rsid w:val="00B57994"/>
    <w:rsid w:val="00B57AF3"/>
    <w:rsid w:val="00B60100"/>
    <w:rsid w:val="00B60DEC"/>
    <w:rsid w:val="00B6106A"/>
    <w:rsid w:val="00B613E2"/>
    <w:rsid w:val="00B61B86"/>
    <w:rsid w:val="00B61E0D"/>
    <w:rsid w:val="00B62694"/>
    <w:rsid w:val="00B627EE"/>
    <w:rsid w:val="00B62CFA"/>
    <w:rsid w:val="00B62E10"/>
    <w:rsid w:val="00B62F44"/>
    <w:rsid w:val="00B6335C"/>
    <w:rsid w:val="00B63362"/>
    <w:rsid w:val="00B63439"/>
    <w:rsid w:val="00B634F8"/>
    <w:rsid w:val="00B63604"/>
    <w:rsid w:val="00B63697"/>
    <w:rsid w:val="00B63A53"/>
    <w:rsid w:val="00B63D22"/>
    <w:rsid w:val="00B64CB9"/>
    <w:rsid w:val="00B64E38"/>
    <w:rsid w:val="00B65371"/>
    <w:rsid w:val="00B656F1"/>
    <w:rsid w:val="00B659BD"/>
    <w:rsid w:val="00B66402"/>
    <w:rsid w:val="00B66622"/>
    <w:rsid w:val="00B66AB2"/>
    <w:rsid w:val="00B66E16"/>
    <w:rsid w:val="00B67429"/>
    <w:rsid w:val="00B6768E"/>
    <w:rsid w:val="00B702A3"/>
    <w:rsid w:val="00B70620"/>
    <w:rsid w:val="00B707E2"/>
    <w:rsid w:val="00B70BC4"/>
    <w:rsid w:val="00B70EBE"/>
    <w:rsid w:val="00B70F47"/>
    <w:rsid w:val="00B7106D"/>
    <w:rsid w:val="00B7138E"/>
    <w:rsid w:val="00B71658"/>
    <w:rsid w:val="00B7165B"/>
    <w:rsid w:val="00B7176D"/>
    <w:rsid w:val="00B71F2C"/>
    <w:rsid w:val="00B7232B"/>
    <w:rsid w:val="00B726BD"/>
    <w:rsid w:val="00B727A5"/>
    <w:rsid w:val="00B72BE1"/>
    <w:rsid w:val="00B72D7A"/>
    <w:rsid w:val="00B72E9E"/>
    <w:rsid w:val="00B733E8"/>
    <w:rsid w:val="00B73AE3"/>
    <w:rsid w:val="00B73D20"/>
    <w:rsid w:val="00B742A9"/>
    <w:rsid w:val="00B74B4C"/>
    <w:rsid w:val="00B751F3"/>
    <w:rsid w:val="00B7582D"/>
    <w:rsid w:val="00B75972"/>
    <w:rsid w:val="00B75F8D"/>
    <w:rsid w:val="00B75FD4"/>
    <w:rsid w:val="00B761D5"/>
    <w:rsid w:val="00B76327"/>
    <w:rsid w:val="00B76661"/>
    <w:rsid w:val="00B76878"/>
    <w:rsid w:val="00B768CB"/>
    <w:rsid w:val="00B76D75"/>
    <w:rsid w:val="00B76E15"/>
    <w:rsid w:val="00B77418"/>
    <w:rsid w:val="00B774D6"/>
    <w:rsid w:val="00B7754E"/>
    <w:rsid w:val="00B775F0"/>
    <w:rsid w:val="00B778A3"/>
    <w:rsid w:val="00B80454"/>
    <w:rsid w:val="00B80BE5"/>
    <w:rsid w:val="00B80F6A"/>
    <w:rsid w:val="00B812D1"/>
    <w:rsid w:val="00B81B36"/>
    <w:rsid w:val="00B81C8F"/>
    <w:rsid w:val="00B81CB1"/>
    <w:rsid w:val="00B82956"/>
    <w:rsid w:val="00B8321F"/>
    <w:rsid w:val="00B8347B"/>
    <w:rsid w:val="00B83951"/>
    <w:rsid w:val="00B83958"/>
    <w:rsid w:val="00B83DA8"/>
    <w:rsid w:val="00B83DAA"/>
    <w:rsid w:val="00B83E0A"/>
    <w:rsid w:val="00B83EE9"/>
    <w:rsid w:val="00B8403D"/>
    <w:rsid w:val="00B840B6"/>
    <w:rsid w:val="00B84870"/>
    <w:rsid w:val="00B84D50"/>
    <w:rsid w:val="00B84E3E"/>
    <w:rsid w:val="00B84E54"/>
    <w:rsid w:val="00B85B4D"/>
    <w:rsid w:val="00B85CDE"/>
    <w:rsid w:val="00B85DE2"/>
    <w:rsid w:val="00B85EA4"/>
    <w:rsid w:val="00B85F5E"/>
    <w:rsid w:val="00B86350"/>
    <w:rsid w:val="00B863E0"/>
    <w:rsid w:val="00B870BB"/>
    <w:rsid w:val="00B87386"/>
    <w:rsid w:val="00B8746A"/>
    <w:rsid w:val="00B87C4A"/>
    <w:rsid w:val="00B900D3"/>
    <w:rsid w:val="00B9029D"/>
    <w:rsid w:val="00B90DCC"/>
    <w:rsid w:val="00B90E8D"/>
    <w:rsid w:val="00B9121B"/>
    <w:rsid w:val="00B9132A"/>
    <w:rsid w:val="00B914DC"/>
    <w:rsid w:val="00B915D0"/>
    <w:rsid w:val="00B921C1"/>
    <w:rsid w:val="00B9229C"/>
    <w:rsid w:val="00B92571"/>
    <w:rsid w:val="00B925C5"/>
    <w:rsid w:val="00B92835"/>
    <w:rsid w:val="00B92A12"/>
    <w:rsid w:val="00B92A77"/>
    <w:rsid w:val="00B92D88"/>
    <w:rsid w:val="00B93467"/>
    <w:rsid w:val="00B9347C"/>
    <w:rsid w:val="00B93594"/>
    <w:rsid w:val="00B936CC"/>
    <w:rsid w:val="00B93A5C"/>
    <w:rsid w:val="00B93C5E"/>
    <w:rsid w:val="00B94244"/>
    <w:rsid w:val="00B950AD"/>
    <w:rsid w:val="00B95141"/>
    <w:rsid w:val="00B95743"/>
    <w:rsid w:val="00B9596D"/>
    <w:rsid w:val="00B959B5"/>
    <w:rsid w:val="00B95A0D"/>
    <w:rsid w:val="00B95BE5"/>
    <w:rsid w:val="00B96257"/>
    <w:rsid w:val="00B963CF"/>
    <w:rsid w:val="00B96456"/>
    <w:rsid w:val="00B96D3A"/>
    <w:rsid w:val="00B96F2A"/>
    <w:rsid w:val="00B96F5E"/>
    <w:rsid w:val="00B97244"/>
    <w:rsid w:val="00B97EFC"/>
    <w:rsid w:val="00BA0165"/>
    <w:rsid w:val="00BA05C5"/>
    <w:rsid w:val="00BA148A"/>
    <w:rsid w:val="00BA170E"/>
    <w:rsid w:val="00BA2746"/>
    <w:rsid w:val="00BA2CA5"/>
    <w:rsid w:val="00BA2D7F"/>
    <w:rsid w:val="00BA3B22"/>
    <w:rsid w:val="00BA3C2E"/>
    <w:rsid w:val="00BA478C"/>
    <w:rsid w:val="00BA4F7E"/>
    <w:rsid w:val="00BA5288"/>
    <w:rsid w:val="00BA53E0"/>
    <w:rsid w:val="00BA5768"/>
    <w:rsid w:val="00BA5F17"/>
    <w:rsid w:val="00BA5F77"/>
    <w:rsid w:val="00BA601B"/>
    <w:rsid w:val="00BA60D2"/>
    <w:rsid w:val="00BA638A"/>
    <w:rsid w:val="00BA63A4"/>
    <w:rsid w:val="00BA6429"/>
    <w:rsid w:val="00BA6AB1"/>
    <w:rsid w:val="00BA6AEC"/>
    <w:rsid w:val="00BA757F"/>
    <w:rsid w:val="00BA7ACC"/>
    <w:rsid w:val="00BA7C83"/>
    <w:rsid w:val="00BA7E28"/>
    <w:rsid w:val="00BB020E"/>
    <w:rsid w:val="00BB0D57"/>
    <w:rsid w:val="00BB152C"/>
    <w:rsid w:val="00BB1613"/>
    <w:rsid w:val="00BB1932"/>
    <w:rsid w:val="00BB1A57"/>
    <w:rsid w:val="00BB1E24"/>
    <w:rsid w:val="00BB2A25"/>
    <w:rsid w:val="00BB2BA9"/>
    <w:rsid w:val="00BB3632"/>
    <w:rsid w:val="00BB38E8"/>
    <w:rsid w:val="00BB3BB1"/>
    <w:rsid w:val="00BB3CB3"/>
    <w:rsid w:val="00BB4249"/>
    <w:rsid w:val="00BB44B2"/>
    <w:rsid w:val="00BB44DB"/>
    <w:rsid w:val="00BB472F"/>
    <w:rsid w:val="00BB47C8"/>
    <w:rsid w:val="00BB4963"/>
    <w:rsid w:val="00BB4CC6"/>
    <w:rsid w:val="00BB4F02"/>
    <w:rsid w:val="00BB566B"/>
    <w:rsid w:val="00BB5773"/>
    <w:rsid w:val="00BB58F3"/>
    <w:rsid w:val="00BB5A47"/>
    <w:rsid w:val="00BB63D4"/>
    <w:rsid w:val="00BB6612"/>
    <w:rsid w:val="00BB6B1B"/>
    <w:rsid w:val="00BB6BA6"/>
    <w:rsid w:val="00BB6ECA"/>
    <w:rsid w:val="00BB7219"/>
    <w:rsid w:val="00BB731A"/>
    <w:rsid w:val="00BB733A"/>
    <w:rsid w:val="00BB757E"/>
    <w:rsid w:val="00BB771A"/>
    <w:rsid w:val="00BB7F72"/>
    <w:rsid w:val="00BC046F"/>
    <w:rsid w:val="00BC0796"/>
    <w:rsid w:val="00BC0BA6"/>
    <w:rsid w:val="00BC0CE0"/>
    <w:rsid w:val="00BC121C"/>
    <w:rsid w:val="00BC131F"/>
    <w:rsid w:val="00BC1AB6"/>
    <w:rsid w:val="00BC210C"/>
    <w:rsid w:val="00BC21C1"/>
    <w:rsid w:val="00BC22D2"/>
    <w:rsid w:val="00BC230F"/>
    <w:rsid w:val="00BC2569"/>
    <w:rsid w:val="00BC259C"/>
    <w:rsid w:val="00BC286E"/>
    <w:rsid w:val="00BC28FD"/>
    <w:rsid w:val="00BC2981"/>
    <w:rsid w:val="00BC2C7B"/>
    <w:rsid w:val="00BC36F7"/>
    <w:rsid w:val="00BC4BAD"/>
    <w:rsid w:val="00BC4C51"/>
    <w:rsid w:val="00BC4E92"/>
    <w:rsid w:val="00BC5173"/>
    <w:rsid w:val="00BC51D9"/>
    <w:rsid w:val="00BC5779"/>
    <w:rsid w:val="00BC643D"/>
    <w:rsid w:val="00BC6CEA"/>
    <w:rsid w:val="00BC6F5E"/>
    <w:rsid w:val="00BC6FF6"/>
    <w:rsid w:val="00BC7CDF"/>
    <w:rsid w:val="00BC7F5C"/>
    <w:rsid w:val="00BD0450"/>
    <w:rsid w:val="00BD0AF6"/>
    <w:rsid w:val="00BD0C76"/>
    <w:rsid w:val="00BD19AF"/>
    <w:rsid w:val="00BD1A79"/>
    <w:rsid w:val="00BD1B75"/>
    <w:rsid w:val="00BD1C61"/>
    <w:rsid w:val="00BD1E4F"/>
    <w:rsid w:val="00BD293E"/>
    <w:rsid w:val="00BD2A58"/>
    <w:rsid w:val="00BD2F09"/>
    <w:rsid w:val="00BD3034"/>
    <w:rsid w:val="00BD315E"/>
    <w:rsid w:val="00BD3202"/>
    <w:rsid w:val="00BD3D52"/>
    <w:rsid w:val="00BD4831"/>
    <w:rsid w:val="00BD4E81"/>
    <w:rsid w:val="00BD5D75"/>
    <w:rsid w:val="00BD5F15"/>
    <w:rsid w:val="00BD6072"/>
    <w:rsid w:val="00BD6440"/>
    <w:rsid w:val="00BD654F"/>
    <w:rsid w:val="00BD69DD"/>
    <w:rsid w:val="00BD72ED"/>
    <w:rsid w:val="00BD74AE"/>
    <w:rsid w:val="00BD7C2B"/>
    <w:rsid w:val="00BE0544"/>
    <w:rsid w:val="00BE0AE8"/>
    <w:rsid w:val="00BE0B54"/>
    <w:rsid w:val="00BE0C1F"/>
    <w:rsid w:val="00BE0D0F"/>
    <w:rsid w:val="00BE1357"/>
    <w:rsid w:val="00BE169B"/>
    <w:rsid w:val="00BE17E1"/>
    <w:rsid w:val="00BE25D6"/>
    <w:rsid w:val="00BE287C"/>
    <w:rsid w:val="00BE2E50"/>
    <w:rsid w:val="00BE3F6C"/>
    <w:rsid w:val="00BE4E0F"/>
    <w:rsid w:val="00BE5676"/>
    <w:rsid w:val="00BE5759"/>
    <w:rsid w:val="00BE5947"/>
    <w:rsid w:val="00BE5ED8"/>
    <w:rsid w:val="00BE677D"/>
    <w:rsid w:val="00BE6944"/>
    <w:rsid w:val="00BE6B1C"/>
    <w:rsid w:val="00BE6D0A"/>
    <w:rsid w:val="00BE7101"/>
    <w:rsid w:val="00BE73BF"/>
    <w:rsid w:val="00BE76FB"/>
    <w:rsid w:val="00BF03F2"/>
    <w:rsid w:val="00BF14A6"/>
    <w:rsid w:val="00BF1A5C"/>
    <w:rsid w:val="00BF2478"/>
    <w:rsid w:val="00BF2A85"/>
    <w:rsid w:val="00BF2AE1"/>
    <w:rsid w:val="00BF2B23"/>
    <w:rsid w:val="00BF2F3D"/>
    <w:rsid w:val="00BF31B2"/>
    <w:rsid w:val="00BF3360"/>
    <w:rsid w:val="00BF35E6"/>
    <w:rsid w:val="00BF3E1F"/>
    <w:rsid w:val="00BF4996"/>
    <w:rsid w:val="00BF4AF9"/>
    <w:rsid w:val="00BF4EEE"/>
    <w:rsid w:val="00BF4F43"/>
    <w:rsid w:val="00BF556E"/>
    <w:rsid w:val="00BF59BE"/>
    <w:rsid w:val="00BF5A79"/>
    <w:rsid w:val="00BF5AA2"/>
    <w:rsid w:val="00BF5BCF"/>
    <w:rsid w:val="00BF5E98"/>
    <w:rsid w:val="00BF5F00"/>
    <w:rsid w:val="00BF5F12"/>
    <w:rsid w:val="00BF6196"/>
    <w:rsid w:val="00BF694E"/>
    <w:rsid w:val="00BF6CC4"/>
    <w:rsid w:val="00BF6DD5"/>
    <w:rsid w:val="00BF6FEB"/>
    <w:rsid w:val="00BF743A"/>
    <w:rsid w:val="00BF769F"/>
    <w:rsid w:val="00BF7726"/>
    <w:rsid w:val="00BF7E0C"/>
    <w:rsid w:val="00C0006E"/>
    <w:rsid w:val="00C007E2"/>
    <w:rsid w:val="00C00DFC"/>
    <w:rsid w:val="00C01F31"/>
    <w:rsid w:val="00C01FCE"/>
    <w:rsid w:val="00C02926"/>
    <w:rsid w:val="00C02C27"/>
    <w:rsid w:val="00C02C4D"/>
    <w:rsid w:val="00C02D93"/>
    <w:rsid w:val="00C03947"/>
    <w:rsid w:val="00C03B00"/>
    <w:rsid w:val="00C03B9B"/>
    <w:rsid w:val="00C03BB5"/>
    <w:rsid w:val="00C04C0C"/>
    <w:rsid w:val="00C055AE"/>
    <w:rsid w:val="00C055F9"/>
    <w:rsid w:val="00C05605"/>
    <w:rsid w:val="00C05628"/>
    <w:rsid w:val="00C0577E"/>
    <w:rsid w:val="00C05CAA"/>
    <w:rsid w:val="00C05D44"/>
    <w:rsid w:val="00C0640B"/>
    <w:rsid w:val="00C06736"/>
    <w:rsid w:val="00C06793"/>
    <w:rsid w:val="00C06B95"/>
    <w:rsid w:val="00C06D6F"/>
    <w:rsid w:val="00C06F9E"/>
    <w:rsid w:val="00C073D1"/>
    <w:rsid w:val="00C07B76"/>
    <w:rsid w:val="00C1036E"/>
    <w:rsid w:val="00C10AAE"/>
    <w:rsid w:val="00C10B5E"/>
    <w:rsid w:val="00C10B76"/>
    <w:rsid w:val="00C10EF5"/>
    <w:rsid w:val="00C114E2"/>
    <w:rsid w:val="00C114E8"/>
    <w:rsid w:val="00C11548"/>
    <w:rsid w:val="00C11787"/>
    <w:rsid w:val="00C1179E"/>
    <w:rsid w:val="00C11822"/>
    <w:rsid w:val="00C11950"/>
    <w:rsid w:val="00C119AF"/>
    <w:rsid w:val="00C11ACE"/>
    <w:rsid w:val="00C126B7"/>
    <w:rsid w:val="00C128C3"/>
    <w:rsid w:val="00C128D8"/>
    <w:rsid w:val="00C12923"/>
    <w:rsid w:val="00C12E11"/>
    <w:rsid w:val="00C1321C"/>
    <w:rsid w:val="00C139EE"/>
    <w:rsid w:val="00C13A37"/>
    <w:rsid w:val="00C13C19"/>
    <w:rsid w:val="00C13E37"/>
    <w:rsid w:val="00C13E54"/>
    <w:rsid w:val="00C13F71"/>
    <w:rsid w:val="00C14EC9"/>
    <w:rsid w:val="00C1522A"/>
    <w:rsid w:val="00C160B0"/>
    <w:rsid w:val="00C16B39"/>
    <w:rsid w:val="00C16D25"/>
    <w:rsid w:val="00C17504"/>
    <w:rsid w:val="00C177BD"/>
    <w:rsid w:val="00C179D8"/>
    <w:rsid w:val="00C2003E"/>
    <w:rsid w:val="00C201D6"/>
    <w:rsid w:val="00C204D7"/>
    <w:rsid w:val="00C20E54"/>
    <w:rsid w:val="00C211E5"/>
    <w:rsid w:val="00C21392"/>
    <w:rsid w:val="00C21513"/>
    <w:rsid w:val="00C216DC"/>
    <w:rsid w:val="00C217F9"/>
    <w:rsid w:val="00C2180D"/>
    <w:rsid w:val="00C219A2"/>
    <w:rsid w:val="00C21CC6"/>
    <w:rsid w:val="00C220C1"/>
    <w:rsid w:val="00C227A1"/>
    <w:rsid w:val="00C227C9"/>
    <w:rsid w:val="00C22B53"/>
    <w:rsid w:val="00C22C94"/>
    <w:rsid w:val="00C230E5"/>
    <w:rsid w:val="00C23526"/>
    <w:rsid w:val="00C236B8"/>
    <w:rsid w:val="00C23C04"/>
    <w:rsid w:val="00C23DD0"/>
    <w:rsid w:val="00C23F69"/>
    <w:rsid w:val="00C24414"/>
    <w:rsid w:val="00C24420"/>
    <w:rsid w:val="00C24945"/>
    <w:rsid w:val="00C24C22"/>
    <w:rsid w:val="00C25054"/>
    <w:rsid w:val="00C250DF"/>
    <w:rsid w:val="00C25356"/>
    <w:rsid w:val="00C253C7"/>
    <w:rsid w:val="00C25E60"/>
    <w:rsid w:val="00C25E97"/>
    <w:rsid w:val="00C25F21"/>
    <w:rsid w:val="00C267DA"/>
    <w:rsid w:val="00C26DFC"/>
    <w:rsid w:val="00C2708D"/>
    <w:rsid w:val="00C273C6"/>
    <w:rsid w:val="00C279CC"/>
    <w:rsid w:val="00C27D1B"/>
    <w:rsid w:val="00C304A6"/>
    <w:rsid w:val="00C315A6"/>
    <w:rsid w:val="00C32635"/>
    <w:rsid w:val="00C33057"/>
    <w:rsid w:val="00C3390F"/>
    <w:rsid w:val="00C345EC"/>
    <w:rsid w:val="00C3474B"/>
    <w:rsid w:val="00C3497E"/>
    <w:rsid w:val="00C34C1D"/>
    <w:rsid w:val="00C35550"/>
    <w:rsid w:val="00C35819"/>
    <w:rsid w:val="00C35840"/>
    <w:rsid w:val="00C35D19"/>
    <w:rsid w:val="00C361C3"/>
    <w:rsid w:val="00C36413"/>
    <w:rsid w:val="00C36593"/>
    <w:rsid w:val="00C36B9F"/>
    <w:rsid w:val="00C37F5F"/>
    <w:rsid w:val="00C37FD1"/>
    <w:rsid w:val="00C403A3"/>
    <w:rsid w:val="00C408E4"/>
    <w:rsid w:val="00C41195"/>
    <w:rsid w:val="00C41566"/>
    <w:rsid w:val="00C415A9"/>
    <w:rsid w:val="00C415B2"/>
    <w:rsid w:val="00C41B0C"/>
    <w:rsid w:val="00C41DC1"/>
    <w:rsid w:val="00C41DDE"/>
    <w:rsid w:val="00C42424"/>
    <w:rsid w:val="00C4290B"/>
    <w:rsid w:val="00C42C7A"/>
    <w:rsid w:val="00C42F00"/>
    <w:rsid w:val="00C43E7B"/>
    <w:rsid w:val="00C44F95"/>
    <w:rsid w:val="00C450CA"/>
    <w:rsid w:val="00C45234"/>
    <w:rsid w:val="00C45257"/>
    <w:rsid w:val="00C45330"/>
    <w:rsid w:val="00C4559C"/>
    <w:rsid w:val="00C45E7A"/>
    <w:rsid w:val="00C46179"/>
    <w:rsid w:val="00C46963"/>
    <w:rsid w:val="00C46F26"/>
    <w:rsid w:val="00C47296"/>
    <w:rsid w:val="00C47BB8"/>
    <w:rsid w:val="00C47BFA"/>
    <w:rsid w:val="00C50110"/>
    <w:rsid w:val="00C5044C"/>
    <w:rsid w:val="00C506E1"/>
    <w:rsid w:val="00C507D9"/>
    <w:rsid w:val="00C50AE8"/>
    <w:rsid w:val="00C50C59"/>
    <w:rsid w:val="00C5109F"/>
    <w:rsid w:val="00C51467"/>
    <w:rsid w:val="00C51523"/>
    <w:rsid w:val="00C517FF"/>
    <w:rsid w:val="00C51DA4"/>
    <w:rsid w:val="00C51F30"/>
    <w:rsid w:val="00C52410"/>
    <w:rsid w:val="00C525E9"/>
    <w:rsid w:val="00C5394B"/>
    <w:rsid w:val="00C53AF4"/>
    <w:rsid w:val="00C53BD1"/>
    <w:rsid w:val="00C53D5F"/>
    <w:rsid w:val="00C54A59"/>
    <w:rsid w:val="00C54BAC"/>
    <w:rsid w:val="00C54C4B"/>
    <w:rsid w:val="00C55256"/>
    <w:rsid w:val="00C5575F"/>
    <w:rsid w:val="00C557A0"/>
    <w:rsid w:val="00C558B8"/>
    <w:rsid w:val="00C5604B"/>
    <w:rsid w:val="00C564E6"/>
    <w:rsid w:val="00C565B2"/>
    <w:rsid w:val="00C57122"/>
    <w:rsid w:val="00C5737A"/>
    <w:rsid w:val="00C57706"/>
    <w:rsid w:val="00C579B6"/>
    <w:rsid w:val="00C57B44"/>
    <w:rsid w:val="00C57C0D"/>
    <w:rsid w:val="00C57C96"/>
    <w:rsid w:val="00C57D0F"/>
    <w:rsid w:val="00C603CD"/>
    <w:rsid w:val="00C604D2"/>
    <w:rsid w:val="00C6095B"/>
    <w:rsid w:val="00C609D3"/>
    <w:rsid w:val="00C6154E"/>
    <w:rsid w:val="00C61BA0"/>
    <w:rsid w:val="00C61C9B"/>
    <w:rsid w:val="00C620AF"/>
    <w:rsid w:val="00C622F1"/>
    <w:rsid w:val="00C62931"/>
    <w:rsid w:val="00C62E12"/>
    <w:rsid w:val="00C63603"/>
    <w:rsid w:val="00C63992"/>
    <w:rsid w:val="00C63A10"/>
    <w:rsid w:val="00C63CF1"/>
    <w:rsid w:val="00C64103"/>
    <w:rsid w:val="00C641E3"/>
    <w:rsid w:val="00C6471C"/>
    <w:rsid w:val="00C64CF7"/>
    <w:rsid w:val="00C654A3"/>
    <w:rsid w:val="00C655F1"/>
    <w:rsid w:val="00C656A5"/>
    <w:rsid w:val="00C65E7C"/>
    <w:rsid w:val="00C65EE5"/>
    <w:rsid w:val="00C66EA1"/>
    <w:rsid w:val="00C6778A"/>
    <w:rsid w:val="00C6789A"/>
    <w:rsid w:val="00C67BD8"/>
    <w:rsid w:val="00C67DA6"/>
    <w:rsid w:val="00C70095"/>
    <w:rsid w:val="00C702C9"/>
    <w:rsid w:val="00C703FD"/>
    <w:rsid w:val="00C7054B"/>
    <w:rsid w:val="00C70C44"/>
    <w:rsid w:val="00C70F13"/>
    <w:rsid w:val="00C71071"/>
    <w:rsid w:val="00C71267"/>
    <w:rsid w:val="00C71C49"/>
    <w:rsid w:val="00C723DC"/>
    <w:rsid w:val="00C72CFB"/>
    <w:rsid w:val="00C73033"/>
    <w:rsid w:val="00C7364A"/>
    <w:rsid w:val="00C736DD"/>
    <w:rsid w:val="00C740B8"/>
    <w:rsid w:val="00C748AD"/>
    <w:rsid w:val="00C749E3"/>
    <w:rsid w:val="00C750AF"/>
    <w:rsid w:val="00C75701"/>
    <w:rsid w:val="00C7573B"/>
    <w:rsid w:val="00C7595D"/>
    <w:rsid w:val="00C75EE1"/>
    <w:rsid w:val="00C75F0B"/>
    <w:rsid w:val="00C761CC"/>
    <w:rsid w:val="00C76501"/>
    <w:rsid w:val="00C7655F"/>
    <w:rsid w:val="00C76B76"/>
    <w:rsid w:val="00C76E05"/>
    <w:rsid w:val="00C76E0E"/>
    <w:rsid w:val="00C7728C"/>
    <w:rsid w:val="00C77735"/>
    <w:rsid w:val="00C77793"/>
    <w:rsid w:val="00C778C8"/>
    <w:rsid w:val="00C77C4B"/>
    <w:rsid w:val="00C77EAB"/>
    <w:rsid w:val="00C801A1"/>
    <w:rsid w:val="00C804ED"/>
    <w:rsid w:val="00C80D6C"/>
    <w:rsid w:val="00C80DFF"/>
    <w:rsid w:val="00C80E72"/>
    <w:rsid w:val="00C810E2"/>
    <w:rsid w:val="00C81294"/>
    <w:rsid w:val="00C815D5"/>
    <w:rsid w:val="00C81A70"/>
    <w:rsid w:val="00C81E40"/>
    <w:rsid w:val="00C82165"/>
    <w:rsid w:val="00C826AF"/>
    <w:rsid w:val="00C830C4"/>
    <w:rsid w:val="00C8321C"/>
    <w:rsid w:val="00C835E6"/>
    <w:rsid w:val="00C83B1F"/>
    <w:rsid w:val="00C83E08"/>
    <w:rsid w:val="00C83ECF"/>
    <w:rsid w:val="00C845A8"/>
    <w:rsid w:val="00C85608"/>
    <w:rsid w:val="00C856AB"/>
    <w:rsid w:val="00C85A0B"/>
    <w:rsid w:val="00C85BFA"/>
    <w:rsid w:val="00C85D35"/>
    <w:rsid w:val="00C86597"/>
    <w:rsid w:val="00C870DC"/>
    <w:rsid w:val="00C872F2"/>
    <w:rsid w:val="00C87AC0"/>
    <w:rsid w:val="00C87D17"/>
    <w:rsid w:val="00C87D5C"/>
    <w:rsid w:val="00C87E50"/>
    <w:rsid w:val="00C900D0"/>
    <w:rsid w:val="00C906E1"/>
    <w:rsid w:val="00C90FDC"/>
    <w:rsid w:val="00C914E1"/>
    <w:rsid w:val="00C9206B"/>
    <w:rsid w:val="00C921D8"/>
    <w:rsid w:val="00C9268E"/>
    <w:rsid w:val="00C926D5"/>
    <w:rsid w:val="00C93143"/>
    <w:rsid w:val="00C93223"/>
    <w:rsid w:val="00C932F1"/>
    <w:rsid w:val="00C94039"/>
    <w:rsid w:val="00C9427C"/>
    <w:rsid w:val="00C946C1"/>
    <w:rsid w:val="00C94A2C"/>
    <w:rsid w:val="00C94A9B"/>
    <w:rsid w:val="00C94B5C"/>
    <w:rsid w:val="00C94B64"/>
    <w:rsid w:val="00C951D9"/>
    <w:rsid w:val="00C9595F"/>
    <w:rsid w:val="00C9635E"/>
    <w:rsid w:val="00C9650D"/>
    <w:rsid w:val="00C97352"/>
    <w:rsid w:val="00C97369"/>
    <w:rsid w:val="00CA02AA"/>
    <w:rsid w:val="00CA054C"/>
    <w:rsid w:val="00CA0591"/>
    <w:rsid w:val="00CA0A58"/>
    <w:rsid w:val="00CA0BBC"/>
    <w:rsid w:val="00CA0FE8"/>
    <w:rsid w:val="00CA13D8"/>
    <w:rsid w:val="00CA2225"/>
    <w:rsid w:val="00CA2BFD"/>
    <w:rsid w:val="00CA37C8"/>
    <w:rsid w:val="00CA3914"/>
    <w:rsid w:val="00CA3960"/>
    <w:rsid w:val="00CA4150"/>
    <w:rsid w:val="00CA4414"/>
    <w:rsid w:val="00CA4C93"/>
    <w:rsid w:val="00CA4D69"/>
    <w:rsid w:val="00CA585E"/>
    <w:rsid w:val="00CA5B6D"/>
    <w:rsid w:val="00CA6151"/>
    <w:rsid w:val="00CA6264"/>
    <w:rsid w:val="00CA6D0F"/>
    <w:rsid w:val="00CA6EF4"/>
    <w:rsid w:val="00CA752C"/>
    <w:rsid w:val="00CA75E6"/>
    <w:rsid w:val="00CA7A19"/>
    <w:rsid w:val="00CA7EB0"/>
    <w:rsid w:val="00CB02B1"/>
    <w:rsid w:val="00CB0499"/>
    <w:rsid w:val="00CB0C26"/>
    <w:rsid w:val="00CB0FED"/>
    <w:rsid w:val="00CB1167"/>
    <w:rsid w:val="00CB1CD8"/>
    <w:rsid w:val="00CB1E7C"/>
    <w:rsid w:val="00CB295D"/>
    <w:rsid w:val="00CB29D4"/>
    <w:rsid w:val="00CB2CE2"/>
    <w:rsid w:val="00CB2E26"/>
    <w:rsid w:val="00CB2E3E"/>
    <w:rsid w:val="00CB32FD"/>
    <w:rsid w:val="00CB41F9"/>
    <w:rsid w:val="00CB42AB"/>
    <w:rsid w:val="00CB4767"/>
    <w:rsid w:val="00CB47AC"/>
    <w:rsid w:val="00CB47BC"/>
    <w:rsid w:val="00CB4CBC"/>
    <w:rsid w:val="00CB4E4C"/>
    <w:rsid w:val="00CB4E4E"/>
    <w:rsid w:val="00CB5411"/>
    <w:rsid w:val="00CB591B"/>
    <w:rsid w:val="00CB5D50"/>
    <w:rsid w:val="00CB6332"/>
    <w:rsid w:val="00CB667F"/>
    <w:rsid w:val="00CB6C0B"/>
    <w:rsid w:val="00CB707B"/>
    <w:rsid w:val="00CB71EC"/>
    <w:rsid w:val="00CB7680"/>
    <w:rsid w:val="00CB783E"/>
    <w:rsid w:val="00CB78A9"/>
    <w:rsid w:val="00CB79A2"/>
    <w:rsid w:val="00CB7FF8"/>
    <w:rsid w:val="00CC1242"/>
    <w:rsid w:val="00CC1797"/>
    <w:rsid w:val="00CC19B1"/>
    <w:rsid w:val="00CC2260"/>
    <w:rsid w:val="00CC27C6"/>
    <w:rsid w:val="00CC287C"/>
    <w:rsid w:val="00CC28FB"/>
    <w:rsid w:val="00CC29C2"/>
    <w:rsid w:val="00CC2FFF"/>
    <w:rsid w:val="00CC35E3"/>
    <w:rsid w:val="00CC379B"/>
    <w:rsid w:val="00CC3BE8"/>
    <w:rsid w:val="00CC3D8A"/>
    <w:rsid w:val="00CC469D"/>
    <w:rsid w:val="00CC4728"/>
    <w:rsid w:val="00CC53D3"/>
    <w:rsid w:val="00CC54C8"/>
    <w:rsid w:val="00CC57BD"/>
    <w:rsid w:val="00CC5BCC"/>
    <w:rsid w:val="00CC5EDA"/>
    <w:rsid w:val="00CC64AB"/>
    <w:rsid w:val="00CC74A3"/>
    <w:rsid w:val="00CC7F6D"/>
    <w:rsid w:val="00CD0AC0"/>
    <w:rsid w:val="00CD0B5F"/>
    <w:rsid w:val="00CD0C96"/>
    <w:rsid w:val="00CD0D48"/>
    <w:rsid w:val="00CD0E3D"/>
    <w:rsid w:val="00CD0EC7"/>
    <w:rsid w:val="00CD1138"/>
    <w:rsid w:val="00CD1C0C"/>
    <w:rsid w:val="00CD1C6F"/>
    <w:rsid w:val="00CD1E02"/>
    <w:rsid w:val="00CD2477"/>
    <w:rsid w:val="00CD24CA"/>
    <w:rsid w:val="00CD2BC2"/>
    <w:rsid w:val="00CD2C74"/>
    <w:rsid w:val="00CD2C9B"/>
    <w:rsid w:val="00CD328E"/>
    <w:rsid w:val="00CD3D04"/>
    <w:rsid w:val="00CD3DED"/>
    <w:rsid w:val="00CD40EF"/>
    <w:rsid w:val="00CD43CF"/>
    <w:rsid w:val="00CD45B4"/>
    <w:rsid w:val="00CD47DB"/>
    <w:rsid w:val="00CD4EF9"/>
    <w:rsid w:val="00CD5610"/>
    <w:rsid w:val="00CD5998"/>
    <w:rsid w:val="00CD6151"/>
    <w:rsid w:val="00CD64E6"/>
    <w:rsid w:val="00CD6687"/>
    <w:rsid w:val="00CD67B5"/>
    <w:rsid w:val="00CD68E8"/>
    <w:rsid w:val="00CD6B9A"/>
    <w:rsid w:val="00CD6BA2"/>
    <w:rsid w:val="00CD7C25"/>
    <w:rsid w:val="00CE0606"/>
    <w:rsid w:val="00CE078B"/>
    <w:rsid w:val="00CE1037"/>
    <w:rsid w:val="00CE15D8"/>
    <w:rsid w:val="00CE1A73"/>
    <w:rsid w:val="00CE1F24"/>
    <w:rsid w:val="00CE2147"/>
    <w:rsid w:val="00CE2149"/>
    <w:rsid w:val="00CE21DE"/>
    <w:rsid w:val="00CE2468"/>
    <w:rsid w:val="00CE270C"/>
    <w:rsid w:val="00CE29AB"/>
    <w:rsid w:val="00CE2D12"/>
    <w:rsid w:val="00CE308D"/>
    <w:rsid w:val="00CE325A"/>
    <w:rsid w:val="00CE35D4"/>
    <w:rsid w:val="00CE3AB9"/>
    <w:rsid w:val="00CE3FD4"/>
    <w:rsid w:val="00CE3FDB"/>
    <w:rsid w:val="00CE40F8"/>
    <w:rsid w:val="00CE4341"/>
    <w:rsid w:val="00CE45CF"/>
    <w:rsid w:val="00CE49D5"/>
    <w:rsid w:val="00CE4FE6"/>
    <w:rsid w:val="00CE5699"/>
    <w:rsid w:val="00CE5EB5"/>
    <w:rsid w:val="00CE6503"/>
    <w:rsid w:val="00CE67A8"/>
    <w:rsid w:val="00CE6A01"/>
    <w:rsid w:val="00CE6D9D"/>
    <w:rsid w:val="00CE793E"/>
    <w:rsid w:val="00CE7BCF"/>
    <w:rsid w:val="00CE7F80"/>
    <w:rsid w:val="00CF0405"/>
    <w:rsid w:val="00CF09C6"/>
    <w:rsid w:val="00CF0A4B"/>
    <w:rsid w:val="00CF0FFA"/>
    <w:rsid w:val="00CF12CE"/>
    <w:rsid w:val="00CF15D5"/>
    <w:rsid w:val="00CF162B"/>
    <w:rsid w:val="00CF176A"/>
    <w:rsid w:val="00CF1ABF"/>
    <w:rsid w:val="00CF1F64"/>
    <w:rsid w:val="00CF1FBF"/>
    <w:rsid w:val="00CF2416"/>
    <w:rsid w:val="00CF2B44"/>
    <w:rsid w:val="00CF2BC9"/>
    <w:rsid w:val="00CF2C71"/>
    <w:rsid w:val="00CF2F40"/>
    <w:rsid w:val="00CF3101"/>
    <w:rsid w:val="00CF31C0"/>
    <w:rsid w:val="00CF344A"/>
    <w:rsid w:val="00CF3596"/>
    <w:rsid w:val="00CF36A4"/>
    <w:rsid w:val="00CF39EC"/>
    <w:rsid w:val="00CF3D33"/>
    <w:rsid w:val="00CF45E2"/>
    <w:rsid w:val="00CF46BA"/>
    <w:rsid w:val="00CF47B6"/>
    <w:rsid w:val="00CF4E6C"/>
    <w:rsid w:val="00CF4E76"/>
    <w:rsid w:val="00CF4F9A"/>
    <w:rsid w:val="00CF546E"/>
    <w:rsid w:val="00CF5AC4"/>
    <w:rsid w:val="00CF5DC6"/>
    <w:rsid w:val="00CF6641"/>
    <w:rsid w:val="00CF67E1"/>
    <w:rsid w:val="00CF682F"/>
    <w:rsid w:val="00CF6961"/>
    <w:rsid w:val="00CF6E9F"/>
    <w:rsid w:val="00CF70AF"/>
    <w:rsid w:val="00D003DC"/>
    <w:rsid w:val="00D005E3"/>
    <w:rsid w:val="00D00836"/>
    <w:rsid w:val="00D00FCE"/>
    <w:rsid w:val="00D019E4"/>
    <w:rsid w:val="00D01DDC"/>
    <w:rsid w:val="00D02681"/>
    <w:rsid w:val="00D028AC"/>
    <w:rsid w:val="00D028F5"/>
    <w:rsid w:val="00D032B0"/>
    <w:rsid w:val="00D040F7"/>
    <w:rsid w:val="00D04A7B"/>
    <w:rsid w:val="00D04BD1"/>
    <w:rsid w:val="00D04C46"/>
    <w:rsid w:val="00D04CD5"/>
    <w:rsid w:val="00D04D81"/>
    <w:rsid w:val="00D04E1D"/>
    <w:rsid w:val="00D0508C"/>
    <w:rsid w:val="00D05301"/>
    <w:rsid w:val="00D054C8"/>
    <w:rsid w:val="00D0560F"/>
    <w:rsid w:val="00D0571C"/>
    <w:rsid w:val="00D060B9"/>
    <w:rsid w:val="00D0676C"/>
    <w:rsid w:val="00D070B6"/>
    <w:rsid w:val="00D07706"/>
    <w:rsid w:val="00D078EC"/>
    <w:rsid w:val="00D07C47"/>
    <w:rsid w:val="00D07E7B"/>
    <w:rsid w:val="00D07F9C"/>
    <w:rsid w:val="00D101BA"/>
    <w:rsid w:val="00D101F2"/>
    <w:rsid w:val="00D10835"/>
    <w:rsid w:val="00D10E1A"/>
    <w:rsid w:val="00D11B79"/>
    <w:rsid w:val="00D11E9D"/>
    <w:rsid w:val="00D12A34"/>
    <w:rsid w:val="00D13627"/>
    <w:rsid w:val="00D13E3C"/>
    <w:rsid w:val="00D13FE4"/>
    <w:rsid w:val="00D1536C"/>
    <w:rsid w:val="00D15AD4"/>
    <w:rsid w:val="00D15C6E"/>
    <w:rsid w:val="00D15E59"/>
    <w:rsid w:val="00D16096"/>
    <w:rsid w:val="00D162E8"/>
    <w:rsid w:val="00D16ABE"/>
    <w:rsid w:val="00D16CA7"/>
    <w:rsid w:val="00D16D0D"/>
    <w:rsid w:val="00D16DEE"/>
    <w:rsid w:val="00D1779D"/>
    <w:rsid w:val="00D179B9"/>
    <w:rsid w:val="00D17B9C"/>
    <w:rsid w:val="00D17E01"/>
    <w:rsid w:val="00D17FFA"/>
    <w:rsid w:val="00D20073"/>
    <w:rsid w:val="00D203A8"/>
    <w:rsid w:val="00D2087F"/>
    <w:rsid w:val="00D20C13"/>
    <w:rsid w:val="00D20D70"/>
    <w:rsid w:val="00D21AF2"/>
    <w:rsid w:val="00D21BB4"/>
    <w:rsid w:val="00D21EAC"/>
    <w:rsid w:val="00D2228F"/>
    <w:rsid w:val="00D22ECD"/>
    <w:rsid w:val="00D23093"/>
    <w:rsid w:val="00D23333"/>
    <w:rsid w:val="00D233A8"/>
    <w:rsid w:val="00D236E9"/>
    <w:rsid w:val="00D23755"/>
    <w:rsid w:val="00D238D1"/>
    <w:rsid w:val="00D238EE"/>
    <w:rsid w:val="00D23924"/>
    <w:rsid w:val="00D249F4"/>
    <w:rsid w:val="00D24FE7"/>
    <w:rsid w:val="00D25137"/>
    <w:rsid w:val="00D25378"/>
    <w:rsid w:val="00D25697"/>
    <w:rsid w:val="00D25A18"/>
    <w:rsid w:val="00D25BAE"/>
    <w:rsid w:val="00D25C6D"/>
    <w:rsid w:val="00D261BC"/>
    <w:rsid w:val="00D2646A"/>
    <w:rsid w:val="00D26D21"/>
    <w:rsid w:val="00D27322"/>
    <w:rsid w:val="00D273C2"/>
    <w:rsid w:val="00D2762E"/>
    <w:rsid w:val="00D27C19"/>
    <w:rsid w:val="00D27C42"/>
    <w:rsid w:val="00D27FA6"/>
    <w:rsid w:val="00D3045F"/>
    <w:rsid w:val="00D30E4E"/>
    <w:rsid w:val="00D311AA"/>
    <w:rsid w:val="00D32A9F"/>
    <w:rsid w:val="00D32C7C"/>
    <w:rsid w:val="00D32E1D"/>
    <w:rsid w:val="00D332BF"/>
    <w:rsid w:val="00D336DC"/>
    <w:rsid w:val="00D3375E"/>
    <w:rsid w:val="00D33E4B"/>
    <w:rsid w:val="00D35847"/>
    <w:rsid w:val="00D359BF"/>
    <w:rsid w:val="00D35BF4"/>
    <w:rsid w:val="00D36638"/>
    <w:rsid w:val="00D36810"/>
    <w:rsid w:val="00D3690B"/>
    <w:rsid w:val="00D36B44"/>
    <w:rsid w:val="00D36EA4"/>
    <w:rsid w:val="00D37644"/>
    <w:rsid w:val="00D37962"/>
    <w:rsid w:val="00D40547"/>
    <w:rsid w:val="00D4076C"/>
    <w:rsid w:val="00D40B30"/>
    <w:rsid w:val="00D412DA"/>
    <w:rsid w:val="00D41453"/>
    <w:rsid w:val="00D42269"/>
    <w:rsid w:val="00D422A9"/>
    <w:rsid w:val="00D4239D"/>
    <w:rsid w:val="00D42420"/>
    <w:rsid w:val="00D425DD"/>
    <w:rsid w:val="00D429C0"/>
    <w:rsid w:val="00D4328B"/>
    <w:rsid w:val="00D4372C"/>
    <w:rsid w:val="00D437EE"/>
    <w:rsid w:val="00D43846"/>
    <w:rsid w:val="00D43A61"/>
    <w:rsid w:val="00D4414D"/>
    <w:rsid w:val="00D441DF"/>
    <w:rsid w:val="00D4445D"/>
    <w:rsid w:val="00D4462B"/>
    <w:rsid w:val="00D4471C"/>
    <w:rsid w:val="00D44B28"/>
    <w:rsid w:val="00D45C4F"/>
    <w:rsid w:val="00D463A7"/>
    <w:rsid w:val="00D4685B"/>
    <w:rsid w:val="00D46A31"/>
    <w:rsid w:val="00D4787F"/>
    <w:rsid w:val="00D47C72"/>
    <w:rsid w:val="00D50197"/>
    <w:rsid w:val="00D503CE"/>
    <w:rsid w:val="00D503E7"/>
    <w:rsid w:val="00D508BC"/>
    <w:rsid w:val="00D51050"/>
    <w:rsid w:val="00D513FA"/>
    <w:rsid w:val="00D51483"/>
    <w:rsid w:val="00D51491"/>
    <w:rsid w:val="00D51757"/>
    <w:rsid w:val="00D51A9B"/>
    <w:rsid w:val="00D51AC8"/>
    <w:rsid w:val="00D52157"/>
    <w:rsid w:val="00D52230"/>
    <w:rsid w:val="00D5242C"/>
    <w:rsid w:val="00D52672"/>
    <w:rsid w:val="00D53C2C"/>
    <w:rsid w:val="00D53D6C"/>
    <w:rsid w:val="00D53EAA"/>
    <w:rsid w:val="00D54202"/>
    <w:rsid w:val="00D545B2"/>
    <w:rsid w:val="00D54716"/>
    <w:rsid w:val="00D547D8"/>
    <w:rsid w:val="00D54A61"/>
    <w:rsid w:val="00D550EB"/>
    <w:rsid w:val="00D559BB"/>
    <w:rsid w:val="00D55FE8"/>
    <w:rsid w:val="00D5601F"/>
    <w:rsid w:val="00D56E53"/>
    <w:rsid w:val="00D57447"/>
    <w:rsid w:val="00D601B3"/>
    <w:rsid w:val="00D602C2"/>
    <w:rsid w:val="00D60611"/>
    <w:rsid w:val="00D61A7B"/>
    <w:rsid w:val="00D61AA5"/>
    <w:rsid w:val="00D61FDF"/>
    <w:rsid w:val="00D6286E"/>
    <w:rsid w:val="00D62E24"/>
    <w:rsid w:val="00D635C0"/>
    <w:rsid w:val="00D63797"/>
    <w:rsid w:val="00D642B9"/>
    <w:rsid w:val="00D64820"/>
    <w:rsid w:val="00D657B1"/>
    <w:rsid w:val="00D65F1F"/>
    <w:rsid w:val="00D669EB"/>
    <w:rsid w:val="00D66B56"/>
    <w:rsid w:val="00D6715E"/>
    <w:rsid w:val="00D672C1"/>
    <w:rsid w:val="00D67695"/>
    <w:rsid w:val="00D678FA"/>
    <w:rsid w:val="00D67B6B"/>
    <w:rsid w:val="00D67EC7"/>
    <w:rsid w:val="00D70028"/>
    <w:rsid w:val="00D7031A"/>
    <w:rsid w:val="00D7084A"/>
    <w:rsid w:val="00D70873"/>
    <w:rsid w:val="00D70AF8"/>
    <w:rsid w:val="00D70DB1"/>
    <w:rsid w:val="00D7115E"/>
    <w:rsid w:val="00D71188"/>
    <w:rsid w:val="00D71398"/>
    <w:rsid w:val="00D71619"/>
    <w:rsid w:val="00D71AAB"/>
    <w:rsid w:val="00D71AEF"/>
    <w:rsid w:val="00D72451"/>
    <w:rsid w:val="00D72517"/>
    <w:rsid w:val="00D726FC"/>
    <w:rsid w:val="00D727DF"/>
    <w:rsid w:val="00D72B51"/>
    <w:rsid w:val="00D72D55"/>
    <w:rsid w:val="00D72EEB"/>
    <w:rsid w:val="00D73117"/>
    <w:rsid w:val="00D731AB"/>
    <w:rsid w:val="00D736E1"/>
    <w:rsid w:val="00D73FCE"/>
    <w:rsid w:val="00D741AA"/>
    <w:rsid w:val="00D745D0"/>
    <w:rsid w:val="00D7489A"/>
    <w:rsid w:val="00D753C5"/>
    <w:rsid w:val="00D7549D"/>
    <w:rsid w:val="00D754E8"/>
    <w:rsid w:val="00D75BE1"/>
    <w:rsid w:val="00D75C30"/>
    <w:rsid w:val="00D75DB7"/>
    <w:rsid w:val="00D76277"/>
    <w:rsid w:val="00D768EB"/>
    <w:rsid w:val="00D76BE9"/>
    <w:rsid w:val="00D77027"/>
    <w:rsid w:val="00D7706F"/>
    <w:rsid w:val="00D77C8C"/>
    <w:rsid w:val="00D8044E"/>
    <w:rsid w:val="00D8048C"/>
    <w:rsid w:val="00D80525"/>
    <w:rsid w:val="00D80540"/>
    <w:rsid w:val="00D80B5D"/>
    <w:rsid w:val="00D81141"/>
    <w:rsid w:val="00D81486"/>
    <w:rsid w:val="00D81A0E"/>
    <w:rsid w:val="00D81B96"/>
    <w:rsid w:val="00D827CA"/>
    <w:rsid w:val="00D82A04"/>
    <w:rsid w:val="00D82A0B"/>
    <w:rsid w:val="00D82AAF"/>
    <w:rsid w:val="00D82D3E"/>
    <w:rsid w:val="00D82E88"/>
    <w:rsid w:val="00D83259"/>
    <w:rsid w:val="00D83F66"/>
    <w:rsid w:val="00D847EF"/>
    <w:rsid w:val="00D84A31"/>
    <w:rsid w:val="00D84BC9"/>
    <w:rsid w:val="00D84F22"/>
    <w:rsid w:val="00D8551D"/>
    <w:rsid w:val="00D857C3"/>
    <w:rsid w:val="00D860DB"/>
    <w:rsid w:val="00D86999"/>
    <w:rsid w:val="00D86A51"/>
    <w:rsid w:val="00D86A72"/>
    <w:rsid w:val="00D86ACF"/>
    <w:rsid w:val="00D86C86"/>
    <w:rsid w:val="00D86E6A"/>
    <w:rsid w:val="00D86FF6"/>
    <w:rsid w:val="00D87270"/>
    <w:rsid w:val="00D87371"/>
    <w:rsid w:val="00D901A4"/>
    <w:rsid w:val="00D903E7"/>
    <w:rsid w:val="00D905F3"/>
    <w:rsid w:val="00D907D3"/>
    <w:rsid w:val="00D90BCF"/>
    <w:rsid w:val="00D90E7F"/>
    <w:rsid w:val="00D90FEC"/>
    <w:rsid w:val="00D91866"/>
    <w:rsid w:val="00D91FBA"/>
    <w:rsid w:val="00D92313"/>
    <w:rsid w:val="00D923BE"/>
    <w:rsid w:val="00D92508"/>
    <w:rsid w:val="00D92B1D"/>
    <w:rsid w:val="00D92C2E"/>
    <w:rsid w:val="00D935DA"/>
    <w:rsid w:val="00D93DEC"/>
    <w:rsid w:val="00D946E0"/>
    <w:rsid w:val="00D948BB"/>
    <w:rsid w:val="00D94ACB"/>
    <w:rsid w:val="00D94C10"/>
    <w:rsid w:val="00D94C1E"/>
    <w:rsid w:val="00D95058"/>
    <w:rsid w:val="00D95EA6"/>
    <w:rsid w:val="00D961BD"/>
    <w:rsid w:val="00D963C2"/>
    <w:rsid w:val="00D963D4"/>
    <w:rsid w:val="00D96727"/>
    <w:rsid w:val="00D96782"/>
    <w:rsid w:val="00D96D93"/>
    <w:rsid w:val="00D96F82"/>
    <w:rsid w:val="00D97DBD"/>
    <w:rsid w:val="00D97E65"/>
    <w:rsid w:val="00DA01A9"/>
    <w:rsid w:val="00DA094A"/>
    <w:rsid w:val="00DA0970"/>
    <w:rsid w:val="00DA0B74"/>
    <w:rsid w:val="00DA0D41"/>
    <w:rsid w:val="00DA11E5"/>
    <w:rsid w:val="00DA146E"/>
    <w:rsid w:val="00DA1B44"/>
    <w:rsid w:val="00DA28EE"/>
    <w:rsid w:val="00DA2DE7"/>
    <w:rsid w:val="00DA4780"/>
    <w:rsid w:val="00DA497F"/>
    <w:rsid w:val="00DA4C44"/>
    <w:rsid w:val="00DA4D04"/>
    <w:rsid w:val="00DA501C"/>
    <w:rsid w:val="00DA5393"/>
    <w:rsid w:val="00DA5814"/>
    <w:rsid w:val="00DA5E07"/>
    <w:rsid w:val="00DA5E77"/>
    <w:rsid w:val="00DA5E7A"/>
    <w:rsid w:val="00DA5EB5"/>
    <w:rsid w:val="00DA6540"/>
    <w:rsid w:val="00DA67B6"/>
    <w:rsid w:val="00DA6B2A"/>
    <w:rsid w:val="00DA6F69"/>
    <w:rsid w:val="00DA7341"/>
    <w:rsid w:val="00DA73C5"/>
    <w:rsid w:val="00DA747F"/>
    <w:rsid w:val="00DA74BC"/>
    <w:rsid w:val="00DA75B6"/>
    <w:rsid w:val="00DA763E"/>
    <w:rsid w:val="00DA7698"/>
    <w:rsid w:val="00DA7842"/>
    <w:rsid w:val="00DA7963"/>
    <w:rsid w:val="00DA7D37"/>
    <w:rsid w:val="00DA7F0A"/>
    <w:rsid w:val="00DB0591"/>
    <w:rsid w:val="00DB0C9E"/>
    <w:rsid w:val="00DB0DDC"/>
    <w:rsid w:val="00DB0F56"/>
    <w:rsid w:val="00DB16B0"/>
    <w:rsid w:val="00DB1A8E"/>
    <w:rsid w:val="00DB1EA5"/>
    <w:rsid w:val="00DB26D4"/>
    <w:rsid w:val="00DB2EBA"/>
    <w:rsid w:val="00DB3363"/>
    <w:rsid w:val="00DB3D0A"/>
    <w:rsid w:val="00DB3EFE"/>
    <w:rsid w:val="00DB44E5"/>
    <w:rsid w:val="00DB4691"/>
    <w:rsid w:val="00DB49D0"/>
    <w:rsid w:val="00DB4B5E"/>
    <w:rsid w:val="00DB4CB8"/>
    <w:rsid w:val="00DB4E99"/>
    <w:rsid w:val="00DB5462"/>
    <w:rsid w:val="00DB5687"/>
    <w:rsid w:val="00DB611E"/>
    <w:rsid w:val="00DB66E7"/>
    <w:rsid w:val="00DB6820"/>
    <w:rsid w:val="00DB697F"/>
    <w:rsid w:val="00DB6EAE"/>
    <w:rsid w:val="00DB6FC1"/>
    <w:rsid w:val="00DB7238"/>
    <w:rsid w:val="00DB72F3"/>
    <w:rsid w:val="00DB75B8"/>
    <w:rsid w:val="00DB79B0"/>
    <w:rsid w:val="00DB7AA7"/>
    <w:rsid w:val="00DC031F"/>
    <w:rsid w:val="00DC088C"/>
    <w:rsid w:val="00DC1181"/>
    <w:rsid w:val="00DC170F"/>
    <w:rsid w:val="00DC1F11"/>
    <w:rsid w:val="00DC217A"/>
    <w:rsid w:val="00DC2999"/>
    <w:rsid w:val="00DC2DDE"/>
    <w:rsid w:val="00DC3335"/>
    <w:rsid w:val="00DC3C98"/>
    <w:rsid w:val="00DC3CE8"/>
    <w:rsid w:val="00DC3E97"/>
    <w:rsid w:val="00DC4178"/>
    <w:rsid w:val="00DC47BE"/>
    <w:rsid w:val="00DC4995"/>
    <w:rsid w:val="00DC4C5D"/>
    <w:rsid w:val="00DC4E41"/>
    <w:rsid w:val="00DC568F"/>
    <w:rsid w:val="00DC5B16"/>
    <w:rsid w:val="00DC65CD"/>
    <w:rsid w:val="00DC6C7B"/>
    <w:rsid w:val="00DC6CD4"/>
    <w:rsid w:val="00DC77CB"/>
    <w:rsid w:val="00DC7850"/>
    <w:rsid w:val="00DD030A"/>
    <w:rsid w:val="00DD037F"/>
    <w:rsid w:val="00DD08C1"/>
    <w:rsid w:val="00DD0940"/>
    <w:rsid w:val="00DD0A54"/>
    <w:rsid w:val="00DD0EA7"/>
    <w:rsid w:val="00DD10A4"/>
    <w:rsid w:val="00DD1114"/>
    <w:rsid w:val="00DD1328"/>
    <w:rsid w:val="00DD17D8"/>
    <w:rsid w:val="00DD1B30"/>
    <w:rsid w:val="00DD1C10"/>
    <w:rsid w:val="00DD2320"/>
    <w:rsid w:val="00DD2D52"/>
    <w:rsid w:val="00DD34F0"/>
    <w:rsid w:val="00DD3DD0"/>
    <w:rsid w:val="00DD472C"/>
    <w:rsid w:val="00DD4DCE"/>
    <w:rsid w:val="00DD4F24"/>
    <w:rsid w:val="00DD55B9"/>
    <w:rsid w:val="00DD5E54"/>
    <w:rsid w:val="00DD5E78"/>
    <w:rsid w:val="00DD6199"/>
    <w:rsid w:val="00DD6A30"/>
    <w:rsid w:val="00DD6CF2"/>
    <w:rsid w:val="00DD72D7"/>
    <w:rsid w:val="00DD735E"/>
    <w:rsid w:val="00DD73FB"/>
    <w:rsid w:val="00DD75C1"/>
    <w:rsid w:val="00DE0872"/>
    <w:rsid w:val="00DE0E19"/>
    <w:rsid w:val="00DE10EB"/>
    <w:rsid w:val="00DE171A"/>
    <w:rsid w:val="00DE1BF0"/>
    <w:rsid w:val="00DE24B6"/>
    <w:rsid w:val="00DE24F8"/>
    <w:rsid w:val="00DE3512"/>
    <w:rsid w:val="00DE3D1D"/>
    <w:rsid w:val="00DE4592"/>
    <w:rsid w:val="00DE47F5"/>
    <w:rsid w:val="00DE4D8E"/>
    <w:rsid w:val="00DE53EB"/>
    <w:rsid w:val="00DE562E"/>
    <w:rsid w:val="00DE59CA"/>
    <w:rsid w:val="00DE5C0D"/>
    <w:rsid w:val="00DE5D34"/>
    <w:rsid w:val="00DE6D5B"/>
    <w:rsid w:val="00DE6F88"/>
    <w:rsid w:val="00DE71B0"/>
    <w:rsid w:val="00DE748A"/>
    <w:rsid w:val="00DE78F5"/>
    <w:rsid w:val="00DE7956"/>
    <w:rsid w:val="00DE7D21"/>
    <w:rsid w:val="00DE7D3C"/>
    <w:rsid w:val="00DF014D"/>
    <w:rsid w:val="00DF06DE"/>
    <w:rsid w:val="00DF0C96"/>
    <w:rsid w:val="00DF1268"/>
    <w:rsid w:val="00DF1C0D"/>
    <w:rsid w:val="00DF1ED1"/>
    <w:rsid w:val="00DF211A"/>
    <w:rsid w:val="00DF261D"/>
    <w:rsid w:val="00DF2770"/>
    <w:rsid w:val="00DF2C02"/>
    <w:rsid w:val="00DF2C64"/>
    <w:rsid w:val="00DF325D"/>
    <w:rsid w:val="00DF3322"/>
    <w:rsid w:val="00DF357F"/>
    <w:rsid w:val="00DF36ED"/>
    <w:rsid w:val="00DF3FA4"/>
    <w:rsid w:val="00DF3FE7"/>
    <w:rsid w:val="00DF3FF2"/>
    <w:rsid w:val="00DF4308"/>
    <w:rsid w:val="00DF433C"/>
    <w:rsid w:val="00DF4476"/>
    <w:rsid w:val="00DF451C"/>
    <w:rsid w:val="00DF454B"/>
    <w:rsid w:val="00DF47CF"/>
    <w:rsid w:val="00DF4A39"/>
    <w:rsid w:val="00DF4EAB"/>
    <w:rsid w:val="00DF4F42"/>
    <w:rsid w:val="00DF51BE"/>
    <w:rsid w:val="00DF5DC6"/>
    <w:rsid w:val="00DF61BE"/>
    <w:rsid w:val="00DF62A2"/>
    <w:rsid w:val="00DF6FB7"/>
    <w:rsid w:val="00DF7021"/>
    <w:rsid w:val="00DF708A"/>
    <w:rsid w:val="00DF7462"/>
    <w:rsid w:val="00DF7749"/>
    <w:rsid w:val="00DF7A3A"/>
    <w:rsid w:val="00DF7DA1"/>
    <w:rsid w:val="00E0011B"/>
    <w:rsid w:val="00E00943"/>
    <w:rsid w:val="00E00A8A"/>
    <w:rsid w:val="00E0137C"/>
    <w:rsid w:val="00E01B0F"/>
    <w:rsid w:val="00E01B2C"/>
    <w:rsid w:val="00E020B6"/>
    <w:rsid w:val="00E021A8"/>
    <w:rsid w:val="00E021C3"/>
    <w:rsid w:val="00E0246D"/>
    <w:rsid w:val="00E028E9"/>
    <w:rsid w:val="00E02B68"/>
    <w:rsid w:val="00E03154"/>
    <w:rsid w:val="00E0322F"/>
    <w:rsid w:val="00E033F2"/>
    <w:rsid w:val="00E034C6"/>
    <w:rsid w:val="00E03520"/>
    <w:rsid w:val="00E03A9C"/>
    <w:rsid w:val="00E03DBA"/>
    <w:rsid w:val="00E046AD"/>
    <w:rsid w:val="00E049D1"/>
    <w:rsid w:val="00E04B3A"/>
    <w:rsid w:val="00E052F3"/>
    <w:rsid w:val="00E05A3C"/>
    <w:rsid w:val="00E05CA7"/>
    <w:rsid w:val="00E06324"/>
    <w:rsid w:val="00E064E5"/>
    <w:rsid w:val="00E06C82"/>
    <w:rsid w:val="00E06CCC"/>
    <w:rsid w:val="00E071FB"/>
    <w:rsid w:val="00E077ED"/>
    <w:rsid w:val="00E07C66"/>
    <w:rsid w:val="00E07CBC"/>
    <w:rsid w:val="00E102E5"/>
    <w:rsid w:val="00E1087C"/>
    <w:rsid w:val="00E10B6E"/>
    <w:rsid w:val="00E10D00"/>
    <w:rsid w:val="00E111C3"/>
    <w:rsid w:val="00E11388"/>
    <w:rsid w:val="00E11B84"/>
    <w:rsid w:val="00E11FA7"/>
    <w:rsid w:val="00E11FCD"/>
    <w:rsid w:val="00E12420"/>
    <w:rsid w:val="00E131AB"/>
    <w:rsid w:val="00E134D5"/>
    <w:rsid w:val="00E134E1"/>
    <w:rsid w:val="00E13CA9"/>
    <w:rsid w:val="00E147B4"/>
    <w:rsid w:val="00E15175"/>
    <w:rsid w:val="00E153A6"/>
    <w:rsid w:val="00E15799"/>
    <w:rsid w:val="00E15CB3"/>
    <w:rsid w:val="00E16BFD"/>
    <w:rsid w:val="00E16C10"/>
    <w:rsid w:val="00E1700D"/>
    <w:rsid w:val="00E17704"/>
    <w:rsid w:val="00E17FAC"/>
    <w:rsid w:val="00E20084"/>
    <w:rsid w:val="00E2017E"/>
    <w:rsid w:val="00E203CE"/>
    <w:rsid w:val="00E20A10"/>
    <w:rsid w:val="00E20BA3"/>
    <w:rsid w:val="00E20EC5"/>
    <w:rsid w:val="00E210FE"/>
    <w:rsid w:val="00E21163"/>
    <w:rsid w:val="00E21402"/>
    <w:rsid w:val="00E21909"/>
    <w:rsid w:val="00E21A2F"/>
    <w:rsid w:val="00E22170"/>
    <w:rsid w:val="00E224BC"/>
    <w:rsid w:val="00E226B0"/>
    <w:rsid w:val="00E227F7"/>
    <w:rsid w:val="00E228BA"/>
    <w:rsid w:val="00E22990"/>
    <w:rsid w:val="00E22EE0"/>
    <w:rsid w:val="00E22FFE"/>
    <w:rsid w:val="00E2306B"/>
    <w:rsid w:val="00E24EDC"/>
    <w:rsid w:val="00E24F25"/>
    <w:rsid w:val="00E24F97"/>
    <w:rsid w:val="00E2523D"/>
    <w:rsid w:val="00E25303"/>
    <w:rsid w:val="00E253D6"/>
    <w:rsid w:val="00E255E4"/>
    <w:rsid w:val="00E2588F"/>
    <w:rsid w:val="00E269C1"/>
    <w:rsid w:val="00E26B00"/>
    <w:rsid w:val="00E2710B"/>
    <w:rsid w:val="00E27201"/>
    <w:rsid w:val="00E2733D"/>
    <w:rsid w:val="00E277C3"/>
    <w:rsid w:val="00E27AF6"/>
    <w:rsid w:val="00E27D7B"/>
    <w:rsid w:val="00E308CB"/>
    <w:rsid w:val="00E30A0E"/>
    <w:rsid w:val="00E30D17"/>
    <w:rsid w:val="00E30DE2"/>
    <w:rsid w:val="00E312B7"/>
    <w:rsid w:val="00E31925"/>
    <w:rsid w:val="00E31F2C"/>
    <w:rsid w:val="00E32298"/>
    <w:rsid w:val="00E32B29"/>
    <w:rsid w:val="00E32BDE"/>
    <w:rsid w:val="00E32DDD"/>
    <w:rsid w:val="00E3300F"/>
    <w:rsid w:val="00E33367"/>
    <w:rsid w:val="00E3395A"/>
    <w:rsid w:val="00E34610"/>
    <w:rsid w:val="00E34923"/>
    <w:rsid w:val="00E34C38"/>
    <w:rsid w:val="00E353F2"/>
    <w:rsid w:val="00E35D6C"/>
    <w:rsid w:val="00E35D82"/>
    <w:rsid w:val="00E35EB3"/>
    <w:rsid w:val="00E35ECA"/>
    <w:rsid w:val="00E361AB"/>
    <w:rsid w:val="00E3632D"/>
    <w:rsid w:val="00E36488"/>
    <w:rsid w:val="00E364D8"/>
    <w:rsid w:val="00E36512"/>
    <w:rsid w:val="00E3699E"/>
    <w:rsid w:val="00E3729D"/>
    <w:rsid w:val="00E4027E"/>
    <w:rsid w:val="00E4131E"/>
    <w:rsid w:val="00E414DB"/>
    <w:rsid w:val="00E41876"/>
    <w:rsid w:val="00E41917"/>
    <w:rsid w:val="00E41929"/>
    <w:rsid w:val="00E41D72"/>
    <w:rsid w:val="00E41F6A"/>
    <w:rsid w:val="00E41FD1"/>
    <w:rsid w:val="00E4275B"/>
    <w:rsid w:val="00E42F65"/>
    <w:rsid w:val="00E430FE"/>
    <w:rsid w:val="00E43BB7"/>
    <w:rsid w:val="00E43CB3"/>
    <w:rsid w:val="00E441C1"/>
    <w:rsid w:val="00E443D3"/>
    <w:rsid w:val="00E4451F"/>
    <w:rsid w:val="00E450DC"/>
    <w:rsid w:val="00E455FB"/>
    <w:rsid w:val="00E456E2"/>
    <w:rsid w:val="00E45785"/>
    <w:rsid w:val="00E46170"/>
    <w:rsid w:val="00E469EB"/>
    <w:rsid w:val="00E46B01"/>
    <w:rsid w:val="00E46BD5"/>
    <w:rsid w:val="00E46CAB"/>
    <w:rsid w:val="00E47062"/>
    <w:rsid w:val="00E4756B"/>
    <w:rsid w:val="00E47C0F"/>
    <w:rsid w:val="00E47DB6"/>
    <w:rsid w:val="00E505F3"/>
    <w:rsid w:val="00E507E7"/>
    <w:rsid w:val="00E50D73"/>
    <w:rsid w:val="00E51010"/>
    <w:rsid w:val="00E51CF8"/>
    <w:rsid w:val="00E51D60"/>
    <w:rsid w:val="00E51DA4"/>
    <w:rsid w:val="00E51E86"/>
    <w:rsid w:val="00E5210F"/>
    <w:rsid w:val="00E5212B"/>
    <w:rsid w:val="00E53944"/>
    <w:rsid w:val="00E53B64"/>
    <w:rsid w:val="00E54387"/>
    <w:rsid w:val="00E545FE"/>
    <w:rsid w:val="00E54656"/>
    <w:rsid w:val="00E5472E"/>
    <w:rsid w:val="00E547C3"/>
    <w:rsid w:val="00E549C9"/>
    <w:rsid w:val="00E54E3B"/>
    <w:rsid w:val="00E54ED2"/>
    <w:rsid w:val="00E55011"/>
    <w:rsid w:val="00E550EA"/>
    <w:rsid w:val="00E5517A"/>
    <w:rsid w:val="00E5524A"/>
    <w:rsid w:val="00E55BE4"/>
    <w:rsid w:val="00E56353"/>
    <w:rsid w:val="00E56CB2"/>
    <w:rsid w:val="00E56FD7"/>
    <w:rsid w:val="00E570D4"/>
    <w:rsid w:val="00E57905"/>
    <w:rsid w:val="00E57FC6"/>
    <w:rsid w:val="00E6057B"/>
    <w:rsid w:val="00E60E4B"/>
    <w:rsid w:val="00E611A1"/>
    <w:rsid w:val="00E616E1"/>
    <w:rsid w:val="00E6171F"/>
    <w:rsid w:val="00E61A96"/>
    <w:rsid w:val="00E61E9F"/>
    <w:rsid w:val="00E61F6E"/>
    <w:rsid w:val="00E62080"/>
    <w:rsid w:val="00E620CD"/>
    <w:rsid w:val="00E622F6"/>
    <w:rsid w:val="00E623FE"/>
    <w:rsid w:val="00E626CA"/>
    <w:rsid w:val="00E62CD1"/>
    <w:rsid w:val="00E62D82"/>
    <w:rsid w:val="00E62DFE"/>
    <w:rsid w:val="00E62EBF"/>
    <w:rsid w:val="00E62F88"/>
    <w:rsid w:val="00E62F97"/>
    <w:rsid w:val="00E6364D"/>
    <w:rsid w:val="00E6371C"/>
    <w:rsid w:val="00E637F5"/>
    <w:rsid w:val="00E63A98"/>
    <w:rsid w:val="00E63C6C"/>
    <w:rsid w:val="00E63CEB"/>
    <w:rsid w:val="00E63F2C"/>
    <w:rsid w:val="00E644F0"/>
    <w:rsid w:val="00E6474F"/>
    <w:rsid w:val="00E64797"/>
    <w:rsid w:val="00E64D04"/>
    <w:rsid w:val="00E64D92"/>
    <w:rsid w:val="00E64F4C"/>
    <w:rsid w:val="00E64FBD"/>
    <w:rsid w:val="00E6502D"/>
    <w:rsid w:val="00E6509B"/>
    <w:rsid w:val="00E6578A"/>
    <w:rsid w:val="00E65E5D"/>
    <w:rsid w:val="00E65EFA"/>
    <w:rsid w:val="00E66592"/>
    <w:rsid w:val="00E6693D"/>
    <w:rsid w:val="00E678AD"/>
    <w:rsid w:val="00E67B72"/>
    <w:rsid w:val="00E70239"/>
    <w:rsid w:val="00E70468"/>
    <w:rsid w:val="00E70747"/>
    <w:rsid w:val="00E70C10"/>
    <w:rsid w:val="00E70E0D"/>
    <w:rsid w:val="00E712F9"/>
    <w:rsid w:val="00E715D4"/>
    <w:rsid w:val="00E71A34"/>
    <w:rsid w:val="00E71BD3"/>
    <w:rsid w:val="00E72039"/>
    <w:rsid w:val="00E72199"/>
    <w:rsid w:val="00E72343"/>
    <w:rsid w:val="00E727ED"/>
    <w:rsid w:val="00E73065"/>
    <w:rsid w:val="00E73267"/>
    <w:rsid w:val="00E733A2"/>
    <w:rsid w:val="00E73717"/>
    <w:rsid w:val="00E737D9"/>
    <w:rsid w:val="00E73965"/>
    <w:rsid w:val="00E74516"/>
    <w:rsid w:val="00E74C5A"/>
    <w:rsid w:val="00E75056"/>
    <w:rsid w:val="00E7523E"/>
    <w:rsid w:val="00E752D5"/>
    <w:rsid w:val="00E75B6D"/>
    <w:rsid w:val="00E75C13"/>
    <w:rsid w:val="00E75DD8"/>
    <w:rsid w:val="00E761A9"/>
    <w:rsid w:val="00E76234"/>
    <w:rsid w:val="00E7629A"/>
    <w:rsid w:val="00E76300"/>
    <w:rsid w:val="00E76738"/>
    <w:rsid w:val="00E76C44"/>
    <w:rsid w:val="00E7709E"/>
    <w:rsid w:val="00E77E85"/>
    <w:rsid w:val="00E77ECA"/>
    <w:rsid w:val="00E803D2"/>
    <w:rsid w:val="00E804BF"/>
    <w:rsid w:val="00E8055C"/>
    <w:rsid w:val="00E8096A"/>
    <w:rsid w:val="00E8099C"/>
    <w:rsid w:val="00E80F2D"/>
    <w:rsid w:val="00E8119D"/>
    <w:rsid w:val="00E8152D"/>
    <w:rsid w:val="00E8238D"/>
    <w:rsid w:val="00E82AE2"/>
    <w:rsid w:val="00E831F2"/>
    <w:rsid w:val="00E839F4"/>
    <w:rsid w:val="00E84271"/>
    <w:rsid w:val="00E84333"/>
    <w:rsid w:val="00E845A7"/>
    <w:rsid w:val="00E845B1"/>
    <w:rsid w:val="00E847BA"/>
    <w:rsid w:val="00E851B6"/>
    <w:rsid w:val="00E85638"/>
    <w:rsid w:val="00E857AD"/>
    <w:rsid w:val="00E858C5"/>
    <w:rsid w:val="00E86168"/>
    <w:rsid w:val="00E863B2"/>
    <w:rsid w:val="00E86ACC"/>
    <w:rsid w:val="00E86C51"/>
    <w:rsid w:val="00E86C97"/>
    <w:rsid w:val="00E87158"/>
    <w:rsid w:val="00E87304"/>
    <w:rsid w:val="00E87C20"/>
    <w:rsid w:val="00E87CE9"/>
    <w:rsid w:val="00E87D9A"/>
    <w:rsid w:val="00E90163"/>
    <w:rsid w:val="00E9019D"/>
    <w:rsid w:val="00E90C60"/>
    <w:rsid w:val="00E90F1D"/>
    <w:rsid w:val="00E913BE"/>
    <w:rsid w:val="00E91C29"/>
    <w:rsid w:val="00E92160"/>
    <w:rsid w:val="00E92322"/>
    <w:rsid w:val="00E923DB"/>
    <w:rsid w:val="00E926BD"/>
    <w:rsid w:val="00E927DB"/>
    <w:rsid w:val="00E92926"/>
    <w:rsid w:val="00E9304A"/>
    <w:rsid w:val="00E9331C"/>
    <w:rsid w:val="00E936FF"/>
    <w:rsid w:val="00E9375F"/>
    <w:rsid w:val="00E93957"/>
    <w:rsid w:val="00E93C0F"/>
    <w:rsid w:val="00E93C9E"/>
    <w:rsid w:val="00E952A7"/>
    <w:rsid w:val="00E95320"/>
    <w:rsid w:val="00E95321"/>
    <w:rsid w:val="00E9533F"/>
    <w:rsid w:val="00E958B8"/>
    <w:rsid w:val="00E96356"/>
    <w:rsid w:val="00E96412"/>
    <w:rsid w:val="00E968CF"/>
    <w:rsid w:val="00E968E4"/>
    <w:rsid w:val="00E96E3A"/>
    <w:rsid w:val="00E9714D"/>
    <w:rsid w:val="00E973F5"/>
    <w:rsid w:val="00E9777E"/>
    <w:rsid w:val="00E97AE1"/>
    <w:rsid w:val="00E97F61"/>
    <w:rsid w:val="00EA00BE"/>
    <w:rsid w:val="00EA0178"/>
    <w:rsid w:val="00EA02D4"/>
    <w:rsid w:val="00EA04FD"/>
    <w:rsid w:val="00EA06F0"/>
    <w:rsid w:val="00EA2159"/>
    <w:rsid w:val="00EA30C9"/>
    <w:rsid w:val="00EA3807"/>
    <w:rsid w:val="00EA3D52"/>
    <w:rsid w:val="00EA3FD7"/>
    <w:rsid w:val="00EA404B"/>
    <w:rsid w:val="00EA4931"/>
    <w:rsid w:val="00EA4E08"/>
    <w:rsid w:val="00EA50A2"/>
    <w:rsid w:val="00EA5931"/>
    <w:rsid w:val="00EA5C0C"/>
    <w:rsid w:val="00EA5C18"/>
    <w:rsid w:val="00EA5C42"/>
    <w:rsid w:val="00EA5C86"/>
    <w:rsid w:val="00EA6186"/>
    <w:rsid w:val="00EA677F"/>
    <w:rsid w:val="00EA6CCB"/>
    <w:rsid w:val="00EA7052"/>
    <w:rsid w:val="00EA707E"/>
    <w:rsid w:val="00EA732E"/>
    <w:rsid w:val="00EA758A"/>
    <w:rsid w:val="00EA76FA"/>
    <w:rsid w:val="00EA786F"/>
    <w:rsid w:val="00EA7A15"/>
    <w:rsid w:val="00EA7D4C"/>
    <w:rsid w:val="00EA7FF3"/>
    <w:rsid w:val="00EB042D"/>
    <w:rsid w:val="00EB0D0C"/>
    <w:rsid w:val="00EB11B0"/>
    <w:rsid w:val="00EB1433"/>
    <w:rsid w:val="00EB14D4"/>
    <w:rsid w:val="00EB19F5"/>
    <w:rsid w:val="00EB1A2D"/>
    <w:rsid w:val="00EB1EC9"/>
    <w:rsid w:val="00EB2095"/>
    <w:rsid w:val="00EB21C8"/>
    <w:rsid w:val="00EB2749"/>
    <w:rsid w:val="00EB2D94"/>
    <w:rsid w:val="00EB3588"/>
    <w:rsid w:val="00EB3856"/>
    <w:rsid w:val="00EB3A6B"/>
    <w:rsid w:val="00EB3A8C"/>
    <w:rsid w:val="00EB3B6C"/>
    <w:rsid w:val="00EB3BC4"/>
    <w:rsid w:val="00EB3ED0"/>
    <w:rsid w:val="00EB4B63"/>
    <w:rsid w:val="00EB4EC5"/>
    <w:rsid w:val="00EB50B0"/>
    <w:rsid w:val="00EB5682"/>
    <w:rsid w:val="00EB6216"/>
    <w:rsid w:val="00EB633B"/>
    <w:rsid w:val="00EB6365"/>
    <w:rsid w:val="00EB648C"/>
    <w:rsid w:val="00EB660B"/>
    <w:rsid w:val="00EB6DBB"/>
    <w:rsid w:val="00EC03AE"/>
    <w:rsid w:val="00EC03AF"/>
    <w:rsid w:val="00EC03EE"/>
    <w:rsid w:val="00EC045F"/>
    <w:rsid w:val="00EC0F85"/>
    <w:rsid w:val="00EC0F97"/>
    <w:rsid w:val="00EC16FD"/>
    <w:rsid w:val="00EC1E8D"/>
    <w:rsid w:val="00EC2406"/>
    <w:rsid w:val="00EC2645"/>
    <w:rsid w:val="00EC28EC"/>
    <w:rsid w:val="00EC2A09"/>
    <w:rsid w:val="00EC2A5B"/>
    <w:rsid w:val="00EC2C18"/>
    <w:rsid w:val="00EC2D2A"/>
    <w:rsid w:val="00EC361F"/>
    <w:rsid w:val="00EC3DA4"/>
    <w:rsid w:val="00EC4392"/>
    <w:rsid w:val="00EC47CB"/>
    <w:rsid w:val="00EC499F"/>
    <w:rsid w:val="00EC5971"/>
    <w:rsid w:val="00EC66B3"/>
    <w:rsid w:val="00EC6D20"/>
    <w:rsid w:val="00EC70E4"/>
    <w:rsid w:val="00EC7324"/>
    <w:rsid w:val="00EC7D86"/>
    <w:rsid w:val="00ED0126"/>
    <w:rsid w:val="00ED0BAD"/>
    <w:rsid w:val="00ED0DD5"/>
    <w:rsid w:val="00ED1292"/>
    <w:rsid w:val="00ED1810"/>
    <w:rsid w:val="00ED1AA8"/>
    <w:rsid w:val="00ED2040"/>
    <w:rsid w:val="00ED2C62"/>
    <w:rsid w:val="00ED2DA8"/>
    <w:rsid w:val="00ED32BD"/>
    <w:rsid w:val="00ED33CF"/>
    <w:rsid w:val="00ED367E"/>
    <w:rsid w:val="00ED385C"/>
    <w:rsid w:val="00ED3958"/>
    <w:rsid w:val="00ED3B06"/>
    <w:rsid w:val="00ED478F"/>
    <w:rsid w:val="00ED4854"/>
    <w:rsid w:val="00ED4971"/>
    <w:rsid w:val="00ED4E5B"/>
    <w:rsid w:val="00ED542E"/>
    <w:rsid w:val="00ED56FA"/>
    <w:rsid w:val="00ED5875"/>
    <w:rsid w:val="00ED62A8"/>
    <w:rsid w:val="00ED6463"/>
    <w:rsid w:val="00ED65AF"/>
    <w:rsid w:val="00ED678D"/>
    <w:rsid w:val="00ED6888"/>
    <w:rsid w:val="00ED6E55"/>
    <w:rsid w:val="00ED720A"/>
    <w:rsid w:val="00ED7220"/>
    <w:rsid w:val="00ED7C56"/>
    <w:rsid w:val="00EE02BF"/>
    <w:rsid w:val="00EE0863"/>
    <w:rsid w:val="00EE0B4A"/>
    <w:rsid w:val="00EE0E1E"/>
    <w:rsid w:val="00EE1EE4"/>
    <w:rsid w:val="00EE24C4"/>
    <w:rsid w:val="00EE28E1"/>
    <w:rsid w:val="00EE29FA"/>
    <w:rsid w:val="00EE424B"/>
    <w:rsid w:val="00EE4432"/>
    <w:rsid w:val="00EE4518"/>
    <w:rsid w:val="00EE491E"/>
    <w:rsid w:val="00EE492D"/>
    <w:rsid w:val="00EE4995"/>
    <w:rsid w:val="00EE4BA3"/>
    <w:rsid w:val="00EE4C90"/>
    <w:rsid w:val="00EE4D98"/>
    <w:rsid w:val="00EE4E4E"/>
    <w:rsid w:val="00EE4FB2"/>
    <w:rsid w:val="00EE5469"/>
    <w:rsid w:val="00EE5556"/>
    <w:rsid w:val="00EE60A8"/>
    <w:rsid w:val="00EE6733"/>
    <w:rsid w:val="00EE6CBB"/>
    <w:rsid w:val="00EE6EC6"/>
    <w:rsid w:val="00EE72F8"/>
    <w:rsid w:val="00EE7435"/>
    <w:rsid w:val="00EE7495"/>
    <w:rsid w:val="00EE7A0F"/>
    <w:rsid w:val="00EE7A9C"/>
    <w:rsid w:val="00EE7E63"/>
    <w:rsid w:val="00EF03CB"/>
    <w:rsid w:val="00EF052A"/>
    <w:rsid w:val="00EF0A73"/>
    <w:rsid w:val="00EF0C3F"/>
    <w:rsid w:val="00EF0F69"/>
    <w:rsid w:val="00EF12AD"/>
    <w:rsid w:val="00EF229D"/>
    <w:rsid w:val="00EF27C4"/>
    <w:rsid w:val="00EF304E"/>
    <w:rsid w:val="00EF31BD"/>
    <w:rsid w:val="00EF31C6"/>
    <w:rsid w:val="00EF33F5"/>
    <w:rsid w:val="00EF3495"/>
    <w:rsid w:val="00EF3815"/>
    <w:rsid w:val="00EF39FB"/>
    <w:rsid w:val="00EF3C93"/>
    <w:rsid w:val="00EF3CC7"/>
    <w:rsid w:val="00EF3D05"/>
    <w:rsid w:val="00EF4458"/>
    <w:rsid w:val="00EF4535"/>
    <w:rsid w:val="00EF463F"/>
    <w:rsid w:val="00EF4BFA"/>
    <w:rsid w:val="00EF4E4A"/>
    <w:rsid w:val="00EF53DA"/>
    <w:rsid w:val="00EF5753"/>
    <w:rsid w:val="00EF5824"/>
    <w:rsid w:val="00EF58DA"/>
    <w:rsid w:val="00EF590E"/>
    <w:rsid w:val="00EF6190"/>
    <w:rsid w:val="00EF6C62"/>
    <w:rsid w:val="00EF6FCB"/>
    <w:rsid w:val="00EF7403"/>
    <w:rsid w:val="00EF751F"/>
    <w:rsid w:val="00EF78C8"/>
    <w:rsid w:val="00EF7AA2"/>
    <w:rsid w:val="00EF7C80"/>
    <w:rsid w:val="00EF7D33"/>
    <w:rsid w:val="00EF7E4F"/>
    <w:rsid w:val="00EF7F93"/>
    <w:rsid w:val="00F012F6"/>
    <w:rsid w:val="00F013A2"/>
    <w:rsid w:val="00F0143C"/>
    <w:rsid w:val="00F014F1"/>
    <w:rsid w:val="00F01AF7"/>
    <w:rsid w:val="00F01C31"/>
    <w:rsid w:val="00F02100"/>
    <w:rsid w:val="00F02631"/>
    <w:rsid w:val="00F026DC"/>
    <w:rsid w:val="00F02A9B"/>
    <w:rsid w:val="00F02CEA"/>
    <w:rsid w:val="00F03793"/>
    <w:rsid w:val="00F039DD"/>
    <w:rsid w:val="00F04471"/>
    <w:rsid w:val="00F04C7D"/>
    <w:rsid w:val="00F0519A"/>
    <w:rsid w:val="00F0549C"/>
    <w:rsid w:val="00F05505"/>
    <w:rsid w:val="00F056BF"/>
    <w:rsid w:val="00F05B7E"/>
    <w:rsid w:val="00F05FD7"/>
    <w:rsid w:val="00F06107"/>
    <w:rsid w:val="00F06149"/>
    <w:rsid w:val="00F06E52"/>
    <w:rsid w:val="00F074AB"/>
    <w:rsid w:val="00F0755A"/>
    <w:rsid w:val="00F07762"/>
    <w:rsid w:val="00F07845"/>
    <w:rsid w:val="00F07FEF"/>
    <w:rsid w:val="00F10221"/>
    <w:rsid w:val="00F103E8"/>
    <w:rsid w:val="00F104E2"/>
    <w:rsid w:val="00F10A8E"/>
    <w:rsid w:val="00F10BC4"/>
    <w:rsid w:val="00F10E43"/>
    <w:rsid w:val="00F11024"/>
    <w:rsid w:val="00F11395"/>
    <w:rsid w:val="00F119A8"/>
    <w:rsid w:val="00F123B7"/>
    <w:rsid w:val="00F123FA"/>
    <w:rsid w:val="00F130B7"/>
    <w:rsid w:val="00F131E1"/>
    <w:rsid w:val="00F133A7"/>
    <w:rsid w:val="00F13865"/>
    <w:rsid w:val="00F13ABD"/>
    <w:rsid w:val="00F13B02"/>
    <w:rsid w:val="00F13D9E"/>
    <w:rsid w:val="00F13F0F"/>
    <w:rsid w:val="00F14264"/>
    <w:rsid w:val="00F14439"/>
    <w:rsid w:val="00F14507"/>
    <w:rsid w:val="00F146D3"/>
    <w:rsid w:val="00F14ACA"/>
    <w:rsid w:val="00F1509F"/>
    <w:rsid w:val="00F154E7"/>
    <w:rsid w:val="00F1561F"/>
    <w:rsid w:val="00F159F6"/>
    <w:rsid w:val="00F15B53"/>
    <w:rsid w:val="00F1616C"/>
    <w:rsid w:val="00F164E0"/>
    <w:rsid w:val="00F16579"/>
    <w:rsid w:val="00F16646"/>
    <w:rsid w:val="00F168FC"/>
    <w:rsid w:val="00F16A6A"/>
    <w:rsid w:val="00F16C66"/>
    <w:rsid w:val="00F17076"/>
    <w:rsid w:val="00F17B0C"/>
    <w:rsid w:val="00F17B4D"/>
    <w:rsid w:val="00F17E07"/>
    <w:rsid w:val="00F204EE"/>
    <w:rsid w:val="00F205E7"/>
    <w:rsid w:val="00F20782"/>
    <w:rsid w:val="00F208E8"/>
    <w:rsid w:val="00F2114C"/>
    <w:rsid w:val="00F21A6B"/>
    <w:rsid w:val="00F21F11"/>
    <w:rsid w:val="00F22012"/>
    <w:rsid w:val="00F2296C"/>
    <w:rsid w:val="00F22C6B"/>
    <w:rsid w:val="00F23846"/>
    <w:rsid w:val="00F23C52"/>
    <w:rsid w:val="00F23D91"/>
    <w:rsid w:val="00F23E17"/>
    <w:rsid w:val="00F24DF6"/>
    <w:rsid w:val="00F24F4A"/>
    <w:rsid w:val="00F25365"/>
    <w:rsid w:val="00F254BD"/>
    <w:rsid w:val="00F25712"/>
    <w:rsid w:val="00F2580A"/>
    <w:rsid w:val="00F264EF"/>
    <w:rsid w:val="00F26613"/>
    <w:rsid w:val="00F26979"/>
    <w:rsid w:val="00F26DAA"/>
    <w:rsid w:val="00F26EAE"/>
    <w:rsid w:val="00F27D5B"/>
    <w:rsid w:val="00F27F9D"/>
    <w:rsid w:val="00F27FD1"/>
    <w:rsid w:val="00F30264"/>
    <w:rsid w:val="00F31678"/>
    <w:rsid w:val="00F31DCE"/>
    <w:rsid w:val="00F31E3E"/>
    <w:rsid w:val="00F32113"/>
    <w:rsid w:val="00F3269D"/>
    <w:rsid w:val="00F32C31"/>
    <w:rsid w:val="00F32F29"/>
    <w:rsid w:val="00F33B11"/>
    <w:rsid w:val="00F341E7"/>
    <w:rsid w:val="00F34427"/>
    <w:rsid w:val="00F34893"/>
    <w:rsid w:val="00F34EAA"/>
    <w:rsid w:val="00F34F4F"/>
    <w:rsid w:val="00F358A4"/>
    <w:rsid w:val="00F365D0"/>
    <w:rsid w:val="00F369C5"/>
    <w:rsid w:val="00F369D0"/>
    <w:rsid w:val="00F372BF"/>
    <w:rsid w:val="00F3764E"/>
    <w:rsid w:val="00F376D0"/>
    <w:rsid w:val="00F37954"/>
    <w:rsid w:val="00F40373"/>
    <w:rsid w:val="00F406B0"/>
    <w:rsid w:val="00F4087B"/>
    <w:rsid w:val="00F40D0F"/>
    <w:rsid w:val="00F41309"/>
    <w:rsid w:val="00F419B8"/>
    <w:rsid w:val="00F4205C"/>
    <w:rsid w:val="00F4217E"/>
    <w:rsid w:val="00F42254"/>
    <w:rsid w:val="00F428D5"/>
    <w:rsid w:val="00F42BFA"/>
    <w:rsid w:val="00F42CDB"/>
    <w:rsid w:val="00F42D08"/>
    <w:rsid w:val="00F42E71"/>
    <w:rsid w:val="00F43D25"/>
    <w:rsid w:val="00F4419C"/>
    <w:rsid w:val="00F44615"/>
    <w:rsid w:val="00F44798"/>
    <w:rsid w:val="00F44D27"/>
    <w:rsid w:val="00F44DED"/>
    <w:rsid w:val="00F4510F"/>
    <w:rsid w:val="00F45354"/>
    <w:rsid w:val="00F45516"/>
    <w:rsid w:val="00F457F4"/>
    <w:rsid w:val="00F458C8"/>
    <w:rsid w:val="00F46BA0"/>
    <w:rsid w:val="00F474EB"/>
    <w:rsid w:val="00F475A4"/>
    <w:rsid w:val="00F47779"/>
    <w:rsid w:val="00F47815"/>
    <w:rsid w:val="00F47868"/>
    <w:rsid w:val="00F47D92"/>
    <w:rsid w:val="00F47ED6"/>
    <w:rsid w:val="00F5004A"/>
    <w:rsid w:val="00F50196"/>
    <w:rsid w:val="00F5120F"/>
    <w:rsid w:val="00F5138A"/>
    <w:rsid w:val="00F5163F"/>
    <w:rsid w:val="00F519BA"/>
    <w:rsid w:val="00F52600"/>
    <w:rsid w:val="00F52745"/>
    <w:rsid w:val="00F52EA4"/>
    <w:rsid w:val="00F53187"/>
    <w:rsid w:val="00F531B6"/>
    <w:rsid w:val="00F53C0F"/>
    <w:rsid w:val="00F54B72"/>
    <w:rsid w:val="00F54D90"/>
    <w:rsid w:val="00F54E58"/>
    <w:rsid w:val="00F55001"/>
    <w:rsid w:val="00F5564C"/>
    <w:rsid w:val="00F55BA6"/>
    <w:rsid w:val="00F56008"/>
    <w:rsid w:val="00F563E3"/>
    <w:rsid w:val="00F56469"/>
    <w:rsid w:val="00F56D1F"/>
    <w:rsid w:val="00F575EF"/>
    <w:rsid w:val="00F5760D"/>
    <w:rsid w:val="00F57857"/>
    <w:rsid w:val="00F57867"/>
    <w:rsid w:val="00F578EA"/>
    <w:rsid w:val="00F57A68"/>
    <w:rsid w:val="00F57DA8"/>
    <w:rsid w:val="00F6024C"/>
    <w:rsid w:val="00F60250"/>
    <w:rsid w:val="00F60728"/>
    <w:rsid w:val="00F60B51"/>
    <w:rsid w:val="00F60BE3"/>
    <w:rsid w:val="00F613DA"/>
    <w:rsid w:val="00F61673"/>
    <w:rsid w:val="00F616B5"/>
    <w:rsid w:val="00F617CE"/>
    <w:rsid w:val="00F61BE6"/>
    <w:rsid w:val="00F61D68"/>
    <w:rsid w:val="00F61D6A"/>
    <w:rsid w:val="00F6214F"/>
    <w:rsid w:val="00F631E8"/>
    <w:rsid w:val="00F6361C"/>
    <w:rsid w:val="00F636D8"/>
    <w:rsid w:val="00F64260"/>
    <w:rsid w:val="00F64465"/>
    <w:rsid w:val="00F649EB"/>
    <w:rsid w:val="00F6581F"/>
    <w:rsid w:val="00F65888"/>
    <w:rsid w:val="00F65EF1"/>
    <w:rsid w:val="00F66A41"/>
    <w:rsid w:val="00F66C25"/>
    <w:rsid w:val="00F66CF3"/>
    <w:rsid w:val="00F67520"/>
    <w:rsid w:val="00F67C70"/>
    <w:rsid w:val="00F67DD7"/>
    <w:rsid w:val="00F67F51"/>
    <w:rsid w:val="00F705E6"/>
    <w:rsid w:val="00F705F8"/>
    <w:rsid w:val="00F70A28"/>
    <w:rsid w:val="00F70B46"/>
    <w:rsid w:val="00F70CC7"/>
    <w:rsid w:val="00F70F1F"/>
    <w:rsid w:val="00F70FD1"/>
    <w:rsid w:val="00F71283"/>
    <w:rsid w:val="00F713D4"/>
    <w:rsid w:val="00F71DD8"/>
    <w:rsid w:val="00F71ED8"/>
    <w:rsid w:val="00F726A6"/>
    <w:rsid w:val="00F729E0"/>
    <w:rsid w:val="00F72E0B"/>
    <w:rsid w:val="00F72F05"/>
    <w:rsid w:val="00F7423E"/>
    <w:rsid w:val="00F748E0"/>
    <w:rsid w:val="00F74CB3"/>
    <w:rsid w:val="00F74F98"/>
    <w:rsid w:val="00F74FD0"/>
    <w:rsid w:val="00F75141"/>
    <w:rsid w:val="00F75B75"/>
    <w:rsid w:val="00F75CC0"/>
    <w:rsid w:val="00F75EE7"/>
    <w:rsid w:val="00F7623A"/>
    <w:rsid w:val="00F7691C"/>
    <w:rsid w:val="00F76A47"/>
    <w:rsid w:val="00F76E4B"/>
    <w:rsid w:val="00F76F6F"/>
    <w:rsid w:val="00F7737A"/>
    <w:rsid w:val="00F77B91"/>
    <w:rsid w:val="00F77D05"/>
    <w:rsid w:val="00F80062"/>
    <w:rsid w:val="00F800CD"/>
    <w:rsid w:val="00F8032F"/>
    <w:rsid w:val="00F804BF"/>
    <w:rsid w:val="00F809D5"/>
    <w:rsid w:val="00F80B17"/>
    <w:rsid w:val="00F80CB5"/>
    <w:rsid w:val="00F80E41"/>
    <w:rsid w:val="00F80F61"/>
    <w:rsid w:val="00F8146A"/>
    <w:rsid w:val="00F814A2"/>
    <w:rsid w:val="00F8155F"/>
    <w:rsid w:val="00F8180D"/>
    <w:rsid w:val="00F8249B"/>
    <w:rsid w:val="00F825E3"/>
    <w:rsid w:val="00F82B91"/>
    <w:rsid w:val="00F830A9"/>
    <w:rsid w:val="00F8331E"/>
    <w:rsid w:val="00F83323"/>
    <w:rsid w:val="00F838B7"/>
    <w:rsid w:val="00F8489D"/>
    <w:rsid w:val="00F84955"/>
    <w:rsid w:val="00F849EF"/>
    <w:rsid w:val="00F85187"/>
    <w:rsid w:val="00F85524"/>
    <w:rsid w:val="00F855B4"/>
    <w:rsid w:val="00F85836"/>
    <w:rsid w:val="00F85D19"/>
    <w:rsid w:val="00F85DA6"/>
    <w:rsid w:val="00F85E7E"/>
    <w:rsid w:val="00F86541"/>
    <w:rsid w:val="00F867C0"/>
    <w:rsid w:val="00F8695A"/>
    <w:rsid w:val="00F8695C"/>
    <w:rsid w:val="00F86A4F"/>
    <w:rsid w:val="00F86DB0"/>
    <w:rsid w:val="00F871CD"/>
    <w:rsid w:val="00F874B9"/>
    <w:rsid w:val="00F87A11"/>
    <w:rsid w:val="00F87A77"/>
    <w:rsid w:val="00F87FEC"/>
    <w:rsid w:val="00F90057"/>
    <w:rsid w:val="00F9015F"/>
    <w:rsid w:val="00F90341"/>
    <w:rsid w:val="00F9066A"/>
    <w:rsid w:val="00F9084D"/>
    <w:rsid w:val="00F91037"/>
    <w:rsid w:val="00F917B4"/>
    <w:rsid w:val="00F91E95"/>
    <w:rsid w:val="00F925D7"/>
    <w:rsid w:val="00F92755"/>
    <w:rsid w:val="00F92B6C"/>
    <w:rsid w:val="00F92E8E"/>
    <w:rsid w:val="00F93898"/>
    <w:rsid w:val="00F93954"/>
    <w:rsid w:val="00F93D34"/>
    <w:rsid w:val="00F94301"/>
    <w:rsid w:val="00F9444E"/>
    <w:rsid w:val="00F94AF2"/>
    <w:rsid w:val="00F94BCD"/>
    <w:rsid w:val="00F94C7C"/>
    <w:rsid w:val="00F94D8B"/>
    <w:rsid w:val="00F959A2"/>
    <w:rsid w:val="00F95B38"/>
    <w:rsid w:val="00F9602A"/>
    <w:rsid w:val="00F962CC"/>
    <w:rsid w:val="00F962F4"/>
    <w:rsid w:val="00F96379"/>
    <w:rsid w:val="00F964A0"/>
    <w:rsid w:val="00F96839"/>
    <w:rsid w:val="00F971C9"/>
    <w:rsid w:val="00F97904"/>
    <w:rsid w:val="00F97D19"/>
    <w:rsid w:val="00F97E8D"/>
    <w:rsid w:val="00FA01CB"/>
    <w:rsid w:val="00FA022A"/>
    <w:rsid w:val="00FA0F7F"/>
    <w:rsid w:val="00FA13BB"/>
    <w:rsid w:val="00FA16EB"/>
    <w:rsid w:val="00FA1A6D"/>
    <w:rsid w:val="00FA1B0E"/>
    <w:rsid w:val="00FA208E"/>
    <w:rsid w:val="00FA256E"/>
    <w:rsid w:val="00FA25E9"/>
    <w:rsid w:val="00FA2A42"/>
    <w:rsid w:val="00FA2AAC"/>
    <w:rsid w:val="00FA2CC1"/>
    <w:rsid w:val="00FA2E57"/>
    <w:rsid w:val="00FA3BB7"/>
    <w:rsid w:val="00FA3DCF"/>
    <w:rsid w:val="00FA3F91"/>
    <w:rsid w:val="00FA4072"/>
    <w:rsid w:val="00FA460B"/>
    <w:rsid w:val="00FA5521"/>
    <w:rsid w:val="00FA6242"/>
    <w:rsid w:val="00FA651A"/>
    <w:rsid w:val="00FA6AD8"/>
    <w:rsid w:val="00FA6E4A"/>
    <w:rsid w:val="00FA6EB2"/>
    <w:rsid w:val="00FA6F78"/>
    <w:rsid w:val="00FA733A"/>
    <w:rsid w:val="00FA7D57"/>
    <w:rsid w:val="00FA7E5D"/>
    <w:rsid w:val="00FB028A"/>
    <w:rsid w:val="00FB02ED"/>
    <w:rsid w:val="00FB0CB5"/>
    <w:rsid w:val="00FB11BA"/>
    <w:rsid w:val="00FB13BA"/>
    <w:rsid w:val="00FB214B"/>
    <w:rsid w:val="00FB2218"/>
    <w:rsid w:val="00FB2452"/>
    <w:rsid w:val="00FB2A67"/>
    <w:rsid w:val="00FB2E3A"/>
    <w:rsid w:val="00FB32A3"/>
    <w:rsid w:val="00FB34BB"/>
    <w:rsid w:val="00FB3608"/>
    <w:rsid w:val="00FB47AB"/>
    <w:rsid w:val="00FB4D25"/>
    <w:rsid w:val="00FB4E89"/>
    <w:rsid w:val="00FB57B0"/>
    <w:rsid w:val="00FB68AE"/>
    <w:rsid w:val="00FB69AE"/>
    <w:rsid w:val="00FB6B52"/>
    <w:rsid w:val="00FB6BDA"/>
    <w:rsid w:val="00FB6E7C"/>
    <w:rsid w:val="00FB6F98"/>
    <w:rsid w:val="00FB713F"/>
    <w:rsid w:val="00FB716B"/>
    <w:rsid w:val="00FB7643"/>
    <w:rsid w:val="00FB7EAD"/>
    <w:rsid w:val="00FC05BD"/>
    <w:rsid w:val="00FC0FEF"/>
    <w:rsid w:val="00FC1437"/>
    <w:rsid w:val="00FC15A5"/>
    <w:rsid w:val="00FC1B71"/>
    <w:rsid w:val="00FC1E47"/>
    <w:rsid w:val="00FC1FD3"/>
    <w:rsid w:val="00FC2D88"/>
    <w:rsid w:val="00FC31AB"/>
    <w:rsid w:val="00FC354B"/>
    <w:rsid w:val="00FC3A7E"/>
    <w:rsid w:val="00FC3E5C"/>
    <w:rsid w:val="00FC46DF"/>
    <w:rsid w:val="00FC55CE"/>
    <w:rsid w:val="00FC57C3"/>
    <w:rsid w:val="00FC609D"/>
    <w:rsid w:val="00FC6104"/>
    <w:rsid w:val="00FC6660"/>
    <w:rsid w:val="00FC6BBD"/>
    <w:rsid w:val="00FC6F31"/>
    <w:rsid w:val="00FC7680"/>
    <w:rsid w:val="00FC795D"/>
    <w:rsid w:val="00FC7C90"/>
    <w:rsid w:val="00FC7F48"/>
    <w:rsid w:val="00FD0167"/>
    <w:rsid w:val="00FD0406"/>
    <w:rsid w:val="00FD0516"/>
    <w:rsid w:val="00FD075F"/>
    <w:rsid w:val="00FD0835"/>
    <w:rsid w:val="00FD0867"/>
    <w:rsid w:val="00FD086C"/>
    <w:rsid w:val="00FD0AE1"/>
    <w:rsid w:val="00FD0CCB"/>
    <w:rsid w:val="00FD0F04"/>
    <w:rsid w:val="00FD10A5"/>
    <w:rsid w:val="00FD1CE3"/>
    <w:rsid w:val="00FD2232"/>
    <w:rsid w:val="00FD237A"/>
    <w:rsid w:val="00FD2B03"/>
    <w:rsid w:val="00FD2B0D"/>
    <w:rsid w:val="00FD32A7"/>
    <w:rsid w:val="00FD33AE"/>
    <w:rsid w:val="00FD40DF"/>
    <w:rsid w:val="00FD43C5"/>
    <w:rsid w:val="00FD43C7"/>
    <w:rsid w:val="00FD4517"/>
    <w:rsid w:val="00FD4FB7"/>
    <w:rsid w:val="00FD4FBF"/>
    <w:rsid w:val="00FD57AF"/>
    <w:rsid w:val="00FD58A1"/>
    <w:rsid w:val="00FD5C54"/>
    <w:rsid w:val="00FD60A2"/>
    <w:rsid w:val="00FD6243"/>
    <w:rsid w:val="00FD6A4D"/>
    <w:rsid w:val="00FD6ECF"/>
    <w:rsid w:val="00FD7075"/>
    <w:rsid w:val="00FD74DE"/>
    <w:rsid w:val="00FD7540"/>
    <w:rsid w:val="00FD7922"/>
    <w:rsid w:val="00FD7966"/>
    <w:rsid w:val="00FE01A8"/>
    <w:rsid w:val="00FE0A4D"/>
    <w:rsid w:val="00FE0AD0"/>
    <w:rsid w:val="00FE0AD4"/>
    <w:rsid w:val="00FE0CA2"/>
    <w:rsid w:val="00FE140F"/>
    <w:rsid w:val="00FE1BB1"/>
    <w:rsid w:val="00FE1D53"/>
    <w:rsid w:val="00FE20CB"/>
    <w:rsid w:val="00FE20D1"/>
    <w:rsid w:val="00FE2126"/>
    <w:rsid w:val="00FE2321"/>
    <w:rsid w:val="00FE2734"/>
    <w:rsid w:val="00FE278C"/>
    <w:rsid w:val="00FE27C3"/>
    <w:rsid w:val="00FE2DE9"/>
    <w:rsid w:val="00FE303E"/>
    <w:rsid w:val="00FE31DC"/>
    <w:rsid w:val="00FE3284"/>
    <w:rsid w:val="00FE35C8"/>
    <w:rsid w:val="00FE3ABB"/>
    <w:rsid w:val="00FE3B15"/>
    <w:rsid w:val="00FE4BF9"/>
    <w:rsid w:val="00FE4EBB"/>
    <w:rsid w:val="00FE5043"/>
    <w:rsid w:val="00FE505B"/>
    <w:rsid w:val="00FE510D"/>
    <w:rsid w:val="00FE525B"/>
    <w:rsid w:val="00FE5AA0"/>
    <w:rsid w:val="00FE5BEF"/>
    <w:rsid w:val="00FE5D52"/>
    <w:rsid w:val="00FE5F74"/>
    <w:rsid w:val="00FE6003"/>
    <w:rsid w:val="00FE638C"/>
    <w:rsid w:val="00FE697A"/>
    <w:rsid w:val="00FE6DD1"/>
    <w:rsid w:val="00FE6FA3"/>
    <w:rsid w:val="00FE705B"/>
    <w:rsid w:val="00FE70FD"/>
    <w:rsid w:val="00FE72D5"/>
    <w:rsid w:val="00FE7B56"/>
    <w:rsid w:val="00FE7E43"/>
    <w:rsid w:val="00FF007C"/>
    <w:rsid w:val="00FF03A3"/>
    <w:rsid w:val="00FF04CD"/>
    <w:rsid w:val="00FF0531"/>
    <w:rsid w:val="00FF059F"/>
    <w:rsid w:val="00FF0664"/>
    <w:rsid w:val="00FF08F5"/>
    <w:rsid w:val="00FF1225"/>
    <w:rsid w:val="00FF177E"/>
    <w:rsid w:val="00FF1BDB"/>
    <w:rsid w:val="00FF2E2D"/>
    <w:rsid w:val="00FF2E99"/>
    <w:rsid w:val="00FF3610"/>
    <w:rsid w:val="00FF38AA"/>
    <w:rsid w:val="00FF3ADA"/>
    <w:rsid w:val="00FF3DEE"/>
    <w:rsid w:val="00FF4076"/>
    <w:rsid w:val="00FF42D6"/>
    <w:rsid w:val="00FF47F6"/>
    <w:rsid w:val="00FF4DD1"/>
    <w:rsid w:val="00FF4F20"/>
    <w:rsid w:val="00FF5815"/>
    <w:rsid w:val="00FF5A9D"/>
    <w:rsid w:val="00FF6858"/>
    <w:rsid w:val="00FF685A"/>
    <w:rsid w:val="00FF6AE4"/>
    <w:rsid w:val="00FF6B52"/>
    <w:rsid w:val="00FF6BBC"/>
    <w:rsid w:val="00FF725D"/>
    <w:rsid w:val="00FF7497"/>
    <w:rsid w:val="00FF792B"/>
    <w:rsid w:val="00FF7E14"/>
    <w:rsid w:val="016F43BB"/>
    <w:rsid w:val="05FB290E"/>
    <w:rsid w:val="07AB6ADB"/>
    <w:rsid w:val="0838150E"/>
    <w:rsid w:val="0BC206BD"/>
    <w:rsid w:val="0D2D5EA1"/>
    <w:rsid w:val="0F5B10BB"/>
    <w:rsid w:val="1050602D"/>
    <w:rsid w:val="129E1F73"/>
    <w:rsid w:val="14986124"/>
    <w:rsid w:val="15405995"/>
    <w:rsid w:val="155D6A94"/>
    <w:rsid w:val="17884A4F"/>
    <w:rsid w:val="18C714D8"/>
    <w:rsid w:val="18FE2AC5"/>
    <w:rsid w:val="194B55D7"/>
    <w:rsid w:val="1D246528"/>
    <w:rsid w:val="1F682480"/>
    <w:rsid w:val="1FCC3574"/>
    <w:rsid w:val="203D1494"/>
    <w:rsid w:val="205405D4"/>
    <w:rsid w:val="23223B78"/>
    <w:rsid w:val="233677D8"/>
    <w:rsid w:val="23CF6062"/>
    <w:rsid w:val="259940B8"/>
    <w:rsid w:val="26060A5A"/>
    <w:rsid w:val="26D90054"/>
    <w:rsid w:val="28351292"/>
    <w:rsid w:val="2B1F55DA"/>
    <w:rsid w:val="2BDE6817"/>
    <w:rsid w:val="2EDA1101"/>
    <w:rsid w:val="2FB468A1"/>
    <w:rsid w:val="330104BB"/>
    <w:rsid w:val="335A1244"/>
    <w:rsid w:val="337570D1"/>
    <w:rsid w:val="348D530D"/>
    <w:rsid w:val="353A6951"/>
    <w:rsid w:val="35E60F6E"/>
    <w:rsid w:val="37C95784"/>
    <w:rsid w:val="37ED1C75"/>
    <w:rsid w:val="388D0048"/>
    <w:rsid w:val="3C054358"/>
    <w:rsid w:val="3C1F4CB3"/>
    <w:rsid w:val="3C775371"/>
    <w:rsid w:val="3CF07009"/>
    <w:rsid w:val="3D9700E1"/>
    <w:rsid w:val="3E3A7AA7"/>
    <w:rsid w:val="3E695121"/>
    <w:rsid w:val="41E53541"/>
    <w:rsid w:val="4275156E"/>
    <w:rsid w:val="43244642"/>
    <w:rsid w:val="439524B2"/>
    <w:rsid w:val="43C925AC"/>
    <w:rsid w:val="44676B38"/>
    <w:rsid w:val="44953A2F"/>
    <w:rsid w:val="465251B2"/>
    <w:rsid w:val="470B31FF"/>
    <w:rsid w:val="4BBE1ED7"/>
    <w:rsid w:val="4C2B4774"/>
    <w:rsid w:val="4C541C20"/>
    <w:rsid w:val="4D11240B"/>
    <w:rsid w:val="4D957A85"/>
    <w:rsid w:val="51524F68"/>
    <w:rsid w:val="51935039"/>
    <w:rsid w:val="5218061C"/>
    <w:rsid w:val="542701DE"/>
    <w:rsid w:val="554365FE"/>
    <w:rsid w:val="56C31EE8"/>
    <w:rsid w:val="57EE5205"/>
    <w:rsid w:val="597B6B13"/>
    <w:rsid w:val="5AD31560"/>
    <w:rsid w:val="5DCA0644"/>
    <w:rsid w:val="5EAF0AAA"/>
    <w:rsid w:val="5EBF5F5C"/>
    <w:rsid w:val="60AA3495"/>
    <w:rsid w:val="6116366E"/>
    <w:rsid w:val="61436365"/>
    <w:rsid w:val="61A77BE8"/>
    <w:rsid w:val="61EE0183"/>
    <w:rsid w:val="621806D0"/>
    <w:rsid w:val="62F975CB"/>
    <w:rsid w:val="637B7BA8"/>
    <w:rsid w:val="64C7265C"/>
    <w:rsid w:val="66116AA4"/>
    <w:rsid w:val="68EA191C"/>
    <w:rsid w:val="690B14D2"/>
    <w:rsid w:val="69C625E9"/>
    <w:rsid w:val="69CB7799"/>
    <w:rsid w:val="6A031938"/>
    <w:rsid w:val="6A841858"/>
    <w:rsid w:val="6AD70117"/>
    <w:rsid w:val="6D42094D"/>
    <w:rsid w:val="73B77424"/>
    <w:rsid w:val="76051893"/>
    <w:rsid w:val="77132EA4"/>
    <w:rsid w:val="79D66CF1"/>
    <w:rsid w:val="7AEB3D19"/>
    <w:rsid w:val="7AEF708B"/>
    <w:rsid w:val="7B2D7E6A"/>
    <w:rsid w:val="7C5A4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9"/>
    <w:qFormat/>
    <w:uiPriority w:val="0"/>
    <w:pPr>
      <w:keepNext/>
      <w:keepLines/>
      <w:numPr>
        <w:ilvl w:val="0"/>
        <w:numId w:val="1"/>
      </w:numPr>
      <w:spacing w:before="120" w:line="360" w:lineRule="auto"/>
      <w:jc w:val="left"/>
      <w:outlineLvl w:val="0"/>
    </w:pPr>
    <w:rPr>
      <w:b/>
      <w:kern w:val="44"/>
      <w:szCs w:val="20"/>
    </w:rPr>
  </w:style>
  <w:style w:type="paragraph" w:styleId="4">
    <w:name w:val="heading 2"/>
    <w:basedOn w:val="5"/>
    <w:next w:val="1"/>
    <w:link w:val="40"/>
    <w:qFormat/>
    <w:uiPriority w:val="99"/>
    <w:pPr>
      <w:keepNext/>
      <w:keepLines/>
      <w:adjustRightInd w:val="0"/>
      <w:snapToGrid w:val="0"/>
      <w:spacing w:after="50" w:afterLines="50"/>
      <w:jc w:val="left"/>
      <w:outlineLvl w:val="1"/>
    </w:pPr>
    <w:rPr>
      <w:rFonts w:ascii="仿宋_GB2312" w:hAnsi="仿宋_GB2312" w:eastAsia="仿宋_GB2312"/>
    </w:rPr>
  </w:style>
  <w:style w:type="paragraph" w:styleId="6">
    <w:name w:val="heading 3"/>
    <w:basedOn w:val="1"/>
    <w:next w:val="1"/>
    <w:link w:val="37"/>
    <w:qFormat/>
    <w:uiPriority w:val="99"/>
    <w:pPr>
      <w:keepNext/>
      <w:keepLines/>
      <w:numPr>
        <w:ilvl w:val="2"/>
        <w:numId w:val="1"/>
      </w:numPr>
      <w:spacing w:before="120" w:after="120"/>
      <w:outlineLvl w:val="2"/>
    </w:pPr>
    <w:rPr>
      <w:bCs/>
      <w:szCs w:val="32"/>
    </w:rPr>
  </w:style>
  <w:style w:type="paragraph" w:styleId="7">
    <w:name w:val="heading 4"/>
    <w:basedOn w:val="1"/>
    <w:next w:val="1"/>
    <w:link w:val="65"/>
    <w:unhideWhenUsed/>
    <w:qFormat/>
    <w:locked/>
    <w:uiPriority w:val="0"/>
    <w:pPr>
      <w:keepNext/>
      <w:keepLines/>
      <w:numPr>
        <w:ilvl w:val="3"/>
        <w:numId w:val="1"/>
      </w:numPr>
      <w:spacing w:before="280" w:after="290" w:line="376" w:lineRule="auto"/>
      <w:outlineLvl w:val="3"/>
    </w:pPr>
    <w:rPr>
      <w:rFonts w:ascii="Calibri Light" w:hAnsi="Calibri Light" w:eastAsia="宋体"/>
      <w:b/>
      <w:bCs/>
      <w:szCs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32"/>
      <w:lang w:val="zh-CN"/>
    </w:rPr>
  </w:style>
  <w:style w:type="paragraph" w:customStyle="1" w:styleId="5">
    <w:name w:val="标题2"/>
    <w:basedOn w:val="1"/>
    <w:next w:val="1"/>
    <w:qFormat/>
    <w:uiPriority w:val="0"/>
    <w:pPr>
      <w:numPr>
        <w:ilvl w:val="1"/>
        <w:numId w:val="1"/>
      </w:numPr>
      <w:spacing w:before="240" w:after="60"/>
      <w:jc w:val="center"/>
      <w:outlineLvl w:val="0"/>
    </w:pPr>
    <w:rPr>
      <w:rFonts w:ascii="Cambria" w:hAnsi="Cambria" w:eastAsia="宋体"/>
      <w:b/>
      <w:szCs w:val="20"/>
    </w:rPr>
  </w:style>
  <w:style w:type="paragraph" w:styleId="8">
    <w:name w:val="toc 7"/>
    <w:basedOn w:val="1"/>
    <w:next w:val="1"/>
    <w:unhideWhenUsed/>
    <w:qFormat/>
    <w:locked/>
    <w:uiPriority w:val="39"/>
    <w:pPr>
      <w:ind w:left="1680"/>
      <w:jc w:val="left"/>
    </w:pPr>
    <w:rPr>
      <w:rFonts w:ascii="Calibri" w:hAnsi="Calibri" w:cs="Calibri"/>
      <w:sz w:val="18"/>
      <w:szCs w:val="18"/>
    </w:rPr>
  </w:style>
  <w:style w:type="paragraph" w:styleId="9">
    <w:name w:val="Normal Indent"/>
    <w:basedOn w:val="1"/>
    <w:qFormat/>
    <w:uiPriority w:val="0"/>
    <w:pPr>
      <w:ind w:firstLine="420"/>
    </w:pPr>
  </w:style>
  <w:style w:type="paragraph" w:styleId="10">
    <w:name w:val="caption"/>
    <w:basedOn w:val="1"/>
    <w:next w:val="1"/>
    <w:unhideWhenUsed/>
    <w:qFormat/>
    <w:locked/>
    <w:uiPriority w:val="0"/>
    <w:rPr>
      <w:rFonts w:ascii="Calibri Light" w:hAnsi="Calibri Light" w:eastAsia="黑体"/>
      <w:sz w:val="20"/>
      <w:szCs w:val="20"/>
    </w:rPr>
  </w:style>
  <w:style w:type="paragraph" w:styleId="11">
    <w:name w:val="Document Map"/>
    <w:basedOn w:val="1"/>
    <w:link w:val="76"/>
    <w:semiHidden/>
    <w:unhideWhenUsed/>
    <w:qFormat/>
    <w:uiPriority w:val="99"/>
    <w:rPr>
      <w:rFonts w:ascii="宋体" w:eastAsia="宋体"/>
      <w:sz w:val="18"/>
      <w:szCs w:val="18"/>
    </w:rPr>
  </w:style>
  <w:style w:type="paragraph" w:styleId="12">
    <w:name w:val="annotation text"/>
    <w:basedOn w:val="1"/>
    <w:link w:val="36"/>
    <w:qFormat/>
    <w:uiPriority w:val="0"/>
    <w:pPr>
      <w:jc w:val="left"/>
    </w:pPr>
    <w:rPr>
      <w:rFonts w:eastAsia="宋体"/>
      <w:sz w:val="24"/>
      <w:szCs w:val="20"/>
    </w:rPr>
  </w:style>
  <w:style w:type="paragraph" w:styleId="13">
    <w:name w:val="Body Text Indent"/>
    <w:basedOn w:val="1"/>
    <w:link w:val="44"/>
    <w:qFormat/>
    <w:uiPriority w:val="99"/>
    <w:pPr>
      <w:tabs>
        <w:tab w:val="left" w:pos="2340"/>
        <w:tab w:val="left" w:pos="2700"/>
      </w:tabs>
      <w:adjustRightInd w:val="0"/>
      <w:snapToGrid w:val="0"/>
      <w:spacing w:line="240" w:lineRule="exact"/>
      <w:ind w:firstLine="420"/>
    </w:pPr>
    <w:rPr>
      <w:rFonts w:ascii="??_GB2312" w:hAnsi="宋体" w:eastAsia="Times New Roman"/>
      <w:color w:val="000000"/>
      <w:szCs w:val="20"/>
    </w:rPr>
  </w:style>
  <w:style w:type="paragraph" w:styleId="14">
    <w:name w:val="toc 5"/>
    <w:basedOn w:val="1"/>
    <w:next w:val="1"/>
    <w:unhideWhenUsed/>
    <w:qFormat/>
    <w:locked/>
    <w:uiPriority w:val="39"/>
    <w:pPr>
      <w:ind w:left="1120"/>
      <w:jc w:val="left"/>
    </w:pPr>
    <w:rPr>
      <w:rFonts w:ascii="Calibri" w:hAnsi="Calibri" w:cs="Calibri"/>
      <w:sz w:val="18"/>
      <w:szCs w:val="18"/>
    </w:rPr>
  </w:style>
  <w:style w:type="paragraph" w:styleId="15">
    <w:name w:val="toc 3"/>
    <w:basedOn w:val="1"/>
    <w:next w:val="1"/>
    <w:qFormat/>
    <w:uiPriority w:val="39"/>
    <w:pPr>
      <w:spacing w:line="288" w:lineRule="auto"/>
      <w:ind w:left="561"/>
      <w:jc w:val="left"/>
    </w:pPr>
    <w:rPr>
      <w:rFonts w:ascii="Calibri" w:hAnsi="Calibri" w:cs="Calibri"/>
      <w:iCs/>
      <w:szCs w:val="20"/>
    </w:rPr>
  </w:style>
  <w:style w:type="paragraph" w:styleId="16">
    <w:name w:val="Plain Text"/>
    <w:basedOn w:val="1"/>
    <w:link w:val="80"/>
    <w:qFormat/>
    <w:uiPriority w:val="0"/>
    <w:pPr>
      <w:autoSpaceDE w:val="0"/>
      <w:autoSpaceDN w:val="0"/>
      <w:adjustRightInd w:val="0"/>
      <w:textAlignment w:val="baseline"/>
    </w:pPr>
    <w:rPr>
      <w:rFonts w:ascii="宋体" w:eastAsia="宋体"/>
      <w:szCs w:val="20"/>
    </w:rPr>
  </w:style>
  <w:style w:type="paragraph" w:styleId="17">
    <w:name w:val="toc 8"/>
    <w:basedOn w:val="1"/>
    <w:next w:val="1"/>
    <w:unhideWhenUsed/>
    <w:qFormat/>
    <w:locked/>
    <w:uiPriority w:val="39"/>
    <w:pPr>
      <w:ind w:left="1960"/>
      <w:jc w:val="left"/>
    </w:pPr>
    <w:rPr>
      <w:rFonts w:ascii="Calibri" w:hAnsi="Calibri" w:cs="Calibri"/>
      <w:sz w:val="18"/>
      <w:szCs w:val="18"/>
    </w:rPr>
  </w:style>
  <w:style w:type="paragraph" w:styleId="18">
    <w:name w:val="Date"/>
    <w:basedOn w:val="1"/>
    <w:next w:val="1"/>
    <w:link w:val="55"/>
    <w:semiHidden/>
    <w:unhideWhenUsed/>
    <w:qFormat/>
    <w:uiPriority w:val="0"/>
    <w:pPr>
      <w:ind w:left="100" w:leftChars="2500"/>
    </w:pPr>
  </w:style>
  <w:style w:type="paragraph" w:styleId="19">
    <w:name w:val="Body Text Indent 2"/>
    <w:basedOn w:val="1"/>
    <w:link w:val="79"/>
    <w:semiHidden/>
    <w:unhideWhenUsed/>
    <w:qFormat/>
    <w:uiPriority w:val="0"/>
    <w:pPr>
      <w:spacing w:after="120" w:line="480" w:lineRule="auto"/>
      <w:ind w:left="420" w:leftChars="200"/>
    </w:pPr>
  </w:style>
  <w:style w:type="paragraph" w:styleId="20">
    <w:name w:val="Balloon Text"/>
    <w:basedOn w:val="1"/>
    <w:link w:val="38"/>
    <w:qFormat/>
    <w:uiPriority w:val="99"/>
    <w:rPr>
      <w:rFonts w:eastAsia="宋体"/>
      <w:sz w:val="18"/>
      <w:szCs w:val="20"/>
    </w:rPr>
  </w:style>
  <w:style w:type="paragraph" w:styleId="21">
    <w:name w:val="footer"/>
    <w:basedOn w:val="1"/>
    <w:link w:val="43"/>
    <w:qFormat/>
    <w:uiPriority w:val="99"/>
    <w:pPr>
      <w:tabs>
        <w:tab w:val="center" w:pos="4153"/>
        <w:tab w:val="right" w:pos="8306"/>
      </w:tabs>
      <w:snapToGrid w:val="0"/>
      <w:jc w:val="left"/>
    </w:pPr>
    <w:rPr>
      <w:rFonts w:eastAsia="宋体"/>
      <w:sz w:val="18"/>
      <w:szCs w:val="20"/>
    </w:rPr>
  </w:style>
  <w:style w:type="paragraph" w:styleId="22">
    <w:name w:val="header"/>
    <w:basedOn w:val="1"/>
    <w:link w:val="42"/>
    <w:qFormat/>
    <w:uiPriority w:val="0"/>
    <w:pPr>
      <w:pBdr>
        <w:bottom w:val="single" w:color="auto" w:sz="6" w:space="1"/>
      </w:pBdr>
      <w:tabs>
        <w:tab w:val="center" w:pos="4153"/>
        <w:tab w:val="right" w:pos="8306"/>
      </w:tabs>
      <w:snapToGrid w:val="0"/>
      <w:jc w:val="center"/>
    </w:pPr>
    <w:rPr>
      <w:rFonts w:eastAsia="宋体"/>
      <w:sz w:val="18"/>
      <w:szCs w:val="20"/>
    </w:rPr>
  </w:style>
  <w:style w:type="paragraph" w:styleId="23">
    <w:name w:val="toc 1"/>
    <w:basedOn w:val="1"/>
    <w:next w:val="1"/>
    <w:qFormat/>
    <w:uiPriority w:val="39"/>
    <w:pPr>
      <w:spacing w:line="288" w:lineRule="auto"/>
      <w:jc w:val="left"/>
    </w:pPr>
    <w:rPr>
      <w:rFonts w:ascii="Calibri" w:hAnsi="Calibri" w:cs="Calibri"/>
      <w:bCs/>
      <w:caps/>
      <w:szCs w:val="20"/>
    </w:rPr>
  </w:style>
  <w:style w:type="paragraph" w:styleId="24">
    <w:name w:val="toc 4"/>
    <w:basedOn w:val="1"/>
    <w:next w:val="1"/>
    <w:unhideWhenUsed/>
    <w:qFormat/>
    <w:locked/>
    <w:uiPriority w:val="39"/>
    <w:pPr>
      <w:ind w:left="840"/>
      <w:jc w:val="left"/>
    </w:pPr>
    <w:rPr>
      <w:rFonts w:ascii="Calibri" w:hAnsi="Calibri" w:cs="Calibri"/>
      <w:sz w:val="18"/>
      <w:szCs w:val="18"/>
    </w:rPr>
  </w:style>
  <w:style w:type="paragraph" w:styleId="25">
    <w:name w:val="toc 6"/>
    <w:basedOn w:val="1"/>
    <w:next w:val="1"/>
    <w:unhideWhenUsed/>
    <w:qFormat/>
    <w:locked/>
    <w:uiPriority w:val="39"/>
    <w:pPr>
      <w:ind w:left="1400"/>
      <w:jc w:val="left"/>
    </w:pPr>
    <w:rPr>
      <w:rFonts w:ascii="Calibri" w:hAnsi="Calibri" w:cs="Calibri"/>
      <w:sz w:val="18"/>
      <w:szCs w:val="18"/>
    </w:rPr>
  </w:style>
  <w:style w:type="paragraph" w:styleId="26">
    <w:name w:val="toc 2"/>
    <w:basedOn w:val="1"/>
    <w:next w:val="1"/>
    <w:qFormat/>
    <w:uiPriority w:val="39"/>
    <w:pPr>
      <w:spacing w:line="288" w:lineRule="auto"/>
      <w:ind w:left="278"/>
      <w:jc w:val="left"/>
    </w:pPr>
    <w:rPr>
      <w:rFonts w:ascii="Calibri" w:hAnsi="Calibri" w:cs="Calibri"/>
      <w:smallCaps/>
      <w:szCs w:val="20"/>
    </w:rPr>
  </w:style>
  <w:style w:type="paragraph" w:styleId="27">
    <w:name w:val="toc 9"/>
    <w:basedOn w:val="1"/>
    <w:next w:val="1"/>
    <w:unhideWhenUsed/>
    <w:qFormat/>
    <w:locked/>
    <w:uiPriority w:val="39"/>
    <w:pPr>
      <w:ind w:left="2240"/>
      <w:jc w:val="left"/>
    </w:pPr>
    <w:rPr>
      <w:rFonts w:ascii="Calibri" w:hAnsi="Calibri" w:cs="Calibri"/>
      <w:sz w:val="18"/>
      <w:szCs w:val="18"/>
    </w:rPr>
  </w:style>
  <w:style w:type="paragraph" w:styleId="28">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29">
    <w:name w:val="Title"/>
    <w:basedOn w:val="1"/>
    <w:next w:val="1"/>
    <w:link w:val="90"/>
    <w:qFormat/>
    <w:locked/>
    <w:uiPriority w:val="0"/>
    <w:pPr>
      <w:outlineLvl w:val="0"/>
    </w:pPr>
    <w:rPr>
      <w:rFonts w:ascii="Cambria" w:hAnsi="Cambria" w:eastAsia="宋体"/>
      <w:b/>
      <w:szCs w:val="20"/>
    </w:rPr>
  </w:style>
  <w:style w:type="paragraph" w:styleId="30">
    <w:name w:val="annotation subject"/>
    <w:basedOn w:val="12"/>
    <w:next w:val="12"/>
    <w:link w:val="45"/>
    <w:qFormat/>
    <w:uiPriority w:val="99"/>
    <w:rPr>
      <w:b/>
    </w:rPr>
  </w:style>
  <w:style w:type="character" w:styleId="33">
    <w:name w:val="page number"/>
    <w:basedOn w:val="32"/>
    <w:qFormat/>
    <w:uiPriority w:val="0"/>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rPr>
  </w:style>
  <w:style w:type="character" w:customStyle="1" w:styleId="36">
    <w:name w:val="批注文字 字符"/>
    <w:link w:val="12"/>
    <w:qFormat/>
    <w:locked/>
    <w:uiPriority w:val="99"/>
    <w:rPr>
      <w:rFonts w:cs="Times New Roman"/>
      <w:kern w:val="2"/>
      <w:sz w:val="24"/>
    </w:rPr>
  </w:style>
  <w:style w:type="character" w:customStyle="1" w:styleId="37">
    <w:name w:val="标题 3 字符"/>
    <w:link w:val="6"/>
    <w:qFormat/>
    <w:locked/>
    <w:uiPriority w:val="99"/>
    <w:rPr>
      <w:rFonts w:eastAsia="仿宋"/>
      <w:bCs/>
      <w:kern w:val="2"/>
      <w:sz w:val="28"/>
      <w:szCs w:val="32"/>
    </w:rPr>
  </w:style>
  <w:style w:type="character" w:customStyle="1" w:styleId="38">
    <w:name w:val="批注框文本 字符"/>
    <w:link w:val="20"/>
    <w:qFormat/>
    <w:locked/>
    <w:uiPriority w:val="99"/>
    <w:rPr>
      <w:rFonts w:cs="Times New Roman"/>
      <w:kern w:val="2"/>
      <w:sz w:val="18"/>
    </w:rPr>
  </w:style>
  <w:style w:type="character" w:customStyle="1" w:styleId="39">
    <w:name w:val="标题 1 字符"/>
    <w:link w:val="3"/>
    <w:qFormat/>
    <w:locked/>
    <w:uiPriority w:val="0"/>
    <w:rPr>
      <w:rFonts w:eastAsia="仿宋"/>
      <w:b/>
      <w:kern w:val="44"/>
      <w:sz w:val="28"/>
    </w:rPr>
  </w:style>
  <w:style w:type="character" w:customStyle="1" w:styleId="40">
    <w:name w:val="标题 2 字符"/>
    <w:link w:val="4"/>
    <w:qFormat/>
    <w:locked/>
    <w:uiPriority w:val="99"/>
    <w:rPr>
      <w:rFonts w:ascii="仿宋_GB2312" w:hAnsi="仿宋_GB2312" w:eastAsia="仿宋_GB2312"/>
      <w:b/>
      <w:kern w:val="2"/>
      <w:sz w:val="32"/>
    </w:rPr>
  </w:style>
  <w:style w:type="character" w:customStyle="1" w:styleId="41">
    <w:name w:val="download-filename1"/>
    <w:qFormat/>
    <w:uiPriority w:val="99"/>
    <w:rPr>
      <w:position w:val="8"/>
    </w:rPr>
  </w:style>
  <w:style w:type="character" w:customStyle="1" w:styleId="42">
    <w:name w:val="页眉 字符"/>
    <w:link w:val="22"/>
    <w:qFormat/>
    <w:locked/>
    <w:uiPriority w:val="99"/>
    <w:rPr>
      <w:rFonts w:cs="Times New Roman"/>
      <w:kern w:val="2"/>
      <w:sz w:val="18"/>
    </w:rPr>
  </w:style>
  <w:style w:type="character" w:customStyle="1" w:styleId="43">
    <w:name w:val="页脚 字符"/>
    <w:link w:val="21"/>
    <w:qFormat/>
    <w:locked/>
    <w:uiPriority w:val="99"/>
    <w:rPr>
      <w:rFonts w:cs="Times New Roman"/>
      <w:kern w:val="2"/>
      <w:sz w:val="18"/>
    </w:rPr>
  </w:style>
  <w:style w:type="character" w:customStyle="1" w:styleId="44">
    <w:name w:val="正文文本缩进 字符"/>
    <w:link w:val="13"/>
    <w:qFormat/>
    <w:locked/>
    <w:uiPriority w:val="99"/>
    <w:rPr>
      <w:rFonts w:ascii="??_GB2312" w:hAnsi="宋体" w:eastAsia="Times New Roman" w:cs="Times New Roman"/>
      <w:color w:val="000000"/>
      <w:kern w:val="2"/>
      <w:sz w:val="21"/>
    </w:rPr>
  </w:style>
  <w:style w:type="character" w:customStyle="1" w:styleId="45">
    <w:name w:val="批注主题 字符"/>
    <w:link w:val="30"/>
    <w:qFormat/>
    <w:locked/>
    <w:uiPriority w:val="99"/>
    <w:rPr>
      <w:rFonts w:cs="Times New Roman"/>
      <w:b/>
      <w:kern w:val="2"/>
      <w:sz w:val="24"/>
    </w:rPr>
  </w:style>
  <w:style w:type="paragraph" w:customStyle="1" w:styleId="46">
    <w:name w:val="第一条"/>
    <w:basedOn w:val="1"/>
    <w:next w:val="47"/>
    <w:qFormat/>
    <w:uiPriority w:val="0"/>
    <w:pPr>
      <w:tabs>
        <w:tab w:val="left" w:pos="2505"/>
      </w:tabs>
      <w:spacing w:line="360" w:lineRule="auto"/>
      <w:jc w:val="center"/>
    </w:pPr>
    <w:rPr>
      <w:rFonts w:hAnsi="宋体"/>
      <w:sz w:val="24"/>
    </w:rPr>
  </w:style>
  <w:style w:type="paragraph" w:customStyle="1" w:styleId="47">
    <w:name w:val="正文缩进1"/>
    <w:basedOn w:val="1"/>
    <w:qFormat/>
    <w:uiPriority w:val="0"/>
    <w:pPr>
      <w:ind w:firstLine="420"/>
    </w:pPr>
  </w:style>
  <w:style w:type="paragraph" w:customStyle="1" w:styleId="48">
    <w:name w:val="_Style 10"/>
    <w:basedOn w:val="1"/>
    <w:qFormat/>
    <w:uiPriority w:val="99"/>
    <w:pPr>
      <w:widowControl/>
    </w:pPr>
    <w:rPr>
      <w:szCs w:val="20"/>
    </w:rPr>
  </w:style>
  <w:style w:type="paragraph" w:customStyle="1" w:styleId="49">
    <w:name w:val="p0"/>
    <w:basedOn w:val="1"/>
    <w:qFormat/>
    <w:uiPriority w:val="99"/>
    <w:pPr>
      <w:widowControl/>
    </w:pPr>
    <w:rPr>
      <w:rFonts w:ascii="Calibri" w:hAnsi="Calibri" w:cs="宋体"/>
      <w:kern w:val="0"/>
      <w:szCs w:val="21"/>
    </w:rPr>
  </w:style>
  <w:style w:type="paragraph" w:customStyle="1" w:styleId="50">
    <w:name w:val="列出段落1"/>
    <w:basedOn w:val="1"/>
    <w:qFormat/>
    <w:uiPriority w:val="0"/>
    <w:pPr>
      <w:ind w:firstLine="420"/>
      <w:jc w:val="left"/>
    </w:pPr>
    <w:rPr>
      <w:rFonts w:ascii="Calibri" w:hAnsi="Calibri"/>
      <w:kern w:val="0"/>
      <w:sz w:val="22"/>
      <w:szCs w:val="22"/>
      <w:lang w:eastAsia="en-US"/>
    </w:rPr>
  </w:style>
  <w:style w:type="paragraph" w:customStyle="1" w:styleId="51">
    <w:name w:val="TOC 标题1"/>
    <w:basedOn w:val="3"/>
    <w:next w:val="1"/>
    <w:qFormat/>
    <w:uiPriority w:val="99"/>
    <w:pPr>
      <w:widowControl/>
      <w:spacing w:before="480" w:line="276" w:lineRule="auto"/>
      <w:outlineLvl w:val="9"/>
    </w:pPr>
    <w:rPr>
      <w:rFonts w:ascii="Cambria" w:hAnsi="Cambria"/>
      <w:bCs/>
      <w:color w:val="365F91"/>
      <w:kern w:val="0"/>
      <w:szCs w:val="28"/>
    </w:rPr>
  </w:style>
  <w:style w:type="paragraph" w:customStyle="1" w:styleId="52">
    <w:name w:val="标题4"/>
    <w:basedOn w:val="1"/>
    <w:link w:val="54"/>
    <w:qFormat/>
    <w:uiPriority w:val="0"/>
    <w:pPr>
      <w:adjustRightInd w:val="0"/>
      <w:snapToGrid w:val="0"/>
      <w:spacing w:beforeLines="50" w:afterLines="50"/>
      <w:textAlignment w:val="baseline"/>
      <w:outlineLvl w:val="3"/>
    </w:pPr>
    <w:rPr>
      <w:rFonts w:eastAsia="黑体"/>
      <w:color w:val="000000"/>
    </w:rPr>
  </w:style>
  <w:style w:type="paragraph" w:customStyle="1" w:styleId="53">
    <w:name w:val="TOC 标题2"/>
    <w:basedOn w:val="3"/>
    <w:next w:val="1"/>
    <w:unhideWhenUsed/>
    <w:qFormat/>
    <w:uiPriority w:val="39"/>
    <w:pPr>
      <w:widowControl/>
      <w:spacing w:before="240" w:line="259" w:lineRule="auto"/>
      <w:outlineLvl w:val="9"/>
    </w:pPr>
    <w:rPr>
      <w:rFonts w:ascii="Calibri Light" w:hAnsi="Calibri Light" w:eastAsia="宋体"/>
      <w:b w:val="0"/>
      <w:color w:val="2E74B5"/>
      <w:kern w:val="0"/>
      <w:szCs w:val="32"/>
    </w:rPr>
  </w:style>
  <w:style w:type="character" w:customStyle="1" w:styleId="54">
    <w:name w:val="标题4 Char"/>
    <w:link w:val="52"/>
    <w:qFormat/>
    <w:uiPriority w:val="0"/>
    <w:rPr>
      <w:rFonts w:eastAsia="黑体" w:cs="仿宋_GB2312"/>
      <w:color w:val="000000"/>
      <w:kern w:val="2"/>
      <w:sz w:val="32"/>
      <w:szCs w:val="24"/>
    </w:rPr>
  </w:style>
  <w:style w:type="character" w:customStyle="1" w:styleId="55">
    <w:name w:val="日期 字符"/>
    <w:link w:val="18"/>
    <w:semiHidden/>
    <w:qFormat/>
    <w:uiPriority w:val="0"/>
    <w:rPr>
      <w:rFonts w:eastAsia="仿宋"/>
      <w:kern w:val="2"/>
      <w:sz w:val="28"/>
      <w:szCs w:val="24"/>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7">
    <w:name w:val="List Paragraph"/>
    <w:basedOn w:val="1"/>
    <w:qFormat/>
    <w:uiPriority w:val="34"/>
    <w:pPr>
      <w:ind w:firstLine="420"/>
    </w:pPr>
  </w:style>
  <w:style w:type="character" w:customStyle="1" w:styleId="58">
    <w:name w:val="批注文字 Char1"/>
    <w:basedOn w:val="32"/>
    <w:semiHidden/>
    <w:qFormat/>
    <w:uiPriority w:val="0"/>
    <w:rPr>
      <w:kern w:val="2"/>
      <w:sz w:val="21"/>
      <w:szCs w:val="24"/>
    </w:rPr>
  </w:style>
  <w:style w:type="character" w:customStyle="1" w:styleId="59">
    <w:name w:val="标题 2 Char"/>
    <w:qFormat/>
    <w:locked/>
    <w:uiPriority w:val="99"/>
    <w:rPr>
      <w:rFonts w:eastAsia="黑体"/>
      <w:b/>
      <w:kern w:val="2"/>
      <w:sz w:val="28"/>
    </w:rPr>
  </w:style>
  <w:style w:type="paragraph" w:customStyle="1" w:styleId="60">
    <w:name w:val="交易规则章节"/>
    <w:basedOn w:val="1"/>
    <w:next w:val="1"/>
    <w:qFormat/>
    <w:uiPriority w:val="99"/>
    <w:pPr>
      <w:numPr>
        <w:ilvl w:val="0"/>
        <w:numId w:val="2"/>
      </w:numPr>
      <w:spacing w:line="360" w:lineRule="auto"/>
      <w:jc w:val="center"/>
    </w:pPr>
    <w:rPr>
      <w:rFonts w:ascii="黑体" w:hAnsi="黑体" w:eastAsia="黑体"/>
      <w:szCs w:val="32"/>
    </w:rPr>
  </w:style>
  <w:style w:type="paragraph" w:customStyle="1" w:styleId="61">
    <w:name w:val="交易条款"/>
    <w:basedOn w:val="1"/>
    <w:next w:val="1"/>
    <w:qFormat/>
    <w:uiPriority w:val="99"/>
    <w:pPr>
      <w:numPr>
        <w:ilvl w:val="1"/>
        <w:numId w:val="2"/>
      </w:numPr>
      <w:spacing w:line="360" w:lineRule="auto"/>
    </w:pPr>
    <w:rPr>
      <w:rFonts w:ascii="Calibri" w:hAnsi="Calibri"/>
      <w:szCs w:val="22"/>
    </w:rPr>
  </w:style>
  <w:style w:type="paragraph" w:customStyle="1" w:styleId="62">
    <w:name w:val="交易分点"/>
    <w:basedOn w:val="1"/>
    <w:next w:val="1"/>
    <w:qFormat/>
    <w:uiPriority w:val="99"/>
    <w:pPr>
      <w:numPr>
        <w:ilvl w:val="2"/>
        <w:numId w:val="2"/>
      </w:numPr>
      <w:spacing w:line="360" w:lineRule="auto"/>
    </w:pPr>
    <w:rPr>
      <w:rFonts w:ascii="Calibri" w:hAnsi="Calibri"/>
      <w:szCs w:val="22"/>
    </w:rPr>
  </w:style>
  <w:style w:type="paragraph" w:customStyle="1" w:styleId="63">
    <w:name w:val="交易小点"/>
    <w:basedOn w:val="1"/>
    <w:next w:val="1"/>
    <w:qFormat/>
    <w:uiPriority w:val="99"/>
    <w:pPr>
      <w:numPr>
        <w:ilvl w:val="3"/>
        <w:numId w:val="2"/>
      </w:numPr>
      <w:spacing w:line="360" w:lineRule="auto"/>
    </w:pPr>
    <w:rPr>
      <w:rFonts w:ascii="Calibri" w:hAnsi="Calibri"/>
      <w:szCs w:val="22"/>
    </w:rPr>
  </w:style>
  <w:style w:type="paragraph" w:customStyle="1" w:styleId="64">
    <w:name w:val="列出段落2"/>
    <w:basedOn w:val="1"/>
    <w:qFormat/>
    <w:uiPriority w:val="0"/>
    <w:pPr>
      <w:ind w:firstLine="420"/>
    </w:pPr>
  </w:style>
  <w:style w:type="character" w:customStyle="1" w:styleId="65">
    <w:name w:val="标题 4 字符"/>
    <w:basedOn w:val="32"/>
    <w:link w:val="7"/>
    <w:qFormat/>
    <w:uiPriority w:val="0"/>
    <w:rPr>
      <w:rFonts w:ascii="Calibri Light" w:hAnsi="Calibri Light"/>
      <w:b/>
      <w:bCs/>
      <w:kern w:val="2"/>
      <w:sz w:val="28"/>
      <w:szCs w:val="28"/>
    </w:rPr>
  </w:style>
  <w:style w:type="character" w:customStyle="1" w:styleId="66">
    <w:name w:val="批注文字 Char"/>
    <w:qFormat/>
    <w:locked/>
    <w:uiPriority w:val="0"/>
    <w:rPr>
      <w:rFonts w:cs="Times New Roman"/>
      <w:kern w:val="2"/>
      <w:sz w:val="24"/>
    </w:rPr>
  </w:style>
  <w:style w:type="character" w:customStyle="1" w:styleId="67">
    <w:name w:val="标题 3 Char"/>
    <w:qFormat/>
    <w:locked/>
    <w:uiPriority w:val="99"/>
    <w:rPr>
      <w:rFonts w:eastAsia="黑体"/>
      <w:b/>
      <w:bCs/>
      <w:kern w:val="2"/>
      <w:sz w:val="32"/>
      <w:szCs w:val="32"/>
    </w:rPr>
  </w:style>
  <w:style w:type="character" w:customStyle="1" w:styleId="68">
    <w:name w:val="批注框文本 Char"/>
    <w:qFormat/>
    <w:locked/>
    <w:uiPriority w:val="99"/>
    <w:rPr>
      <w:rFonts w:cs="Times New Roman"/>
      <w:kern w:val="2"/>
      <w:sz w:val="18"/>
    </w:rPr>
  </w:style>
  <w:style w:type="character" w:customStyle="1" w:styleId="69">
    <w:name w:val="标题 1 Char"/>
    <w:qFormat/>
    <w:locked/>
    <w:uiPriority w:val="99"/>
    <w:rPr>
      <w:rFonts w:eastAsia="黑体"/>
      <w:b/>
      <w:kern w:val="44"/>
      <w:sz w:val="28"/>
    </w:rPr>
  </w:style>
  <w:style w:type="character" w:customStyle="1" w:styleId="70">
    <w:name w:val="页眉 Char"/>
    <w:qFormat/>
    <w:locked/>
    <w:uiPriority w:val="99"/>
    <w:rPr>
      <w:rFonts w:cs="Times New Roman"/>
      <w:kern w:val="2"/>
      <w:sz w:val="18"/>
    </w:rPr>
  </w:style>
  <w:style w:type="character" w:customStyle="1" w:styleId="71">
    <w:name w:val="页脚 Char"/>
    <w:qFormat/>
    <w:locked/>
    <w:uiPriority w:val="99"/>
    <w:rPr>
      <w:rFonts w:cs="Times New Roman"/>
      <w:kern w:val="2"/>
      <w:sz w:val="18"/>
    </w:rPr>
  </w:style>
  <w:style w:type="character" w:customStyle="1" w:styleId="72">
    <w:name w:val="正文文本缩进 Char"/>
    <w:qFormat/>
    <w:locked/>
    <w:uiPriority w:val="99"/>
    <w:rPr>
      <w:rFonts w:ascii="??_GB2312" w:hAnsi="宋体" w:eastAsia="Times New Roman" w:cs="Times New Roman"/>
      <w:color w:val="000000"/>
      <w:kern w:val="2"/>
      <w:sz w:val="21"/>
    </w:rPr>
  </w:style>
  <w:style w:type="character" w:customStyle="1" w:styleId="73">
    <w:name w:val="批注主题 Char"/>
    <w:qFormat/>
    <w:locked/>
    <w:uiPriority w:val="99"/>
    <w:rPr>
      <w:rFonts w:cs="Times New Roman"/>
      <w:b/>
      <w:kern w:val="2"/>
      <w:sz w:val="24"/>
    </w:rPr>
  </w:style>
  <w:style w:type="character" w:customStyle="1" w:styleId="74">
    <w:name w:val="日期 Char"/>
    <w:semiHidden/>
    <w:qFormat/>
    <w:uiPriority w:val="0"/>
    <w:rPr>
      <w:rFonts w:eastAsia="仿宋"/>
      <w:kern w:val="2"/>
      <w:sz w:val="28"/>
      <w:szCs w:val="24"/>
    </w:rPr>
  </w:style>
  <w:style w:type="character" w:customStyle="1" w:styleId="75">
    <w:name w:val="文档结构图 字符"/>
    <w:basedOn w:val="32"/>
    <w:semiHidden/>
    <w:qFormat/>
    <w:uiPriority w:val="0"/>
    <w:rPr>
      <w:rFonts w:ascii="Microsoft YaHei UI" w:eastAsia="Microsoft YaHei UI"/>
      <w:kern w:val="2"/>
      <w:sz w:val="18"/>
      <w:szCs w:val="18"/>
    </w:rPr>
  </w:style>
  <w:style w:type="character" w:customStyle="1" w:styleId="76">
    <w:name w:val="文档结构图 字符1"/>
    <w:basedOn w:val="32"/>
    <w:link w:val="11"/>
    <w:semiHidden/>
    <w:qFormat/>
    <w:uiPriority w:val="99"/>
    <w:rPr>
      <w:rFonts w:ascii="宋体"/>
      <w:kern w:val="2"/>
      <w:sz w:val="18"/>
      <w:szCs w:val="18"/>
    </w:rPr>
  </w:style>
  <w:style w:type="character" w:customStyle="1" w:styleId="77">
    <w:name w:val="标题 4 Char"/>
    <w:basedOn w:val="32"/>
    <w:qFormat/>
    <w:uiPriority w:val="0"/>
    <w:rPr>
      <w:rFonts w:ascii="Arial" w:hAnsi="Arial" w:eastAsia="黑体"/>
      <w:b/>
      <w:kern w:val="2"/>
      <w:sz w:val="28"/>
    </w:rPr>
  </w:style>
  <w:style w:type="character" w:styleId="78">
    <w:name w:val="Placeholder Text"/>
    <w:semiHidden/>
    <w:qFormat/>
    <w:uiPriority w:val="99"/>
    <w:rPr>
      <w:color w:val="808080"/>
    </w:rPr>
  </w:style>
  <w:style w:type="character" w:customStyle="1" w:styleId="79">
    <w:name w:val="正文文本缩进 2 字符"/>
    <w:basedOn w:val="32"/>
    <w:link w:val="19"/>
    <w:semiHidden/>
    <w:qFormat/>
    <w:uiPriority w:val="0"/>
    <w:rPr>
      <w:rFonts w:eastAsia="仿宋"/>
      <w:kern w:val="2"/>
      <w:sz w:val="28"/>
      <w:szCs w:val="24"/>
    </w:rPr>
  </w:style>
  <w:style w:type="character" w:customStyle="1" w:styleId="80">
    <w:name w:val="纯文本 字符"/>
    <w:basedOn w:val="32"/>
    <w:link w:val="16"/>
    <w:qFormat/>
    <w:uiPriority w:val="0"/>
    <w:rPr>
      <w:rFonts w:ascii="宋体"/>
      <w:kern w:val="2"/>
      <w:sz w:val="21"/>
    </w:rPr>
  </w:style>
  <w:style w:type="character" w:customStyle="1" w:styleId="81">
    <w:name w:val="标题 Char"/>
    <w:basedOn w:val="32"/>
    <w:link w:val="82"/>
    <w:qFormat/>
    <w:uiPriority w:val="0"/>
    <w:rPr>
      <w:rFonts w:ascii="Cambria" w:hAnsi="Cambria"/>
      <w:b/>
      <w:sz w:val="32"/>
    </w:rPr>
  </w:style>
  <w:style w:type="paragraph" w:customStyle="1" w:styleId="82">
    <w:name w:val="标题1"/>
    <w:basedOn w:val="1"/>
    <w:next w:val="1"/>
    <w:link w:val="81"/>
    <w:qFormat/>
    <w:uiPriority w:val="0"/>
    <w:pPr>
      <w:spacing w:before="240" w:after="60"/>
      <w:jc w:val="center"/>
      <w:outlineLvl w:val="0"/>
    </w:pPr>
    <w:rPr>
      <w:rFonts w:ascii="Cambria" w:hAnsi="Cambria" w:eastAsia="宋体"/>
      <w:b/>
      <w:kern w:val="0"/>
      <w:szCs w:val="20"/>
    </w:rPr>
  </w:style>
  <w:style w:type="paragraph" w:customStyle="1" w:styleId="83">
    <w:name w:val="页脚1"/>
    <w:basedOn w:val="1"/>
    <w:qFormat/>
    <w:uiPriority w:val="0"/>
    <w:pPr>
      <w:tabs>
        <w:tab w:val="center" w:pos="4153"/>
        <w:tab w:val="right" w:pos="8306"/>
      </w:tabs>
      <w:snapToGrid w:val="0"/>
      <w:jc w:val="left"/>
    </w:pPr>
    <w:rPr>
      <w:rFonts w:eastAsia="宋体"/>
      <w:sz w:val="18"/>
      <w:szCs w:val="20"/>
    </w:rPr>
  </w:style>
  <w:style w:type="paragraph" w:customStyle="1" w:styleId="84">
    <w:name w:val="页眉1"/>
    <w:basedOn w:val="1"/>
    <w:qFormat/>
    <w:uiPriority w:val="0"/>
    <w:pPr>
      <w:pBdr>
        <w:bottom w:val="single" w:color="auto" w:sz="6" w:space="1"/>
      </w:pBdr>
      <w:tabs>
        <w:tab w:val="center" w:pos="4153"/>
        <w:tab w:val="right" w:pos="8306"/>
      </w:tabs>
      <w:snapToGrid w:val="0"/>
      <w:jc w:val="center"/>
    </w:pPr>
    <w:rPr>
      <w:rFonts w:eastAsia="宋体"/>
      <w:sz w:val="18"/>
      <w:szCs w:val="20"/>
    </w:rPr>
  </w:style>
  <w:style w:type="character" w:customStyle="1" w:styleId="85">
    <w:name w:val="脚注引用1"/>
    <w:qFormat/>
    <w:uiPriority w:val="0"/>
    <w:rPr>
      <w:vertAlign w:val="superscript"/>
    </w:rPr>
  </w:style>
  <w:style w:type="paragraph" w:customStyle="1" w:styleId="86">
    <w:name w:val="脚注文本1"/>
    <w:basedOn w:val="1"/>
    <w:qFormat/>
    <w:uiPriority w:val="0"/>
    <w:pPr>
      <w:snapToGrid w:val="0"/>
      <w:jc w:val="left"/>
    </w:pPr>
    <w:rPr>
      <w:rFonts w:eastAsia="宋体"/>
      <w:sz w:val="18"/>
      <w:szCs w:val="20"/>
    </w:rPr>
  </w:style>
  <w:style w:type="paragraph" w:customStyle="1" w:styleId="87">
    <w:name w:val="正文文本缩进1"/>
    <w:basedOn w:val="1"/>
    <w:qFormat/>
    <w:uiPriority w:val="0"/>
    <w:pPr>
      <w:ind w:firstLine="524" w:firstLineChars="187"/>
    </w:pPr>
    <w:rPr>
      <w:rFonts w:ascii="宋体" w:eastAsia="宋体"/>
      <w:szCs w:val="20"/>
    </w:rPr>
  </w:style>
  <w:style w:type="paragraph" w:customStyle="1" w:styleId="88">
    <w:name w:val="列出段落3"/>
    <w:basedOn w:val="1"/>
    <w:qFormat/>
    <w:uiPriority w:val="0"/>
    <w:pPr>
      <w:ind w:firstLine="420"/>
    </w:pPr>
    <w:rPr>
      <w:rFonts w:eastAsia="宋体"/>
      <w:szCs w:val="20"/>
    </w:rPr>
  </w:style>
  <w:style w:type="paragraph" w:customStyle="1" w:styleId="89">
    <w:name w:val="正文首行缩进 Char Char"/>
    <w:basedOn w:val="1"/>
    <w:qFormat/>
    <w:uiPriority w:val="0"/>
    <w:pPr>
      <w:spacing w:line="360" w:lineRule="auto"/>
      <w:ind w:firstLine="200"/>
    </w:pPr>
    <w:rPr>
      <w:rFonts w:eastAsia="宋体"/>
      <w:kern w:val="0"/>
      <w:sz w:val="24"/>
      <w:szCs w:val="20"/>
    </w:rPr>
  </w:style>
  <w:style w:type="character" w:customStyle="1" w:styleId="90">
    <w:name w:val="标题 字符"/>
    <w:basedOn w:val="32"/>
    <w:link w:val="29"/>
    <w:qFormat/>
    <w:uiPriority w:val="0"/>
    <w:rPr>
      <w:rFonts w:ascii="Cambria" w:hAnsi="Cambria"/>
      <w:b/>
      <w:kern w:val="2"/>
      <w:sz w:val="32"/>
    </w:rPr>
  </w:style>
  <w:style w:type="paragraph" w:customStyle="1" w:styleId="91">
    <w:name w:val="缩进正文"/>
    <w:basedOn w:val="1"/>
    <w:link w:val="92"/>
    <w:qFormat/>
    <w:uiPriority w:val="0"/>
    <w:rPr>
      <w:rFonts w:ascii="仿宋_GB2312"/>
      <w:kern w:val="0"/>
      <w:szCs w:val="32"/>
    </w:rPr>
  </w:style>
  <w:style w:type="character" w:customStyle="1" w:styleId="92">
    <w:name w:val="缩进正文 Char"/>
    <w:link w:val="91"/>
    <w:qFormat/>
    <w:uiPriority w:val="0"/>
    <w:rPr>
      <w:rFonts w:ascii="仿宋_GB2312" w:eastAsia="仿宋_GB2312"/>
      <w:sz w:val="32"/>
      <w:szCs w:val="32"/>
    </w:rPr>
  </w:style>
  <w:style w:type="character" w:customStyle="1" w:styleId="93">
    <w:name w:val="脚注文本 Char"/>
    <w:link w:val="94"/>
    <w:qFormat/>
    <w:uiPriority w:val="0"/>
    <w:rPr>
      <w:kern w:val="2"/>
      <w:sz w:val="18"/>
    </w:rPr>
  </w:style>
  <w:style w:type="paragraph" w:customStyle="1" w:styleId="94">
    <w:name w:val="脚注文本2"/>
    <w:basedOn w:val="1"/>
    <w:link w:val="93"/>
    <w:qFormat/>
    <w:uiPriority w:val="0"/>
    <w:pPr>
      <w:snapToGrid w:val="0"/>
      <w:jc w:val="left"/>
    </w:pPr>
    <w:rPr>
      <w:rFonts w:eastAsia="宋体"/>
      <w:sz w:val="18"/>
      <w:szCs w:val="20"/>
    </w:rPr>
  </w:style>
  <w:style w:type="character" w:customStyle="1" w:styleId="95">
    <w:name w:val="脚注引用2"/>
    <w:qFormat/>
    <w:uiPriority w:val="0"/>
    <w:rPr>
      <w:vertAlign w:val="superscript"/>
    </w:rPr>
  </w:style>
  <w:style w:type="paragraph" w:customStyle="1" w:styleId="96">
    <w:name w:val="页眉2"/>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20"/>
    </w:rPr>
  </w:style>
  <w:style w:type="paragraph" w:customStyle="1" w:styleId="97">
    <w:name w:val="页脚2"/>
    <w:basedOn w:val="1"/>
    <w:qFormat/>
    <w:uiPriority w:val="0"/>
    <w:pPr>
      <w:tabs>
        <w:tab w:val="center" w:pos="4153"/>
        <w:tab w:val="right" w:pos="8306"/>
      </w:tabs>
      <w:snapToGrid w:val="0"/>
      <w:jc w:val="left"/>
    </w:pPr>
    <w:rPr>
      <w:rFonts w:ascii="Calibri" w:hAnsi="Calibri" w:eastAsia="宋体"/>
      <w:sz w:val="18"/>
      <w:szCs w:val="18"/>
    </w:rPr>
  </w:style>
  <w:style w:type="paragraph" w:customStyle="1" w:styleId="98">
    <w:name w:val="列出段落4"/>
    <w:basedOn w:val="1"/>
    <w:qFormat/>
    <w:uiPriority w:val="0"/>
    <w:pPr>
      <w:ind w:firstLine="420"/>
    </w:pPr>
    <w:rPr>
      <w:rFonts w:eastAsia="宋体"/>
      <w:szCs w:val="20"/>
    </w:rPr>
  </w:style>
  <w:style w:type="paragraph" w:customStyle="1" w:styleId="99">
    <w:name w:val="修订1"/>
    <w:hidden/>
    <w:semiHidden/>
    <w:qFormat/>
    <w:uiPriority w:val="99"/>
    <w:rPr>
      <w:rFonts w:ascii="Times New Roman" w:hAnsi="Times New Roman" w:eastAsia="仿宋" w:cs="Times New Roman"/>
      <w:kern w:val="2"/>
      <w:sz w:val="28"/>
      <w:szCs w:val="24"/>
      <w:lang w:val="en-US" w:eastAsia="zh-CN" w:bidi="ar-SA"/>
    </w:rPr>
  </w:style>
  <w:style w:type="paragraph" w:customStyle="1" w:styleId="100">
    <w:name w:val="列出段落5"/>
    <w:basedOn w:val="1"/>
    <w:qFormat/>
    <w:uiPriority w:val="0"/>
    <w:pPr>
      <w:ind w:firstLine="420"/>
    </w:pPr>
    <w:rPr>
      <w:szCs w:val="20"/>
    </w:rPr>
  </w:style>
  <w:style w:type="paragraph" w:customStyle="1" w:styleId="101">
    <w:name w:val="一级标题"/>
    <w:basedOn w:val="102"/>
    <w:qFormat/>
    <w:uiPriority w:val="0"/>
    <w:pPr>
      <w:numPr>
        <w:ilvl w:val="0"/>
        <w:numId w:val="3"/>
      </w:numPr>
      <w:spacing w:before="50" w:after="50" w:line="240" w:lineRule="auto"/>
      <w:ind w:left="6" w:firstLine="640"/>
      <w:jc w:val="left"/>
    </w:pPr>
    <w:rPr>
      <w:rFonts w:eastAsia="仿宋_GB2312"/>
      <w:b/>
    </w:rPr>
  </w:style>
  <w:style w:type="paragraph" w:customStyle="1" w:styleId="102">
    <w:name w:val="章"/>
    <w:basedOn w:val="1"/>
    <w:next w:val="103"/>
    <w:qFormat/>
    <w:uiPriority w:val="0"/>
    <w:pPr>
      <w:spacing w:beforeLines="50" w:afterLines="50" w:line="360" w:lineRule="auto"/>
      <w:jc w:val="center"/>
      <w:outlineLvl w:val="0"/>
    </w:pPr>
    <w:rPr>
      <w:rFonts w:eastAsia="黑体"/>
    </w:rPr>
  </w:style>
  <w:style w:type="paragraph" w:customStyle="1" w:styleId="103">
    <w:name w:val="条"/>
    <w:basedOn w:val="1"/>
    <w:qFormat/>
    <w:uiPriority w:val="0"/>
  </w:style>
  <w:style w:type="paragraph" w:customStyle="1" w:styleId="104">
    <w:name w:val="正文格式"/>
    <w:basedOn w:val="1"/>
    <w:qFormat/>
    <w:uiPriority w:val="0"/>
    <w:pPr>
      <w:spacing w:line="586" w:lineRule="exact"/>
    </w:pPr>
    <w:rPr>
      <w:rFonts w:ascii="仿宋_GB2312"/>
      <w:bCs/>
      <w:color w:val="333333"/>
      <w:szCs w:val="32"/>
    </w:rPr>
  </w:style>
  <w:style w:type="paragraph" w:customStyle="1" w:styleId="105">
    <w:name w:val="二级标题"/>
    <w:basedOn w:val="101"/>
    <w:qFormat/>
    <w:uiPriority w:val="0"/>
    <w:pPr>
      <w:numPr>
        <w:ilvl w:val="1"/>
      </w:numPr>
      <w:ind w:left="6" w:firstLine="640"/>
      <w:outlineLvl w:val="1"/>
    </w:pPr>
  </w:style>
  <w:style w:type="paragraph" w:customStyle="1" w:styleId="106">
    <w:name w:val="三级标题"/>
    <w:basedOn w:val="105"/>
    <w:qFormat/>
    <w:uiPriority w:val="0"/>
    <w:pPr>
      <w:numPr>
        <w:ilvl w:val="2"/>
      </w:numPr>
      <w:outlineLvl w:val="2"/>
    </w:pPr>
  </w:style>
  <w:style w:type="paragraph" w:customStyle="1" w:styleId="107">
    <w:name w:val="TOC 标题3"/>
    <w:basedOn w:val="3"/>
    <w:next w:val="1"/>
    <w:unhideWhenUsed/>
    <w:qFormat/>
    <w:uiPriority w:val="39"/>
    <w:pPr>
      <w:widowControl/>
      <w:numPr>
        <w:numId w:val="0"/>
      </w:numPr>
      <w:spacing w:before="240" w:line="259" w:lineRule="auto"/>
      <w:outlineLvl w:val="9"/>
    </w:pPr>
    <w:rPr>
      <w:rFonts w:asciiTheme="majorHAnsi" w:hAnsiTheme="majorHAnsi" w:eastAsiaTheme="majorEastAsia" w:cstheme="majorBidi"/>
      <w:b w:val="0"/>
      <w:color w:val="376092" w:themeColor="accent1" w:themeShade="BF"/>
      <w:kern w:val="0"/>
      <w:szCs w:val="32"/>
    </w:rPr>
  </w:style>
  <w:style w:type="paragraph" w:customStyle="1" w:styleId="108">
    <w:name w:val="修订2"/>
    <w:hidden/>
    <w:unhideWhenUsed/>
    <w:qFormat/>
    <w:uiPriority w:val="99"/>
    <w:rPr>
      <w:rFonts w:ascii="Times New Roman" w:hAnsi="Times New Roman" w:eastAsia="仿宋_GB2312" w:cs="Times New Roman"/>
      <w:kern w:val="2"/>
      <w:sz w:val="32"/>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1146E-2D5C-416E-8CF1-5D5450212D9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Pages>
  <Words>2979</Words>
  <Characters>16983</Characters>
  <Lines>141</Lines>
  <Paragraphs>39</Paragraphs>
  <TotalTime>17</TotalTime>
  <ScaleCrop>false</ScaleCrop>
  <LinksUpToDate>false</LinksUpToDate>
  <CharactersWithSpaces>19923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2021-04-25T03:01:00Z</dcterms:created>
  <dc:creator>Tsinghua</dc:creator>
  <cp:lastModifiedBy>调度计划1</cp:lastModifiedBy>
  <cp:lastPrinted>2021-04-19T08:11:00Z</cp:lastPrinted>
  <dcterms:modified xsi:type="dcterms:W3CDTF">2023-10-24T09:41:35Z</dcterms:modified>
  <dc:title>北京电力交易中心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EBD50BB80D314CAA95A15A15C4433FB2</vt:lpwstr>
  </property>
</Properties>
</file>