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60" w:lineRule="atLeast"/>
        <w:jc w:val="left"/>
        <w:textAlignment w:val="auto"/>
        <w:outlineLvl w:val="0"/>
        <w:rPr>
          <w:rFonts w:hint="default" w:ascii="Times New Roman" w:hAnsi="Times New Roman" w:eastAsia="黑体" w:cs="Times New Roman"/>
          <w:sz w:val="32"/>
          <w:szCs w:val="32"/>
          <w:lang w:eastAsia="zh" w:bidi="ar"/>
        </w:rPr>
      </w:pPr>
      <w:bookmarkStart w:id="0" w:name="_GoBack"/>
      <w:bookmarkEnd w:id="0"/>
      <w:r>
        <w:rPr>
          <w:rFonts w:hint="default" w:ascii="Times New Roman" w:hAnsi="Times New Roman" w:eastAsia="黑体" w:cs="Times New Roman"/>
          <w:sz w:val="32"/>
          <w:szCs w:val="32"/>
          <w:lang w:bidi="ar"/>
        </w:rPr>
        <w:t>附件</w:t>
      </w:r>
      <w:r>
        <w:rPr>
          <w:rFonts w:hint="default" w:ascii="Times New Roman" w:hAnsi="Times New Roman" w:eastAsia="黑体" w:cs="Times New Roman"/>
          <w:sz w:val="32"/>
          <w:szCs w:val="32"/>
          <w:lang w:eastAsia="zh" w:bidi="ar"/>
        </w:rPr>
        <w:t>4</w:t>
      </w:r>
    </w:p>
    <w:p>
      <w:pPr>
        <w:autoSpaceDE w:val="0"/>
        <w:spacing w:line="560" w:lineRule="exact"/>
        <w:jc w:val="center"/>
        <w:outlineLvl w:val="0"/>
        <w:rPr>
          <w:b w:val="0"/>
          <w:bCs w:val="0"/>
          <w:sz w:val="44"/>
          <w:szCs w:val="44"/>
        </w:rPr>
      </w:pPr>
      <w:r>
        <w:rPr>
          <w:rFonts w:hint="eastAsia" w:ascii="方正小标宋简体" w:hAnsi="方正小标宋简体" w:eastAsia="方正小标宋简体" w:cs="方正小标宋简体"/>
          <w:b w:val="0"/>
          <w:bCs w:val="0"/>
          <w:sz w:val="44"/>
          <w:szCs w:val="44"/>
          <w:lang w:bidi="ar"/>
        </w:rPr>
        <w:t>湖南省公共</w:t>
      </w:r>
      <w:r>
        <w:rPr>
          <w:rFonts w:hint="eastAsia" w:ascii="方正小标宋简体" w:hAnsi="方正小标宋简体" w:eastAsia="方正小标宋简体" w:cs="方正小标宋简体"/>
          <w:b w:val="0"/>
          <w:bCs w:val="0"/>
          <w:sz w:val="44"/>
          <w:szCs w:val="44"/>
          <w:lang w:val="en-US" w:eastAsia="zh-CN" w:bidi="ar"/>
        </w:rPr>
        <w:t>信用</w:t>
      </w:r>
      <w:r>
        <w:rPr>
          <w:rFonts w:hint="eastAsia" w:ascii="方正小标宋简体" w:hAnsi="方正小标宋简体" w:eastAsia="方正小标宋简体" w:cs="方正小标宋简体"/>
          <w:b w:val="0"/>
          <w:bCs w:val="0"/>
          <w:sz w:val="44"/>
          <w:szCs w:val="44"/>
          <w:lang w:bidi="ar"/>
        </w:rPr>
        <w:t>数据资源授权运营机构</w:t>
      </w:r>
      <w:r>
        <w:rPr>
          <w:rFonts w:hint="eastAsia" w:ascii="方正小标宋简体" w:hAnsi="方正小标宋简体" w:eastAsia="方正小标宋简体" w:cs="方正小标宋简体"/>
          <w:b w:val="0"/>
          <w:bCs w:val="0"/>
          <w:sz w:val="44"/>
          <w:szCs w:val="44"/>
          <w:lang w:val="en-US" w:eastAsia="zh-CN" w:bidi="ar"/>
        </w:rPr>
        <w:t>遴选</w:t>
      </w:r>
      <w:r>
        <w:rPr>
          <w:rFonts w:hint="eastAsia" w:ascii="方正小标宋简体" w:hAnsi="方正小标宋简体" w:eastAsia="方正小标宋简体" w:cs="方正小标宋简体"/>
          <w:b w:val="0"/>
          <w:bCs w:val="0"/>
          <w:sz w:val="44"/>
          <w:szCs w:val="44"/>
          <w:lang w:bidi="ar"/>
        </w:rPr>
        <w:t>评审标准</w:t>
      </w:r>
    </w:p>
    <w:tbl>
      <w:tblPr>
        <w:tblStyle w:val="18"/>
        <w:tblW w:w="14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58"/>
        <w:gridCol w:w="1828"/>
        <w:gridCol w:w="10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blHeader/>
          <w:jc w:val="center"/>
        </w:trPr>
        <w:tc>
          <w:tcPr>
            <w:tcW w:w="165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kern w:val="0"/>
                <w:sz w:val="24"/>
                <w:lang w:eastAsia="zh"/>
              </w:rPr>
            </w:pPr>
            <w:r>
              <w:rPr>
                <w:rFonts w:hint="default" w:ascii="Times New Roman" w:hAnsi="Times New Roman" w:eastAsia="黑体" w:cs="Times New Roman"/>
                <w:b w:val="0"/>
                <w:bCs/>
                <w:kern w:val="0"/>
                <w:sz w:val="24"/>
                <w:lang w:eastAsia="zh"/>
              </w:rPr>
              <w:t>申报条件</w:t>
            </w: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kern w:val="0"/>
                <w:sz w:val="24"/>
                <w:lang w:eastAsia="en-US"/>
              </w:rPr>
            </w:pPr>
            <w:r>
              <w:rPr>
                <w:rFonts w:hint="default" w:ascii="Times New Roman" w:hAnsi="Times New Roman" w:eastAsia="黑体" w:cs="Times New Roman"/>
                <w:b w:val="0"/>
                <w:bCs/>
                <w:kern w:val="0"/>
                <w:sz w:val="24"/>
                <w:lang w:eastAsia="en-US"/>
              </w:rPr>
              <w:t>评审内容</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kern w:val="0"/>
                <w:sz w:val="24"/>
                <w:lang w:eastAsia="en-US"/>
              </w:rPr>
            </w:pPr>
            <w:r>
              <w:rPr>
                <w:rFonts w:hint="default" w:ascii="Times New Roman" w:hAnsi="Times New Roman" w:eastAsia="黑体" w:cs="Times New Roman"/>
                <w:b w:val="0"/>
                <w:bCs/>
                <w:kern w:val="0"/>
                <w:sz w:val="24"/>
                <w:lang w:eastAsia="en-US"/>
              </w:rPr>
              <w:t>评审标准和分值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658" w:type="dxa"/>
            <w:shd w:val="clear" w:color="auto" w:fill="auto"/>
            <w:vAlign w:val="center"/>
          </w:tcPr>
          <w:p>
            <w:pPr>
              <w:keepNext w:val="0"/>
              <w:keepLines w:val="0"/>
              <w:pageBreakBefore w:val="0"/>
              <w:widowControl/>
              <w:numPr>
                <w:ilvl w:val="255"/>
                <w:numId w:val="0"/>
              </w:numPr>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lang w:eastAsia="zh"/>
              </w:rPr>
              <w:t>基本资质</w:t>
            </w: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val="en-US" w:eastAsia="zh-CN"/>
              </w:rPr>
            </w:pPr>
            <w:r>
              <w:rPr>
                <w:rFonts w:hint="default" w:ascii="Times New Roman" w:hAnsi="Times New Roman" w:eastAsia="黑体" w:cs="Times New Roman"/>
                <w:b w:val="0"/>
                <w:bCs w:val="0"/>
                <w:kern w:val="0"/>
                <w:sz w:val="24"/>
              </w:rPr>
              <w:t>资格</w:t>
            </w:r>
            <w:r>
              <w:rPr>
                <w:rFonts w:hint="default" w:ascii="Times New Roman" w:hAnsi="Times New Roman" w:eastAsia="黑体" w:cs="Times New Roman"/>
                <w:b w:val="0"/>
                <w:bCs w:val="0"/>
                <w:kern w:val="0"/>
                <w:sz w:val="24"/>
                <w:lang w:val="en-US" w:eastAsia="zh-CN"/>
              </w:rPr>
              <w:t>审查</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1.主体资质：</w:t>
            </w:r>
            <w:r>
              <w:rPr>
                <w:rFonts w:hint="default" w:ascii="Times New Roman" w:hAnsi="Times New Roman" w:eastAsia="仿宋_GB2312" w:cs="Times New Roman"/>
                <w:kern w:val="0"/>
                <w:sz w:val="24"/>
              </w:rPr>
              <w:t>在中华人民共和国境内依法注册并有效存续的法人组织</w:t>
            </w:r>
            <w:r>
              <w:rPr>
                <w:rFonts w:hint="default" w:ascii="Times New Roman" w:hAnsi="Times New Roman" w:eastAsia="仿宋_GB2312" w:cs="Times New Roman"/>
                <w:kern w:val="0"/>
                <w:sz w:val="24"/>
                <w:lang w:eastAsia="zh"/>
              </w:rPr>
              <w:t>（提供申报单位</w:t>
            </w:r>
            <w:r>
              <w:rPr>
                <w:rFonts w:hint="default" w:ascii="Times New Roman" w:hAnsi="Times New Roman" w:eastAsia="仿宋_GB2312" w:cs="Times New Roman"/>
                <w:kern w:val="0"/>
                <w:sz w:val="24"/>
              </w:rPr>
              <w:t>法人营业执照副本扫描件</w:t>
            </w:r>
            <w:r>
              <w:rPr>
                <w:rFonts w:hint="default" w:ascii="Times New Roman" w:hAnsi="Times New Roman" w:eastAsia="仿宋_GB2312" w:cs="Times New Roman"/>
                <w:kern w:val="0"/>
                <w:sz w:val="24"/>
                <w:lang w:eastAsia="zh"/>
              </w:rPr>
              <w:t>）</w:t>
            </w:r>
            <w:r>
              <w:rPr>
                <w:rFonts w:hint="default" w:ascii="Times New Roman" w:hAnsi="Times New Roman" w:eastAsia="仿宋_GB2312" w:cs="Times New Roman"/>
                <w:kern w:val="0"/>
                <w:sz w:val="24"/>
              </w:rPr>
              <w:t>。</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2.</w:t>
            </w:r>
            <w:r>
              <w:rPr>
                <w:rFonts w:hint="default" w:ascii="Times New Roman" w:hAnsi="Times New Roman" w:eastAsia="仿宋_GB2312" w:cs="Times New Roman"/>
                <w:b/>
                <w:bCs/>
                <w:kern w:val="0"/>
                <w:sz w:val="24"/>
                <w:lang w:eastAsia="zh"/>
              </w:rPr>
              <w:t>信誉良好</w:t>
            </w:r>
            <w:r>
              <w:rPr>
                <w:rFonts w:hint="default" w:ascii="Times New Roman" w:hAnsi="Times New Roman" w:eastAsia="仿宋_GB2312" w:cs="Times New Roman"/>
                <w:b/>
                <w:bCs/>
                <w:kern w:val="0"/>
                <w:sz w:val="24"/>
              </w:rPr>
              <w:t>：</w:t>
            </w:r>
            <w:r>
              <w:rPr>
                <w:rFonts w:hint="default" w:ascii="Times New Roman" w:hAnsi="Times New Roman" w:eastAsia="仿宋_GB2312" w:cs="Times New Roman"/>
                <w:kern w:val="0"/>
                <w:sz w:val="24"/>
              </w:rPr>
              <w:t>在“信用中国”网站未被列入重大税收违法失信主体名单；在中国政府采购网未被列入政府采购严重违法失信行为记录名单；在国家企业信用信息公示系统未被列入严重违法失信名单（提供申报期内的查询截图）。</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3.安全状况：</w:t>
            </w:r>
            <w:r>
              <w:rPr>
                <w:rFonts w:hint="default" w:ascii="Times New Roman" w:hAnsi="Times New Roman" w:eastAsia="仿宋_GB2312" w:cs="Times New Roman"/>
                <w:kern w:val="0"/>
                <w:sz w:val="24"/>
              </w:rPr>
              <w:t>近三年未发生较大及以上网络安全或数据安全事件，且无网络安全、数据安全和个人信息保护违法记录（</w:t>
            </w:r>
            <w:r>
              <w:rPr>
                <w:rFonts w:hint="default" w:ascii="Times New Roman" w:hAnsi="Times New Roman" w:eastAsia="仿宋_GB2312" w:cs="Times New Roman"/>
                <w:kern w:val="0"/>
                <w:sz w:val="24"/>
                <w:lang w:eastAsia="zh"/>
              </w:rPr>
              <w:t>提供</w:t>
            </w:r>
            <w:r>
              <w:rPr>
                <w:rFonts w:hint="default" w:ascii="Times New Roman" w:hAnsi="Times New Roman" w:eastAsia="仿宋_GB2312" w:cs="Times New Roman"/>
                <w:kern w:val="0"/>
                <w:sz w:val="24"/>
              </w:rPr>
              <w:t>网络和数据安全承诺书）。</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lang w:eastAsia="zh"/>
              </w:rPr>
              <w:t>4.资金保障：</w:t>
            </w:r>
            <w:r>
              <w:rPr>
                <w:rFonts w:hint="default" w:ascii="Times New Roman" w:hAnsi="Times New Roman" w:eastAsia="仿宋_GB2312" w:cs="Times New Roman"/>
                <w:kern w:val="0"/>
                <w:sz w:val="24"/>
                <w:lang w:eastAsia="zh"/>
              </w:rPr>
              <w:t>能为授权期内平台建设、技术研发、安全保障及团队建设等提供必要资金保障（提供1年内的经会计师事务所或审计机构出具的合法有效的财务审计报告及财务报表，或者提供开户银行出具的</w:t>
            </w:r>
            <w:r>
              <w:rPr>
                <w:rFonts w:hint="default" w:ascii="Times New Roman" w:hAnsi="Times New Roman" w:eastAsia="仿宋_GB2312" w:cs="Times New Roman"/>
                <w:kern w:val="0"/>
                <w:sz w:val="24"/>
                <w:highlight w:val="none"/>
                <w:lang w:eastAsia="zh"/>
              </w:rPr>
              <w:t>有效资信证明</w:t>
            </w:r>
            <w:r>
              <w:rPr>
                <w:rFonts w:hint="default" w:ascii="Times New Roman" w:hAnsi="Times New Roman" w:eastAsia="仿宋_GB2312" w:cs="Times New Roman"/>
                <w:kern w:val="0"/>
                <w:sz w:val="24"/>
                <w:lang w:eastAsia="zh"/>
              </w:rPr>
              <w:t>）</w:t>
            </w:r>
            <w:r>
              <w:rPr>
                <w:rFonts w:hint="default" w:ascii="Times New Roman" w:hAnsi="Times New Roman" w:eastAsia="仿宋_GB2312" w:cs="Times New Roman"/>
                <w:kern w:val="0"/>
                <w:sz w:val="24"/>
              </w:rPr>
              <w:t>。</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lang w:eastAsia="zh"/>
              </w:rPr>
            </w:pPr>
            <w:r>
              <w:rPr>
                <w:rFonts w:hint="default" w:ascii="Times New Roman" w:hAnsi="Times New Roman" w:eastAsia="仿宋_GB2312" w:cs="Times New Roman"/>
                <w:b/>
                <w:bCs/>
                <w:kern w:val="0"/>
                <w:sz w:val="24"/>
                <w:lang w:eastAsia="zh"/>
              </w:rPr>
              <w:t>5.其他材料：</w:t>
            </w:r>
            <w:r>
              <w:rPr>
                <w:rFonts w:hint="default" w:ascii="Times New Roman" w:hAnsi="Times New Roman" w:eastAsia="仿宋_GB2312" w:cs="Times New Roman"/>
                <w:kern w:val="0"/>
                <w:sz w:val="24"/>
                <w:lang w:eastAsia="zh"/>
              </w:rPr>
              <w:t>法定代表人（单位负责人）身份证明或法定代表人（单位负责人）授权委托书原件及双方身份证复印件。</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注：以上</w:t>
            </w:r>
            <w:r>
              <w:rPr>
                <w:rFonts w:hint="default" w:ascii="Times New Roman" w:hAnsi="Times New Roman" w:eastAsia="仿宋_GB2312" w:cs="Times New Roman"/>
                <w:b/>
                <w:bCs/>
                <w:kern w:val="0"/>
                <w:sz w:val="24"/>
                <w:lang w:eastAsia="zh"/>
              </w:rPr>
              <w:t>材料均需</w:t>
            </w:r>
            <w:r>
              <w:rPr>
                <w:rFonts w:hint="default" w:ascii="Times New Roman" w:hAnsi="Times New Roman" w:eastAsia="仿宋_GB2312" w:cs="Times New Roman"/>
                <w:b/>
                <w:bCs/>
                <w:kern w:val="0"/>
                <w:sz w:val="24"/>
              </w:rPr>
              <w:t>加盖公章，</w:t>
            </w:r>
            <w:r>
              <w:rPr>
                <w:rFonts w:hint="default" w:ascii="Times New Roman" w:hAnsi="Times New Roman" w:eastAsia="仿宋_GB2312" w:cs="Times New Roman"/>
                <w:b/>
                <w:bCs/>
                <w:kern w:val="0"/>
                <w:sz w:val="24"/>
                <w:lang w:eastAsia="zh"/>
              </w:rPr>
              <w:t>缺项则淘汰</w:t>
            </w:r>
            <w:r>
              <w:rPr>
                <w:rFonts w:hint="default" w:ascii="Times New Roman" w:hAnsi="Times New Roman" w:eastAsia="仿宋_GB2312" w:cs="Times New Roman"/>
                <w:b/>
                <w:bCs/>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44" w:hRule="atLeast"/>
          <w:jc w:val="center"/>
        </w:trPr>
        <w:tc>
          <w:tcPr>
            <w:tcW w:w="1658"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lang w:eastAsia="zh"/>
              </w:rPr>
              <w:t>管理体系</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（1</w:t>
            </w:r>
            <w:r>
              <w:rPr>
                <w:rFonts w:hint="default" w:ascii="Times New Roman" w:hAnsi="Times New Roman" w:eastAsia="黑体" w:cs="Times New Roman"/>
                <w:b w:val="0"/>
                <w:bCs w:val="0"/>
                <w:kern w:val="0"/>
                <w:sz w:val="24"/>
                <w:lang w:val="en-US" w:eastAsia="zh-CN"/>
              </w:rPr>
              <w:t>0</w:t>
            </w:r>
            <w:r>
              <w:rPr>
                <w:rFonts w:hint="default" w:ascii="Times New Roman" w:hAnsi="Times New Roman" w:eastAsia="黑体" w:cs="Times New Roman"/>
                <w:b w:val="0"/>
                <w:bCs w:val="0"/>
                <w:kern w:val="0"/>
                <w:sz w:val="24"/>
              </w:rPr>
              <w:t>分）</w:t>
            </w: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组织架构</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rPr>
              <w:t>（5分）</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b/>
                <w:bCs/>
                <w:kern w:val="0"/>
                <w:sz w:val="24"/>
              </w:rPr>
            </w:pPr>
            <w:r>
              <w:rPr>
                <w:rFonts w:hint="default" w:ascii="Times New Roman" w:hAnsi="Times New Roman" w:eastAsia="仿宋_GB2312" w:cs="Times New Roman"/>
                <w:b/>
                <w:bCs/>
                <w:kern w:val="0"/>
                <w:sz w:val="24"/>
              </w:rPr>
              <w:t>对申报单位组织架构设置与数据开发利用工作的相关性进行评审：</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1</w:t>
            </w:r>
            <w:r>
              <w:rPr>
                <w:rFonts w:hint="default" w:ascii="Times New Roman" w:hAnsi="Times New Roman" w:eastAsia="仿宋_GB2312" w:cs="Times New Roman"/>
                <w:kern w:val="0"/>
                <w:sz w:val="24"/>
                <w:lang w:eastAsia="zh"/>
              </w:rPr>
              <w:t>.</w:t>
            </w:r>
            <w:r>
              <w:rPr>
                <w:rFonts w:hint="default" w:ascii="Times New Roman" w:hAnsi="Times New Roman" w:eastAsia="仿宋_GB2312" w:cs="Times New Roman"/>
                <w:kern w:val="0"/>
                <w:sz w:val="24"/>
                <w:highlight w:val="none"/>
              </w:rPr>
              <w:t>涵盖数据开发、数据安全、数据产品、</w:t>
            </w:r>
            <w:r>
              <w:rPr>
                <w:rFonts w:hint="default" w:ascii="Times New Roman" w:hAnsi="Times New Roman" w:eastAsia="仿宋_GB2312" w:cs="Times New Roman"/>
                <w:kern w:val="0"/>
                <w:sz w:val="24"/>
                <w:highlight w:val="none"/>
                <w:lang w:val="en-US" w:eastAsia="zh-CN"/>
              </w:rPr>
              <w:t>数据</w:t>
            </w:r>
            <w:r>
              <w:rPr>
                <w:rFonts w:hint="default" w:ascii="Times New Roman" w:hAnsi="Times New Roman" w:eastAsia="仿宋_GB2312" w:cs="Times New Roman"/>
                <w:kern w:val="0"/>
                <w:sz w:val="24"/>
                <w:highlight w:val="none"/>
              </w:rPr>
              <w:t>运营、技术研发等相关部门</w:t>
            </w:r>
            <w:r>
              <w:rPr>
                <w:rFonts w:hint="default" w:ascii="Times New Roman" w:hAnsi="Times New Roman" w:eastAsia="仿宋_GB2312" w:cs="Times New Roman"/>
                <w:kern w:val="0"/>
                <w:sz w:val="24"/>
              </w:rPr>
              <w:t>，部门设置完善合理，有利于推进数据授权运营与开发利用工作的，得5分；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2</w:t>
            </w:r>
            <w:r>
              <w:rPr>
                <w:rFonts w:hint="default" w:ascii="Times New Roman" w:hAnsi="Times New Roman" w:eastAsia="仿宋_GB2312" w:cs="Times New Roman"/>
                <w:kern w:val="0"/>
                <w:sz w:val="24"/>
                <w:lang w:eastAsia="zh"/>
              </w:rPr>
              <w:t>.</w:t>
            </w:r>
            <w:r>
              <w:rPr>
                <w:rFonts w:hint="default" w:ascii="Times New Roman" w:hAnsi="Times New Roman" w:eastAsia="仿宋_GB2312" w:cs="Times New Roman"/>
                <w:kern w:val="0"/>
                <w:sz w:val="24"/>
              </w:rPr>
              <w:t>部门设置与数据开发利用工作相关性一般，不合理不完善的，得</w:t>
            </w:r>
            <w:r>
              <w:rPr>
                <w:rFonts w:hint="default" w:ascii="Times New Roman" w:hAnsi="Times New Roman" w:eastAsia="仿宋_GB2312" w:cs="Times New Roman"/>
                <w:kern w:val="0"/>
                <w:sz w:val="24"/>
                <w:lang w:val="en-US" w:eastAsia="zh-CN"/>
              </w:rPr>
              <w:t>2</w:t>
            </w:r>
            <w:r>
              <w:rPr>
                <w:rFonts w:hint="default" w:ascii="Times New Roman" w:hAnsi="Times New Roman" w:eastAsia="仿宋_GB2312" w:cs="Times New Roman"/>
                <w:kern w:val="0"/>
                <w:sz w:val="24"/>
              </w:rPr>
              <w:t>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3</w:t>
            </w:r>
            <w:r>
              <w:rPr>
                <w:rFonts w:hint="default" w:ascii="Times New Roman" w:hAnsi="Times New Roman" w:eastAsia="仿宋_GB2312" w:cs="Times New Roman"/>
                <w:kern w:val="0"/>
                <w:sz w:val="24"/>
                <w:lang w:eastAsia="zh"/>
              </w:rPr>
              <w:t>.</w:t>
            </w:r>
            <w:r>
              <w:rPr>
                <w:rFonts w:hint="default" w:ascii="Times New Roman" w:hAnsi="Times New Roman" w:eastAsia="仿宋_GB2312" w:cs="Times New Roman"/>
                <w:kern w:val="0"/>
                <w:sz w:val="24"/>
              </w:rPr>
              <w:t>其他情况或不提供的，不得分。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7" w:hRule="atLeast"/>
          <w:jc w:val="center"/>
        </w:trPr>
        <w:tc>
          <w:tcPr>
            <w:tcW w:w="165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企业资质</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eastAsia="zh"/>
              </w:rPr>
              <w:t>5</w:t>
            </w:r>
            <w:r>
              <w:rPr>
                <w:rFonts w:hint="default" w:ascii="Times New Roman" w:hAnsi="Times New Roman" w:eastAsia="黑体" w:cs="Times New Roman"/>
                <w:b w:val="0"/>
                <w:bCs w:val="0"/>
                <w:kern w:val="0"/>
                <w:sz w:val="24"/>
              </w:rPr>
              <w:t>分）</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申报单位具备相关资质，本项最高5分：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1.申报单位</w:t>
            </w:r>
            <w:r>
              <w:rPr>
                <w:rFonts w:hint="default" w:ascii="Times New Roman" w:hAnsi="Times New Roman" w:eastAsia="仿宋_GB2312" w:cs="Times New Roman"/>
                <w:kern w:val="0"/>
                <w:sz w:val="24"/>
              </w:rPr>
              <w:t>具备质量管理体系认证、信息安全管理体系认证、信息技术服务管理体系认证</w:t>
            </w:r>
            <w:r>
              <w:rPr>
                <w:rFonts w:hint="default" w:ascii="Times New Roman" w:hAnsi="Times New Roman" w:eastAsia="仿宋_GB2312" w:cs="Times New Roman"/>
                <w:kern w:val="0"/>
                <w:sz w:val="24"/>
                <w:lang w:val="en-US" w:eastAsia="zh-CN"/>
              </w:rPr>
              <w:t>证书的，每满足一项得1分，未提供的不得分。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2.申报单位具备数据安全能力成熟度等级证书三级及以上的，得2分。未提供的不得分。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lang w:val="en-US" w:eastAsia="zh-CN"/>
              </w:rPr>
              <w:t>注：需提供相关佐证材料，并加盖申报单位公章。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19" w:hRule="atLeast"/>
          <w:jc w:val="center"/>
        </w:trPr>
        <w:tc>
          <w:tcPr>
            <w:tcW w:w="1658"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lang w:eastAsia="zh"/>
              </w:rPr>
              <w:t>技术能力</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30</w:t>
            </w:r>
            <w:r>
              <w:rPr>
                <w:rFonts w:hint="default" w:ascii="Times New Roman" w:hAnsi="Times New Roman" w:eastAsia="黑体" w:cs="Times New Roman"/>
                <w:b w:val="0"/>
                <w:bCs w:val="0"/>
                <w:kern w:val="0"/>
                <w:sz w:val="24"/>
              </w:rPr>
              <w:t>分）</w:t>
            </w: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lang w:val="en-US" w:eastAsia="zh-CN"/>
              </w:rPr>
              <w:t>数据</w:t>
            </w:r>
            <w:r>
              <w:rPr>
                <w:rFonts w:hint="default" w:ascii="Times New Roman" w:hAnsi="Times New Roman" w:eastAsia="黑体" w:cs="Times New Roman"/>
                <w:b w:val="0"/>
                <w:bCs w:val="0"/>
                <w:kern w:val="0"/>
                <w:sz w:val="24"/>
              </w:rPr>
              <w:t>基础设施应用</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15</w:t>
            </w:r>
            <w:r>
              <w:rPr>
                <w:rFonts w:hint="default" w:ascii="Times New Roman" w:hAnsi="Times New Roman" w:eastAsia="黑体" w:cs="Times New Roman"/>
                <w:b w:val="0"/>
                <w:bCs w:val="0"/>
                <w:kern w:val="0"/>
                <w:sz w:val="24"/>
              </w:rPr>
              <w:t>分）</w:t>
            </w:r>
          </w:p>
        </w:tc>
        <w:tc>
          <w:tcPr>
            <w:tcW w:w="10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both"/>
              <w:textAlignment w:val="auto"/>
              <w:rPr>
                <w:rFonts w:hint="default" w:ascii="Times New Roman" w:hAnsi="Times New Roman" w:eastAsia="仿宋_GB2312" w:cs="Times New Roman"/>
                <w:b/>
                <w:bCs/>
                <w:color w:val="auto"/>
                <w:kern w:val="0"/>
                <w:sz w:val="24"/>
                <w:highlight w:val="none"/>
                <w:lang w:val="en-US" w:eastAsia="zh-CN"/>
              </w:rPr>
            </w:pPr>
            <w:r>
              <w:rPr>
                <w:rFonts w:hint="default" w:ascii="Times New Roman" w:hAnsi="Times New Roman" w:eastAsia="仿宋_GB2312" w:cs="Times New Roman"/>
                <w:b/>
                <w:bCs/>
                <w:color w:val="auto"/>
                <w:kern w:val="0"/>
                <w:sz w:val="24"/>
                <w:highlight w:val="none"/>
                <w:lang w:val="en-US" w:eastAsia="zh-CN"/>
              </w:rPr>
              <w:t>根据申报单位依托公共数据流通利用基础设施进行数据治理、数据开发等全流程能力进行评审：</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both"/>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
              </w:rPr>
              <w:t>1.能够深度融合公共数据流通利用基础设施，</w:t>
            </w:r>
            <w:r>
              <w:rPr>
                <w:rFonts w:hint="default" w:ascii="Times New Roman" w:hAnsi="Times New Roman" w:eastAsia="仿宋_GB2312" w:cs="Times New Roman"/>
                <w:color w:val="auto"/>
                <w:kern w:val="0"/>
                <w:sz w:val="24"/>
                <w:highlight w:val="none"/>
                <w:lang w:val="en-US" w:eastAsia="zh-CN"/>
              </w:rPr>
              <w:t>实现</w:t>
            </w:r>
            <w:r>
              <w:rPr>
                <w:rFonts w:hint="default" w:ascii="Times New Roman" w:hAnsi="Times New Roman" w:eastAsia="仿宋_GB2312" w:cs="Times New Roman"/>
                <w:color w:val="auto"/>
                <w:kern w:val="0"/>
                <w:sz w:val="24"/>
                <w:highlight w:val="none"/>
                <w:lang w:val="en-US" w:eastAsia="zh"/>
              </w:rPr>
              <w:t>数据治理、开发</w:t>
            </w:r>
            <w:r>
              <w:rPr>
                <w:rFonts w:hint="default" w:ascii="Times New Roman" w:hAnsi="Times New Roman" w:eastAsia="仿宋_GB2312" w:cs="Times New Roman"/>
                <w:b w:val="0"/>
                <w:bCs w:val="0"/>
                <w:kern w:val="0"/>
                <w:sz w:val="24"/>
                <w:szCs w:val="24"/>
                <w:highlight w:val="none"/>
                <w:lang w:val="en-US" w:eastAsia="zh-CN" w:bidi="ar-SA"/>
              </w:rPr>
              <w:t>能力，方案具备可落地性</w:t>
            </w:r>
            <w:r>
              <w:rPr>
                <w:rFonts w:hint="default" w:ascii="Times New Roman" w:hAnsi="Times New Roman" w:eastAsia="仿宋_GB2312" w:cs="Times New Roman"/>
                <w:color w:val="auto"/>
                <w:kern w:val="0"/>
                <w:sz w:val="24"/>
                <w:highlight w:val="none"/>
                <w:lang w:val="en-US" w:eastAsia="zh-CN"/>
              </w:rPr>
              <w:t>，得</w:t>
            </w:r>
            <w:r>
              <w:rPr>
                <w:rFonts w:hint="default" w:ascii="Times New Roman" w:hAnsi="Times New Roman" w:eastAsia="仿宋_GB2312" w:cs="Times New Roman"/>
                <w:color w:val="auto"/>
                <w:kern w:val="0"/>
                <w:sz w:val="24"/>
                <w:highlight w:val="none"/>
                <w:lang w:val="en-US" w:eastAsia="zh"/>
              </w:rPr>
              <w:t>11</w:t>
            </w:r>
            <w:r>
              <w:rPr>
                <w:rFonts w:hint="default" w:ascii="Times New Roman" w:hAnsi="Times New Roman" w:eastAsia="仿宋_GB2312" w:cs="Times New Roman"/>
                <w:color w:val="auto"/>
                <w:kern w:val="0"/>
                <w:sz w:val="24"/>
                <w:highlight w:val="none"/>
                <w:lang w:val="en-US" w:eastAsia="zh-CN"/>
              </w:rPr>
              <w:t>-</w:t>
            </w:r>
            <w:r>
              <w:rPr>
                <w:rFonts w:hint="default" w:ascii="Times New Roman" w:hAnsi="Times New Roman" w:eastAsia="仿宋_GB2312" w:cs="Times New Roman"/>
                <w:color w:val="auto"/>
                <w:kern w:val="0"/>
                <w:sz w:val="24"/>
                <w:highlight w:val="none"/>
                <w:lang w:val="en-US" w:eastAsia="zh"/>
              </w:rPr>
              <w:t>15</w:t>
            </w:r>
            <w:r>
              <w:rPr>
                <w:rFonts w:hint="default" w:ascii="Times New Roman" w:hAnsi="Times New Roman" w:eastAsia="仿宋_GB2312" w:cs="Times New Roman"/>
                <w:color w:val="auto"/>
                <w:kern w:val="0"/>
                <w:sz w:val="24"/>
                <w:highlight w:val="none"/>
                <w:lang w:val="en-US" w:eastAsia="zh-CN"/>
              </w:rPr>
              <w:t>分；</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both"/>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
              </w:rPr>
              <w:t>2.</w:t>
            </w:r>
            <w:r>
              <w:rPr>
                <w:rFonts w:hint="default" w:ascii="Times New Roman" w:hAnsi="Times New Roman" w:eastAsia="仿宋_GB2312" w:cs="Times New Roman"/>
                <w:color w:val="auto"/>
                <w:kern w:val="0"/>
                <w:sz w:val="24"/>
                <w:highlight w:val="none"/>
                <w:lang w:val="en-US" w:eastAsia="zh-CN"/>
              </w:rPr>
              <w:t>能够有效依托公共数据流通利用基础设施开展数据治理与开发工作，流程基本贯通，得</w:t>
            </w:r>
            <w:r>
              <w:rPr>
                <w:rFonts w:hint="default" w:ascii="Times New Roman" w:hAnsi="Times New Roman" w:eastAsia="仿宋_GB2312" w:cs="Times New Roman"/>
                <w:color w:val="auto"/>
                <w:kern w:val="0"/>
                <w:sz w:val="24"/>
                <w:highlight w:val="none"/>
                <w:lang w:val="en-US" w:eastAsia="zh"/>
              </w:rPr>
              <w:t>6</w:t>
            </w:r>
            <w:r>
              <w:rPr>
                <w:rFonts w:hint="default" w:ascii="Times New Roman" w:hAnsi="Times New Roman" w:eastAsia="仿宋_GB2312" w:cs="Times New Roman"/>
                <w:color w:val="auto"/>
                <w:kern w:val="0"/>
                <w:sz w:val="24"/>
                <w:highlight w:val="none"/>
                <w:lang w:val="en-US" w:eastAsia="zh-CN"/>
              </w:rPr>
              <w:t>-</w:t>
            </w:r>
            <w:r>
              <w:rPr>
                <w:rFonts w:hint="default" w:ascii="Times New Roman" w:hAnsi="Times New Roman" w:eastAsia="仿宋_GB2312" w:cs="Times New Roman"/>
                <w:color w:val="auto"/>
                <w:kern w:val="0"/>
                <w:sz w:val="24"/>
                <w:highlight w:val="none"/>
                <w:lang w:val="en-US" w:eastAsia="zh"/>
              </w:rPr>
              <w:t>10</w:t>
            </w:r>
            <w:r>
              <w:rPr>
                <w:rFonts w:hint="default" w:ascii="Times New Roman" w:hAnsi="Times New Roman" w:eastAsia="仿宋_GB2312" w:cs="Times New Roman"/>
                <w:color w:val="auto"/>
                <w:kern w:val="0"/>
                <w:sz w:val="24"/>
                <w:highlight w:val="none"/>
                <w:lang w:val="en-US" w:eastAsia="zh-CN"/>
              </w:rPr>
              <w:t>分；</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both"/>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
              </w:rPr>
              <w:t>3.</w:t>
            </w:r>
            <w:r>
              <w:rPr>
                <w:rFonts w:hint="default" w:ascii="Times New Roman" w:hAnsi="Times New Roman" w:eastAsia="仿宋_GB2312" w:cs="Times New Roman"/>
                <w:color w:val="auto"/>
                <w:kern w:val="0"/>
                <w:sz w:val="24"/>
                <w:highlight w:val="none"/>
                <w:lang w:val="en-US" w:eastAsia="zh-CN"/>
              </w:rPr>
              <w:t>初步具备依托公共数据流通利用基础设施开展数据活动的能力，但在数据治理深度、开发等方面存在明显不足的，得1-</w:t>
            </w:r>
            <w:r>
              <w:rPr>
                <w:rFonts w:hint="default" w:ascii="Times New Roman" w:hAnsi="Times New Roman" w:eastAsia="仿宋_GB2312" w:cs="Times New Roman"/>
                <w:color w:val="auto"/>
                <w:kern w:val="0"/>
                <w:sz w:val="24"/>
                <w:highlight w:val="none"/>
                <w:lang w:val="en-US" w:eastAsia="zh"/>
              </w:rPr>
              <w:t>5</w:t>
            </w:r>
            <w:r>
              <w:rPr>
                <w:rFonts w:hint="default" w:ascii="Times New Roman" w:hAnsi="Times New Roman" w:eastAsia="仿宋_GB2312" w:cs="Times New Roman"/>
                <w:color w:val="auto"/>
                <w:kern w:val="0"/>
                <w:sz w:val="24"/>
                <w:highlight w:val="none"/>
                <w:lang w:val="en-US" w:eastAsia="zh-CN"/>
              </w:rPr>
              <w:t>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cs="Times New Roman"/>
              </w:rPr>
            </w:pPr>
            <w:r>
              <w:rPr>
                <w:rFonts w:hint="default" w:ascii="Times New Roman" w:hAnsi="Times New Roman" w:eastAsia="仿宋_GB2312" w:cs="Times New Roman"/>
                <w:color w:val="auto"/>
                <w:kern w:val="0"/>
                <w:sz w:val="24"/>
                <w:highlight w:val="none"/>
                <w:lang w:val="en-US" w:eastAsia="zh"/>
              </w:rPr>
              <w:t>4.</w:t>
            </w:r>
            <w:r>
              <w:rPr>
                <w:rFonts w:hint="default" w:ascii="Times New Roman" w:hAnsi="Times New Roman" w:eastAsia="仿宋_GB2312" w:cs="Times New Roman"/>
                <w:color w:val="auto"/>
                <w:kern w:val="0"/>
                <w:sz w:val="24"/>
                <w:highlight w:val="none"/>
                <w:lang w:val="en-US" w:eastAsia="zh-CN"/>
              </w:rPr>
              <w:t>未提供的，不得分。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58" w:hRule="atLeast"/>
          <w:jc w:val="center"/>
        </w:trPr>
        <w:tc>
          <w:tcPr>
            <w:tcW w:w="165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业绩证明及实操案例</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15</w:t>
            </w:r>
            <w:r>
              <w:rPr>
                <w:rFonts w:hint="default" w:ascii="Times New Roman" w:hAnsi="Times New Roman" w:eastAsia="黑体" w:cs="Times New Roman"/>
                <w:b w:val="0"/>
                <w:bCs w:val="0"/>
                <w:kern w:val="0"/>
                <w:sz w:val="24"/>
              </w:rPr>
              <w:t>分）</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b/>
                <w:bCs/>
                <w:kern w:val="0"/>
                <w:sz w:val="24"/>
              </w:rPr>
            </w:pPr>
            <w:r>
              <w:rPr>
                <w:rFonts w:hint="default" w:ascii="Times New Roman" w:hAnsi="Times New Roman" w:eastAsia="仿宋_GB2312" w:cs="Times New Roman"/>
                <w:b/>
                <w:bCs/>
                <w:kern w:val="0"/>
                <w:sz w:val="24"/>
              </w:rPr>
              <w:t>根据申报单位提供的相关业绩合同或实操案例进行评审：</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1.202</w:t>
            </w:r>
            <w:r>
              <w:rPr>
                <w:rFonts w:hint="default" w:ascii="Times New Roman" w:hAnsi="Times New Roman" w:eastAsia="仿宋_GB2312" w:cs="Times New Roman"/>
                <w:kern w:val="0"/>
                <w:sz w:val="24"/>
                <w:lang w:val="en-US" w:eastAsia="zh-CN"/>
              </w:rPr>
              <w:t>3</w:t>
            </w:r>
            <w:r>
              <w:rPr>
                <w:rFonts w:hint="default" w:ascii="Times New Roman" w:hAnsi="Times New Roman" w:eastAsia="仿宋_GB2312" w:cs="Times New Roman"/>
                <w:kern w:val="0"/>
                <w:sz w:val="24"/>
              </w:rPr>
              <w:t>年1月1日以来（以申报截止日期为准），</w:t>
            </w:r>
            <w:r>
              <w:rPr>
                <w:rFonts w:hint="default" w:ascii="Times New Roman" w:hAnsi="Times New Roman" w:eastAsia="仿宋_GB2312" w:cs="Times New Roman"/>
                <w:kern w:val="0"/>
                <w:sz w:val="24"/>
                <w:lang w:eastAsia="zh-CN"/>
              </w:rPr>
              <w:t>申报单位</w:t>
            </w:r>
            <w:r>
              <w:rPr>
                <w:rFonts w:hint="default" w:ascii="Times New Roman" w:hAnsi="Times New Roman" w:eastAsia="仿宋_GB2312" w:cs="Times New Roman"/>
                <w:kern w:val="0"/>
                <w:sz w:val="24"/>
                <w:lang w:val="en-US" w:eastAsia="zh-CN"/>
              </w:rPr>
              <w:t>获得</w:t>
            </w:r>
            <w:r>
              <w:rPr>
                <w:rFonts w:hint="default" w:ascii="Times New Roman" w:hAnsi="Times New Roman" w:eastAsia="仿宋_GB2312" w:cs="Times New Roman"/>
                <w:kern w:val="0"/>
                <w:sz w:val="24"/>
              </w:rPr>
              <w:t>公共数据资源授权运营</w:t>
            </w:r>
            <w:r>
              <w:rPr>
                <w:rFonts w:hint="default" w:ascii="Times New Roman" w:hAnsi="Times New Roman" w:eastAsia="仿宋_GB2312" w:cs="Times New Roman"/>
                <w:kern w:val="0"/>
                <w:sz w:val="24"/>
                <w:lang w:val="en-US" w:eastAsia="zh-CN"/>
              </w:rPr>
              <w:t>资格，且签订运营</w:t>
            </w:r>
            <w:r>
              <w:rPr>
                <w:rFonts w:hint="default" w:ascii="Times New Roman" w:hAnsi="Times New Roman" w:eastAsia="仿宋_GB2312" w:cs="Times New Roman"/>
                <w:kern w:val="0"/>
                <w:sz w:val="24"/>
              </w:rPr>
              <w:t>协议</w:t>
            </w:r>
            <w:r>
              <w:rPr>
                <w:rFonts w:hint="default" w:ascii="Times New Roman" w:hAnsi="Times New Roman" w:eastAsia="仿宋_GB2312" w:cs="Times New Roman"/>
                <w:kern w:val="0"/>
                <w:sz w:val="24"/>
                <w:lang w:val="en-US" w:eastAsia="zh-CN"/>
              </w:rPr>
              <w:t>的</w:t>
            </w:r>
            <w:r>
              <w:rPr>
                <w:rFonts w:hint="default" w:ascii="Times New Roman" w:hAnsi="Times New Roman" w:eastAsia="仿宋_GB2312" w:cs="Times New Roman"/>
                <w:kern w:val="0"/>
                <w:sz w:val="24"/>
              </w:rPr>
              <w:t>，每提供1个得</w:t>
            </w:r>
            <w:r>
              <w:rPr>
                <w:rFonts w:hint="default" w:ascii="Times New Roman" w:hAnsi="Times New Roman" w:eastAsia="仿宋_GB2312" w:cs="Times New Roman"/>
                <w:kern w:val="0"/>
                <w:sz w:val="24"/>
                <w:lang w:val="en-US" w:eastAsia="zh-CN"/>
              </w:rPr>
              <w:t>3</w:t>
            </w:r>
            <w:r>
              <w:rPr>
                <w:rFonts w:hint="default" w:ascii="Times New Roman" w:hAnsi="Times New Roman" w:eastAsia="仿宋_GB2312" w:cs="Times New Roman"/>
                <w:kern w:val="0"/>
                <w:sz w:val="24"/>
              </w:rPr>
              <w:t>分，本项最高得</w:t>
            </w:r>
            <w:r>
              <w:rPr>
                <w:rFonts w:hint="default" w:ascii="Times New Roman" w:hAnsi="Times New Roman" w:eastAsia="仿宋_GB2312" w:cs="Times New Roman"/>
                <w:kern w:val="0"/>
                <w:sz w:val="24"/>
                <w:lang w:val="en-US" w:eastAsia="zh-CN"/>
              </w:rPr>
              <w:t>6</w:t>
            </w:r>
            <w:r>
              <w:rPr>
                <w:rFonts w:hint="default" w:ascii="Times New Roman" w:hAnsi="Times New Roman" w:eastAsia="仿宋_GB2312" w:cs="Times New Roman"/>
                <w:kern w:val="0"/>
                <w:sz w:val="24"/>
              </w:rPr>
              <w:t>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lang w:val="en-US" w:eastAsia="zh-CN"/>
              </w:rPr>
              <w:t>2.</w:t>
            </w:r>
            <w:r>
              <w:rPr>
                <w:rFonts w:hint="default" w:ascii="Times New Roman" w:hAnsi="Times New Roman" w:eastAsia="仿宋_GB2312" w:cs="Times New Roman"/>
                <w:kern w:val="0"/>
                <w:sz w:val="24"/>
              </w:rPr>
              <w:t>2023年1月1日</w:t>
            </w:r>
            <w:r>
              <w:rPr>
                <w:rFonts w:hint="default" w:ascii="Times New Roman" w:hAnsi="Times New Roman" w:eastAsia="仿宋_GB2312" w:cs="Times New Roman"/>
                <w:kern w:val="0"/>
                <w:sz w:val="24"/>
                <w:lang w:val="en-US" w:eastAsia="zh-CN"/>
              </w:rPr>
              <w:t>以来</w:t>
            </w:r>
            <w:r>
              <w:rPr>
                <w:rFonts w:hint="default" w:ascii="Times New Roman" w:hAnsi="Times New Roman" w:eastAsia="仿宋_GB2312" w:cs="Times New Roman"/>
                <w:kern w:val="0"/>
                <w:sz w:val="24"/>
              </w:rPr>
              <w:t>（以申报截止日期为准），申报单位承接数据资源登记、数据产品开发、数据共享交换、数据治理、</w:t>
            </w:r>
            <w:r>
              <w:rPr>
                <w:rFonts w:hint="default" w:ascii="Times New Roman" w:hAnsi="Times New Roman" w:eastAsia="仿宋_GB2312" w:cs="Times New Roman"/>
                <w:kern w:val="0"/>
                <w:sz w:val="24"/>
                <w:highlight w:val="none"/>
              </w:rPr>
              <w:t>数据资产入表等相关领域平台建设或服务类的业绩合同，每提供1个得2分</w:t>
            </w:r>
            <w:r>
              <w:rPr>
                <w:rFonts w:hint="default" w:ascii="Times New Roman" w:hAnsi="Times New Roman" w:eastAsia="仿宋_GB2312" w:cs="Times New Roman"/>
                <w:kern w:val="0"/>
                <w:sz w:val="24"/>
              </w:rPr>
              <w:t>，每个大类仅计1个</w:t>
            </w:r>
            <w:r>
              <w:rPr>
                <w:rFonts w:hint="default" w:ascii="Times New Roman" w:hAnsi="Times New Roman" w:eastAsia="仿宋_GB2312" w:cs="Times New Roman"/>
                <w:kern w:val="0"/>
                <w:sz w:val="24"/>
                <w:lang w:eastAsia="zh"/>
              </w:rPr>
              <w:t>有效</w:t>
            </w:r>
            <w:r>
              <w:rPr>
                <w:rFonts w:hint="default" w:ascii="Times New Roman" w:hAnsi="Times New Roman" w:eastAsia="仿宋_GB2312" w:cs="Times New Roman"/>
                <w:kern w:val="0"/>
                <w:sz w:val="24"/>
              </w:rPr>
              <w:t>业绩合同，该项最多得</w:t>
            </w:r>
            <w:r>
              <w:rPr>
                <w:rFonts w:hint="default" w:ascii="Times New Roman" w:hAnsi="Times New Roman" w:eastAsia="仿宋_GB2312" w:cs="Times New Roman"/>
                <w:kern w:val="0"/>
                <w:sz w:val="24"/>
                <w:lang w:val="en-US" w:eastAsia="zh-CN"/>
              </w:rPr>
              <w:t>5</w:t>
            </w:r>
            <w:r>
              <w:rPr>
                <w:rFonts w:hint="default" w:ascii="Times New Roman" w:hAnsi="Times New Roman" w:eastAsia="仿宋_GB2312" w:cs="Times New Roman"/>
                <w:kern w:val="0"/>
                <w:sz w:val="24"/>
              </w:rPr>
              <w:t>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lang w:val="en-US" w:eastAsia="zh-CN"/>
              </w:rPr>
              <w:t>3</w:t>
            </w:r>
            <w:r>
              <w:rPr>
                <w:rFonts w:hint="default" w:ascii="Times New Roman" w:hAnsi="Times New Roman" w:eastAsia="仿宋_GB2312" w:cs="Times New Roman"/>
                <w:kern w:val="0"/>
                <w:sz w:val="24"/>
              </w:rPr>
              <w:t>.202</w:t>
            </w:r>
            <w:r>
              <w:rPr>
                <w:rFonts w:hint="default" w:ascii="Times New Roman" w:hAnsi="Times New Roman" w:eastAsia="仿宋_GB2312" w:cs="Times New Roman"/>
                <w:kern w:val="0"/>
                <w:sz w:val="24"/>
                <w:lang w:val="en-US" w:eastAsia="zh-CN"/>
              </w:rPr>
              <w:t>3</w:t>
            </w:r>
            <w:r>
              <w:rPr>
                <w:rFonts w:hint="default" w:ascii="Times New Roman" w:hAnsi="Times New Roman" w:eastAsia="仿宋_GB2312" w:cs="Times New Roman"/>
                <w:kern w:val="0"/>
                <w:sz w:val="24"/>
              </w:rPr>
              <w:t>年1月1日以来（以申报截止日期为准），</w:t>
            </w:r>
            <w:r>
              <w:rPr>
                <w:rFonts w:hint="default" w:ascii="Times New Roman" w:hAnsi="Times New Roman" w:eastAsia="仿宋_GB2312" w:cs="Times New Roman"/>
                <w:kern w:val="0"/>
                <w:sz w:val="24"/>
                <w:lang w:eastAsia="zh-CN"/>
              </w:rPr>
              <w:t>申报单位</w:t>
            </w:r>
            <w:r>
              <w:rPr>
                <w:rFonts w:hint="default" w:ascii="Times New Roman" w:hAnsi="Times New Roman" w:eastAsia="仿宋_GB2312" w:cs="Times New Roman"/>
                <w:kern w:val="0"/>
                <w:sz w:val="24"/>
              </w:rPr>
              <w:t>拥有公共数据产品和服务开发实施案例并取得实际成效的，</w:t>
            </w:r>
            <w:r>
              <w:rPr>
                <w:rFonts w:hint="default" w:ascii="Times New Roman" w:hAnsi="Times New Roman" w:eastAsia="仿宋_GB2312" w:cs="Times New Roman"/>
                <w:kern w:val="0"/>
                <w:sz w:val="24"/>
                <w:lang w:val="en-US" w:eastAsia="zh-CN"/>
              </w:rPr>
              <w:t>或在“数据要素大赛×”荣获奖项的，</w:t>
            </w:r>
            <w:r>
              <w:rPr>
                <w:rFonts w:hint="default" w:ascii="Times New Roman" w:hAnsi="Times New Roman" w:eastAsia="仿宋_GB2312" w:cs="Times New Roman"/>
                <w:kern w:val="0"/>
                <w:sz w:val="24"/>
              </w:rPr>
              <w:t>每提供1个得</w:t>
            </w:r>
            <w:r>
              <w:rPr>
                <w:rFonts w:hint="default" w:ascii="Times New Roman" w:hAnsi="Times New Roman" w:eastAsia="仿宋_GB2312" w:cs="Times New Roman"/>
                <w:kern w:val="0"/>
                <w:sz w:val="24"/>
                <w:lang w:val="en-US" w:eastAsia="zh-CN"/>
              </w:rPr>
              <w:t>1</w:t>
            </w:r>
            <w:r>
              <w:rPr>
                <w:rFonts w:hint="default" w:ascii="Times New Roman" w:hAnsi="Times New Roman" w:eastAsia="仿宋_GB2312" w:cs="Times New Roman"/>
                <w:kern w:val="0"/>
                <w:sz w:val="24"/>
              </w:rPr>
              <w:t>分，本项最高得</w:t>
            </w:r>
            <w:r>
              <w:rPr>
                <w:rFonts w:hint="default" w:ascii="Times New Roman" w:hAnsi="Times New Roman" w:eastAsia="仿宋_GB2312" w:cs="Times New Roman"/>
                <w:kern w:val="0"/>
                <w:sz w:val="24"/>
                <w:lang w:val="en-US" w:eastAsia="zh-CN"/>
              </w:rPr>
              <w:t>4</w:t>
            </w:r>
            <w:r>
              <w:rPr>
                <w:rFonts w:hint="default" w:ascii="Times New Roman" w:hAnsi="Times New Roman" w:eastAsia="仿宋_GB2312" w:cs="Times New Roman"/>
                <w:kern w:val="0"/>
                <w:sz w:val="24"/>
              </w:rPr>
              <w:t>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注：需提供案例相关佐证材料</w:t>
            </w:r>
            <w:r>
              <w:rPr>
                <w:rFonts w:hint="default" w:ascii="Times New Roman" w:hAnsi="Times New Roman" w:eastAsia="仿宋_GB2312" w:cs="Times New Roman"/>
                <w:b/>
                <w:bCs/>
                <w:kern w:val="0"/>
                <w:sz w:val="24"/>
                <w:lang w:val="en-US" w:eastAsia="zh-CN"/>
              </w:rPr>
              <w:t>并加盖公章</w:t>
            </w:r>
            <w:r>
              <w:rPr>
                <w:rFonts w:hint="default" w:ascii="Times New Roman" w:hAnsi="Times New Roman" w:eastAsia="仿宋_GB2312" w:cs="Times New Roman"/>
                <w:b/>
                <w:bCs/>
                <w:kern w:val="0"/>
                <w:sz w:val="24"/>
              </w:rPr>
              <w:t>，如有效获奖证书、合同等材料。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49" w:hRule="atLeast"/>
          <w:jc w:val="center"/>
        </w:trPr>
        <w:tc>
          <w:tcPr>
            <w:tcW w:w="1658"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lang w:eastAsia="zh"/>
              </w:rPr>
              <w:t>服务能力</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45</w:t>
            </w:r>
            <w:r>
              <w:rPr>
                <w:rFonts w:hint="default" w:ascii="Times New Roman" w:hAnsi="Times New Roman" w:eastAsia="黑体" w:cs="Times New Roman"/>
                <w:b w:val="0"/>
                <w:bCs w:val="0"/>
                <w:kern w:val="0"/>
                <w:sz w:val="24"/>
              </w:rPr>
              <w:t>分）</w:t>
            </w: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运营能力</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20</w:t>
            </w:r>
            <w:r>
              <w:rPr>
                <w:rFonts w:hint="default" w:ascii="Times New Roman" w:hAnsi="Times New Roman" w:eastAsia="黑体" w:cs="Times New Roman"/>
                <w:b w:val="0"/>
                <w:bCs w:val="0"/>
                <w:kern w:val="0"/>
                <w:sz w:val="24"/>
              </w:rPr>
              <w:t>分）</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数据要素项目运营能力（</w:t>
            </w:r>
            <w:r>
              <w:rPr>
                <w:rFonts w:hint="default" w:ascii="Times New Roman" w:hAnsi="Times New Roman" w:eastAsia="仿宋_GB2312" w:cs="Times New Roman"/>
                <w:b/>
                <w:bCs/>
                <w:kern w:val="0"/>
                <w:sz w:val="24"/>
                <w:lang w:val="en-US" w:eastAsia="zh-CN"/>
              </w:rPr>
              <w:t>10</w:t>
            </w:r>
            <w:r>
              <w:rPr>
                <w:rFonts w:hint="default" w:ascii="Times New Roman" w:hAnsi="Times New Roman" w:eastAsia="仿宋_GB2312" w:cs="Times New Roman"/>
                <w:b/>
                <w:bCs/>
                <w:kern w:val="0"/>
                <w:sz w:val="24"/>
              </w:rPr>
              <w:t>分）</w:t>
            </w:r>
            <w:r>
              <w:rPr>
                <w:rFonts w:hint="default" w:ascii="Times New Roman" w:hAnsi="Times New Roman" w:eastAsia="仿宋_GB2312" w:cs="Times New Roman"/>
                <w:b/>
                <w:bCs/>
                <w:kern w:val="0"/>
                <w:sz w:val="24"/>
                <w:lang w:eastAsia="zh-CN"/>
              </w:rPr>
              <w:t>。</w:t>
            </w:r>
            <w:r>
              <w:rPr>
                <w:rFonts w:hint="default" w:ascii="Times New Roman" w:hAnsi="Times New Roman" w:eastAsia="仿宋_GB2312" w:cs="Times New Roman"/>
                <w:kern w:val="0"/>
                <w:sz w:val="24"/>
              </w:rPr>
              <w:t>申报单位已具备成熟的省级数据要素项目运营经验，可有效融合公共数据、市场数据进行产品开发和应用，有成熟数据应用场景，取得社会效益或经济效益，得</w:t>
            </w:r>
            <w:r>
              <w:rPr>
                <w:rFonts w:hint="default" w:ascii="Times New Roman" w:hAnsi="Times New Roman" w:eastAsia="仿宋_GB2312" w:cs="Times New Roman"/>
                <w:kern w:val="0"/>
                <w:sz w:val="24"/>
                <w:lang w:val="en-US" w:eastAsia="zh-CN"/>
              </w:rPr>
              <w:t>10</w:t>
            </w:r>
            <w:r>
              <w:rPr>
                <w:rFonts w:hint="default" w:ascii="Times New Roman" w:hAnsi="Times New Roman" w:eastAsia="仿宋_GB2312" w:cs="Times New Roman"/>
                <w:kern w:val="0"/>
                <w:sz w:val="24"/>
              </w:rPr>
              <w:t>分；具备基础的数据项目运营能力，取得一定效果，未形成成熟的体系，得</w:t>
            </w:r>
            <w:r>
              <w:rPr>
                <w:rFonts w:hint="default" w:ascii="Times New Roman" w:hAnsi="Times New Roman" w:eastAsia="仿宋_GB2312" w:cs="Times New Roman"/>
                <w:kern w:val="0"/>
                <w:sz w:val="24"/>
                <w:lang w:val="en-US" w:eastAsia="zh-CN"/>
              </w:rPr>
              <w:t>5</w:t>
            </w:r>
            <w:r>
              <w:rPr>
                <w:rFonts w:hint="default" w:ascii="Times New Roman" w:hAnsi="Times New Roman" w:eastAsia="仿宋_GB2312" w:cs="Times New Roman"/>
                <w:kern w:val="0"/>
                <w:sz w:val="24"/>
              </w:rPr>
              <w:t>分；申报单位过往项目以信息化基础设施建设为主，尚未实质性开展数据要素应用，得1分；未提供不得分。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both"/>
              <w:textAlignment w:val="auto"/>
              <w:rPr>
                <w:rFonts w:hint="default" w:ascii="Times New Roman" w:hAnsi="Times New Roman" w:eastAsia="仿宋_GB2312" w:cs="Times New Roman"/>
                <w:kern w:val="0"/>
                <w:sz w:val="24"/>
                <w:lang w:eastAsia="zh"/>
              </w:rPr>
            </w:pPr>
            <w:r>
              <w:rPr>
                <w:rFonts w:hint="default" w:ascii="Times New Roman" w:hAnsi="Times New Roman" w:eastAsia="仿宋_GB2312" w:cs="Times New Roman"/>
                <w:b/>
                <w:bCs/>
                <w:kern w:val="0"/>
                <w:sz w:val="24"/>
              </w:rPr>
              <w:t>数据生态培育能力（</w:t>
            </w:r>
            <w:r>
              <w:rPr>
                <w:rFonts w:hint="default" w:ascii="Times New Roman" w:hAnsi="Times New Roman" w:eastAsia="仿宋_GB2312" w:cs="Times New Roman"/>
                <w:b/>
                <w:bCs/>
                <w:kern w:val="0"/>
                <w:sz w:val="24"/>
                <w:lang w:val="en-US" w:eastAsia="zh-CN"/>
              </w:rPr>
              <w:t>10</w:t>
            </w:r>
            <w:r>
              <w:rPr>
                <w:rFonts w:hint="default" w:ascii="Times New Roman" w:hAnsi="Times New Roman" w:eastAsia="仿宋_GB2312" w:cs="Times New Roman"/>
                <w:b/>
                <w:bCs/>
                <w:kern w:val="0"/>
                <w:sz w:val="24"/>
              </w:rPr>
              <w:t>分）</w:t>
            </w:r>
            <w:r>
              <w:rPr>
                <w:rFonts w:hint="default" w:ascii="Times New Roman" w:hAnsi="Times New Roman" w:eastAsia="仿宋_GB2312" w:cs="Times New Roman"/>
                <w:b/>
                <w:bCs/>
                <w:kern w:val="0"/>
                <w:sz w:val="24"/>
                <w:lang w:eastAsia="zh-CN"/>
              </w:rPr>
              <w:t>。</w:t>
            </w:r>
            <w:r>
              <w:rPr>
                <w:rFonts w:hint="default" w:ascii="Times New Roman" w:hAnsi="Times New Roman" w:eastAsia="仿宋_GB2312" w:cs="Times New Roman"/>
                <w:kern w:val="0"/>
                <w:sz w:val="24"/>
                <w:lang w:eastAsia="zh"/>
              </w:rPr>
              <w:t>申报单位已构建成熟的数商培育与生态运营体系，可有效连接多元数商主体，</w:t>
            </w:r>
            <w:r>
              <w:rPr>
                <w:rFonts w:hint="default" w:ascii="Times New Roman" w:hAnsi="Times New Roman" w:eastAsia="仿宋_GB2312" w:cs="Times New Roman"/>
                <w:kern w:val="0"/>
                <w:sz w:val="24"/>
                <w:highlight w:val="none"/>
                <w:lang w:eastAsia="zh"/>
              </w:rPr>
              <w:t>且有数据领域组织搭建</w:t>
            </w:r>
            <w:r>
              <w:rPr>
                <w:rFonts w:hint="default" w:ascii="Times New Roman" w:hAnsi="Times New Roman" w:eastAsia="仿宋_GB2312" w:cs="Times New Roman"/>
                <w:kern w:val="0"/>
                <w:sz w:val="24"/>
                <w:highlight w:val="none"/>
              </w:rPr>
              <w:t>（如数据协会/联盟）</w:t>
            </w:r>
            <w:r>
              <w:rPr>
                <w:rFonts w:hint="default" w:ascii="Times New Roman" w:hAnsi="Times New Roman" w:eastAsia="仿宋_GB2312" w:cs="Times New Roman"/>
                <w:kern w:val="0"/>
                <w:sz w:val="24"/>
                <w:lang w:eastAsia="zh"/>
              </w:rPr>
              <w:t>、数据领域赛事承办、生态培育活动开展等实际运营实践支撑，得</w:t>
            </w:r>
            <w:r>
              <w:rPr>
                <w:rFonts w:hint="default" w:ascii="Times New Roman" w:hAnsi="Times New Roman" w:eastAsia="仿宋_GB2312" w:cs="Times New Roman"/>
                <w:kern w:val="0"/>
                <w:sz w:val="24"/>
                <w:lang w:val="en-US" w:eastAsia="zh-CN"/>
              </w:rPr>
              <w:t>10</w:t>
            </w:r>
            <w:r>
              <w:rPr>
                <w:rFonts w:hint="default" w:ascii="Times New Roman" w:hAnsi="Times New Roman" w:eastAsia="仿宋_GB2312" w:cs="Times New Roman"/>
                <w:kern w:val="0"/>
                <w:sz w:val="24"/>
                <w:lang w:eastAsia="zh"/>
              </w:rPr>
              <w:t>分；有基础的数商合作与培育思路，能搭建初步数据运营生态，得</w:t>
            </w:r>
            <w:r>
              <w:rPr>
                <w:rFonts w:hint="default" w:ascii="Times New Roman" w:hAnsi="Times New Roman" w:eastAsia="仿宋_GB2312" w:cs="Times New Roman"/>
                <w:kern w:val="0"/>
                <w:sz w:val="24"/>
                <w:lang w:val="en-US" w:eastAsia="zh-CN"/>
              </w:rPr>
              <w:t>5</w:t>
            </w:r>
            <w:r>
              <w:rPr>
                <w:rFonts w:hint="default" w:ascii="Times New Roman" w:hAnsi="Times New Roman" w:eastAsia="仿宋_GB2312" w:cs="Times New Roman"/>
                <w:kern w:val="0"/>
                <w:sz w:val="24"/>
                <w:lang w:eastAsia="zh"/>
              </w:rPr>
              <w:t>分；仅具备简单的数商对接能力，无生态构建及运营体系规划，得1分；未提供不得分</w:t>
            </w:r>
            <w:r>
              <w:rPr>
                <w:rFonts w:hint="default" w:ascii="Times New Roman" w:hAnsi="Times New Roman" w:eastAsia="仿宋_GB2312" w:cs="Times New Roman"/>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42" w:hRule="atLeast"/>
          <w:jc w:val="center"/>
        </w:trPr>
        <w:tc>
          <w:tcPr>
            <w:tcW w:w="165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lang w:val="en-US" w:eastAsia="zh-CN"/>
              </w:rPr>
              <w:t>运营</w:t>
            </w:r>
            <w:r>
              <w:rPr>
                <w:rFonts w:hint="default" w:ascii="Times New Roman" w:hAnsi="Times New Roman" w:eastAsia="黑体" w:cs="Times New Roman"/>
                <w:b w:val="0"/>
                <w:bCs w:val="0"/>
                <w:kern w:val="0"/>
                <w:sz w:val="24"/>
              </w:rPr>
              <w:t>方案</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15</w:t>
            </w:r>
            <w:r>
              <w:rPr>
                <w:rFonts w:hint="default" w:ascii="Times New Roman" w:hAnsi="Times New Roman" w:eastAsia="黑体" w:cs="Times New Roman"/>
                <w:b w:val="0"/>
                <w:bCs w:val="0"/>
                <w:kern w:val="0"/>
                <w:sz w:val="24"/>
              </w:rPr>
              <w:t>分）</w:t>
            </w:r>
          </w:p>
        </w:tc>
        <w:tc>
          <w:tcPr>
            <w:tcW w:w="10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b/>
                <w:bCs/>
                <w:color w:val="auto"/>
                <w:kern w:val="0"/>
                <w:sz w:val="24"/>
                <w:highlight w:val="none"/>
                <w:lang w:val="en-US" w:eastAsia="zh-CN"/>
              </w:rPr>
              <w:t>总体思路（3分）。</w:t>
            </w:r>
            <w:r>
              <w:rPr>
                <w:rFonts w:hint="default" w:ascii="Times New Roman" w:hAnsi="Times New Roman" w:eastAsia="仿宋_GB2312" w:cs="Times New Roman"/>
                <w:color w:val="auto"/>
                <w:kern w:val="0"/>
                <w:sz w:val="24"/>
                <w:highlight w:val="none"/>
                <w:lang w:val="en-US" w:eastAsia="zh-CN"/>
              </w:rPr>
              <w:t>贴合公共信用数据授权运营发展导向，思路前瞻清晰，核心运营目标定位准确，实施路径完整闭环，各方权责边界划分明晰，规划体系完备、可落地性强，得3分；思路较为清晰，契合领域核心业务需求，实施路径与工作方向基本明确，整体方向无明显偏差，得2分；思路存在明显短板，对公共信用数据授权运营业务理解不到位，核心运营目标或工作重点梳理不充分，规划完整性、落地性不足，得1分；未提供相关内容，不得分。</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b/>
                <w:bCs/>
                <w:color w:val="auto"/>
                <w:kern w:val="0"/>
                <w:sz w:val="24"/>
                <w:highlight w:val="none"/>
                <w:lang w:val="en-US" w:eastAsia="zh-CN"/>
              </w:rPr>
              <w:t>数据处理及技术方案（</w:t>
            </w:r>
            <w:r>
              <w:rPr>
                <w:rFonts w:hint="eastAsia" w:ascii="Times New Roman" w:hAnsi="Times New Roman" w:eastAsia="仿宋_GB2312" w:cs="Times New Roman"/>
                <w:b/>
                <w:bCs/>
                <w:color w:val="auto"/>
                <w:kern w:val="0"/>
                <w:sz w:val="24"/>
                <w:highlight w:val="none"/>
                <w:lang w:val="en-US" w:eastAsia="zh-CN"/>
              </w:rPr>
              <w:t>5</w:t>
            </w:r>
            <w:r>
              <w:rPr>
                <w:rFonts w:hint="default" w:ascii="Times New Roman" w:hAnsi="Times New Roman" w:eastAsia="仿宋_GB2312" w:cs="Times New Roman"/>
                <w:b/>
                <w:bCs/>
                <w:color w:val="auto"/>
                <w:kern w:val="0"/>
                <w:sz w:val="24"/>
                <w:highlight w:val="none"/>
                <w:lang w:val="en-US" w:eastAsia="zh-CN"/>
              </w:rPr>
              <w:t>分）。</w:t>
            </w:r>
            <w:r>
              <w:rPr>
                <w:rFonts w:hint="default" w:ascii="Times New Roman" w:hAnsi="Times New Roman" w:eastAsia="仿宋_GB2312" w:cs="Times New Roman"/>
                <w:color w:val="auto"/>
                <w:kern w:val="0"/>
                <w:sz w:val="24"/>
                <w:highlight w:val="none"/>
                <w:lang w:val="en-US" w:eastAsia="zh-CN"/>
              </w:rPr>
              <w:t>能够紧密结合公共信用领域数据特性，制定专属加工治理流程，包含数据清洗、脱敏、标准化、融合、质量核查等环节，技术方案适配性强、可落地，得</w:t>
            </w:r>
            <w:r>
              <w:rPr>
                <w:rFonts w:hint="eastAsia" w:ascii="Times New Roman" w:hAnsi="Times New Roman" w:eastAsia="仿宋_GB2312" w:cs="Times New Roman"/>
                <w:color w:val="auto"/>
                <w:kern w:val="0"/>
                <w:sz w:val="24"/>
                <w:highlight w:val="none"/>
                <w:lang w:val="en-US" w:eastAsia="zh-CN"/>
              </w:rPr>
              <w:t>5</w:t>
            </w:r>
            <w:r>
              <w:rPr>
                <w:rFonts w:hint="default" w:ascii="Times New Roman" w:hAnsi="Times New Roman" w:eastAsia="仿宋_GB2312" w:cs="Times New Roman"/>
                <w:color w:val="auto"/>
                <w:kern w:val="0"/>
                <w:sz w:val="24"/>
                <w:highlight w:val="none"/>
                <w:lang w:val="en-US" w:eastAsia="zh-CN"/>
              </w:rPr>
              <w:t>分；具备领域专属治理方案，覆盖核心治理环节，技术路径适配需求，得3分；仅使用通用治理方案，无公共信用领域针对性优化，适配性弱，得1分；未提供相关内容，不得分。</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b/>
                <w:bCs/>
                <w:color w:val="auto"/>
                <w:kern w:val="0"/>
                <w:sz w:val="24"/>
                <w:highlight w:val="none"/>
                <w:lang w:val="en-US" w:eastAsia="zh-CN"/>
              </w:rPr>
              <w:t>数据场景和产品方案（7分）。</w:t>
            </w:r>
            <w:r>
              <w:rPr>
                <w:rFonts w:hint="default" w:ascii="Times New Roman" w:hAnsi="Times New Roman" w:eastAsia="仿宋_GB2312" w:cs="Times New Roman"/>
                <w:color w:val="auto"/>
                <w:kern w:val="0"/>
                <w:sz w:val="24"/>
                <w:highlight w:val="none"/>
                <w:lang w:val="en-US" w:eastAsia="zh-CN"/>
              </w:rPr>
              <w:t>能够深度挖掘公共信用领域应用场景，场景规划数量3个及以上；产品规划充分契合公共信用领域公共治理、行业发展的真实业务需求；方案完整清晰阐述产品功能、服务对象、落地实施步骤及预期价值，方案架构完整、逻辑闭环，业务模式、实施模式具备较强通用性。本项条件均满足，得7分。</w:t>
            </w:r>
          </w:p>
          <w:p>
            <w:pPr>
              <w:keepNext w:val="0"/>
              <w:keepLines w:val="0"/>
              <w:pageBreakBefore w:val="0"/>
              <w:widowControl/>
              <w:numPr>
                <w:ilvl w:val="0"/>
                <w:numId w:val="1"/>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满足以下任一情形即，得3分：</w:t>
            </w:r>
          </w:p>
          <w:p>
            <w:pPr>
              <w:keepNext w:val="0"/>
              <w:keepLines w:val="0"/>
              <w:pageBreakBefore w:val="0"/>
              <w:widowControl/>
              <w:numPr>
                <w:ilvl w:val="0"/>
                <w:numId w:val="2"/>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公共信用应用场景数量2个及以下，但产品方案清晰完备；</w:t>
            </w:r>
          </w:p>
          <w:p>
            <w:pPr>
              <w:keepNext w:val="0"/>
              <w:keepLines w:val="0"/>
              <w:pageBreakBefore w:val="0"/>
              <w:widowControl/>
              <w:numPr>
                <w:ilvl w:val="0"/>
                <w:numId w:val="0"/>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2）公共信用应用场景数量3个及以上，产品规划基本贴合公共信用领域公共治理、行业发展需求，具备初步落地思路，但存在场景挖掘深度不足、场景同质化严重、缺少落地逻辑支撑、方案系统性不足中任意一项及以上问题。</w:t>
            </w:r>
          </w:p>
          <w:p>
            <w:pPr>
              <w:keepNext w:val="0"/>
              <w:keepLines w:val="0"/>
              <w:pageBreakBefore w:val="0"/>
              <w:widowControl/>
              <w:numPr>
                <w:ilvl w:val="0"/>
                <w:numId w:val="1"/>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满足以下任一情形，得1分：</w:t>
            </w:r>
          </w:p>
          <w:p>
            <w:pPr>
              <w:keepNext w:val="0"/>
              <w:keepLines w:val="0"/>
              <w:pageBreakBefore w:val="0"/>
              <w:widowControl/>
              <w:numPr>
                <w:ilvl w:val="0"/>
                <w:numId w:val="3"/>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公共信用应用场景挖掘单一；</w:t>
            </w:r>
          </w:p>
          <w:p>
            <w:pPr>
              <w:keepNext w:val="0"/>
              <w:keepLines w:val="0"/>
              <w:pageBreakBefore w:val="0"/>
              <w:widowControl/>
              <w:numPr>
                <w:ilvl w:val="0"/>
                <w:numId w:val="0"/>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（2）场景数量大于1个，但场景与公共信用业务关联性弱，脱离行业实际业务，无明确落地实施路径，方案实用性较差。</w:t>
            </w:r>
          </w:p>
          <w:p>
            <w:pPr>
              <w:keepNext w:val="0"/>
              <w:keepLines w:val="0"/>
              <w:pageBreakBefore w:val="0"/>
              <w:widowControl/>
              <w:numPr>
                <w:ilvl w:val="0"/>
                <w:numId w:val="1"/>
              </w:numPr>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sz w:val="24"/>
                <w:lang w:eastAsia="zh"/>
              </w:rPr>
            </w:pPr>
            <w:r>
              <w:rPr>
                <w:rFonts w:hint="default" w:ascii="Times New Roman" w:hAnsi="Times New Roman" w:eastAsia="仿宋_GB2312" w:cs="Times New Roman"/>
                <w:color w:val="auto"/>
                <w:kern w:val="0"/>
                <w:sz w:val="24"/>
                <w:highlight w:val="none"/>
                <w:lang w:val="en-US" w:eastAsia="zh-CN"/>
              </w:rPr>
              <w:t>未提供相关内容，不得分。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5" w:hRule="atLeast"/>
          <w:jc w:val="center"/>
        </w:trPr>
        <w:tc>
          <w:tcPr>
            <w:tcW w:w="165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highlight w:val="none"/>
                <w:lang w:val="en-US" w:eastAsia="zh-CN"/>
              </w:rPr>
            </w:pPr>
            <w:r>
              <w:rPr>
                <w:rFonts w:hint="default" w:ascii="Times New Roman" w:hAnsi="Times New Roman" w:eastAsia="黑体" w:cs="Times New Roman"/>
                <w:b w:val="0"/>
                <w:bCs w:val="0"/>
                <w:kern w:val="0"/>
                <w:sz w:val="24"/>
                <w:highlight w:val="none"/>
                <w:lang w:eastAsia="zh"/>
              </w:rPr>
              <w:t>团队人员</w:t>
            </w:r>
            <w:r>
              <w:rPr>
                <w:rFonts w:hint="default" w:ascii="Times New Roman" w:hAnsi="Times New Roman" w:eastAsia="黑体" w:cs="Times New Roman"/>
                <w:b w:val="0"/>
                <w:bCs w:val="0"/>
                <w:kern w:val="0"/>
                <w:sz w:val="24"/>
                <w:highlight w:val="none"/>
                <w:lang w:val="en-US" w:eastAsia="zh-CN"/>
              </w:rPr>
              <w:t>配置</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highlight w:val="none"/>
              </w:rPr>
            </w:pPr>
            <w:r>
              <w:rPr>
                <w:rFonts w:hint="default" w:ascii="Times New Roman" w:hAnsi="Times New Roman" w:eastAsia="黑体" w:cs="Times New Roman"/>
                <w:b w:val="0"/>
                <w:bCs w:val="0"/>
                <w:kern w:val="0"/>
                <w:sz w:val="24"/>
                <w:highlight w:val="none"/>
              </w:rPr>
              <w:t>（1</w:t>
            </w:r>
            <w:r>
              <w:rPr>
                <w:rFonts w:hint="default" w:ascii="Times New Roman" w:hAnsi="Times New Roman" w:eastAsia="黑体" w:cs="Times New Roman"/>
                <w:b w:val="0"/>
                <w:bCs w:val="0"/>
                <w:kern w:val="0"/>
                <w:sz w:val="24"/>
                <w:highlight w:val="none"/>
                <w:lang w:val="en-US" w:eastAsia="zh-CN"/>
              </w:rPr>
              <w:t>0</w:t>
            </w:r>
            <w:r>
              <w:rPr>
                <w:rFonts w:hint="default" w:ascii="Times New Roman" w:hAnsi="Times New Roman" w:eastAsia="黑体" w:cs="Times New Roman"/>
                <w:b w:val="0"/>
                <w:bCs w:val="0"/>
                <w:kern w:val="0"/>
                <w:sz w:val="24"/>
                <w:highlight w:val="none"/>
              </w:rPr>
              <w:t>分）</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b/>
                <w:bCs/>
                <w:kern w:val="0"/>
                <w:sz w:val="24"/>
                <w:highlight w:val="none"/>
                <w:lang w:eastAsia="zh"/>
              </w:rPr>
              <w:t>1.</w:t>
            </w:r>
            <w:r>
              <w:rPr>
                <w:rFonts w:hint="default" w:ascii="Times New Roman" w:hAnsi="Times New Roman" w:eastAsia="仿宋_GB2312" w:cs="Times New Roman"/>
                <w:b/>
                <w:bCs/>
                <w:kern w:val="0"/>
                <w:sz w:val="24"/>
                <w:highlight w:val="none"/>
              </w:rPr>
              <w:t>团队规模（</w:t>
            </w:r>
            <w:r>
              <w:rPr>
                <w:rFonts w:hint="default" w:ascii="Times New Roman" w:hAnsi="Times New Roman" w:eastAsia="仿宋_GB2312" w:cs="Times New Roman"/>
                <w:b/>
                <w:bCs/>
                <w:kern w:val="0"/>
                <w:sz w:val="24"/>
                <w:highlight w:val="none"/>
                <w:lang w:val="en-US" w:eastAsia="zh-CN"/>
              </w:rPr>
              <w:t>4</w:t>
            </w:r>
            <w:r>
              <w:rPr>
                <w:rFonts w:hint="default" w:ascii="Times New Roman" w:hAnsi="Times New Roman" w:eastAsia="仿宋_GB2312" w:cs="Times New Roman"/>
                <w:b/>
                <w:bCs/>
                <w:kern w:val="0"/>
                <w:sz w:val="24"/>
                <w:highlight w:val="none"/>
              </w:rPr>
              <w:t>分）</w:t>
            </w:r>
            <w:r>
              <w:rPr>
                <w:rFonts w:hint="default" w:ascii="Times New Roman" w:hAnsi="Times New Roman" w:eastAsia="仿宋_GB2312" w:cs="Times New Roman"/>
                <w:b/>
                <w:bCs/>
                <w:kern w:val="0"/>
                <w:sz w:val="24"/>
                <w:highlight w:val="none"/>
                <w:lang w:eastAsia="zh-CN"/>
              </w:rPr>
              <w:t>。</w:t>
            </w:r>
            <w:r>
              <w:rPr>
                <w:rFonts w:hint="default" w:ascii="Times New Roman" w:hAnsi="Times New Roman" w:eastAsia="仿宋_GB2312" w:cs="Times New Roman"/>
                <w:kern w:val="0"/>
                <w:sz w:val="24"/>
                <w:highlight w:val="none"/>
              </w:rPr>
              <w:t>申报单位承诺投入运营工作的团队人数10人及以上的，得</w:t>
            </w:r>
            <w:r>
              <w:rPr>
                <w:rFonts w:hint="default" w:ascii="Times New Roman" w:hAnsi="Times New Roman" w:eastAsia="仿宋_GB2312" w:cs="Times New Roman"/>
                <w:kern w:val="0"/>
                <w:sz w:val="24"/>
                <w:highlight w:val="none"/>
                <w:lang w:val="en-US" w:eastAsia="zh-CN"/>
              </w:rPr>
              <w:t>4</w:t>
            </w:r>
            <w:r>
              <w:rPr>
                <w:rFonts w:hint="default" w:ascii="Times New Roman" w:hAnsi="Times New Roman" w:eastAsia="仿宋_GB2312" w:cs="Times New Roman"/>
                <w:kern w:val="0"/>
                <w:sz w:val="24"/>
                <w:highlight w:val="none"/>
              </w:rPr>
              <w:t>分；5-9人得</w:t>
            </w:r>
            <w:r>
              <w:rPr>
                <w:rFonts w:hint="default" w:ascii="Times New Roman" w:hAnsi="Times New Roman" w:eastAsia="仿宋_GB2312" w:cs="Times New Roman"/>
                <w:kern w:val="0"/>
                <w:sz w:val="24"/>
                <w:highlight w:val="none"/>
                <w:lang w:val="en-US" w:eastAsia="zh-CN"/>
              </w:rPr>
              <w:t>2</w:t>
            </w:r>
            <w:r>
              <w:rPr>
                <w:rFonts w:hint="default" w:ascii="Times New Roman" w:hAnsi="Times New Roman" w:eastAsia="仿宋_GB2312" w:cs="Times New Roman"/>
                <w:kern w:val="0"/>
                <w:sz w:val="24"/>
                <w:highlight w:val="none"/>
              </w:rPr>
              <w:t>分；1-4人得1分；未提供的，不得分。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b/>
                <w:bCs/>
                <w:kern w:val="0"/>
                <w:sz w:val="24"/>
                <w:highlight w:val="none"/>
                <w:lang w:eastAsia="zh"/>
              </w:rPr>
              <w:t>2.</w:t>
            </w:r>
            <w:r>
              <w:rPr>
                <w:rFonts w:hint="default" w:ascii="Times New Roman" w:hAnsi="Times New Roman" w:eastAsia="仿宋_GB2312" w:cs="Times New Roman"/>
                <w:b/>
                <w:bCs/>
                <w:kern w:val="0"/>
                <w:sz w:val="24"/>
                <w:highlight w:val="none"/>
              </w:rPr>
              <w:t>团队人员技术能力（</w:t>
            </w:r>
            <w:r>
              <w:rPr>
                <w:rFonts w:hint="default" w:ascii="Times New Roman" w:hAnsi="Times New Roman" w:eastAsia="仿宋_GB2312" w:cs="Times New Roman"/>
                <w:b/>
                <w:bCs/>
                <w:kern w:val="0"/>
                <w:sz w:val="24"/>
                <w:highlight w:val="none"/>
                <w:lang w:val="en-US" w:eastAsia="zh-CN"/>
              </w:rPr>
              <w:t>6</w:t>
            </w:r>
            <w:r>
              <w:rPr>
                <w:rFonts w:hint="default" w:ascii="Times New Roman" w:hAnsi="Times New Roman" w:eastAsia="仿宋_GB2312" w:cs="Times New Roman"/>
                <w:b/>
                <w:bCs/>
                <w:kern w:val="0"/>
                <w:sz w:val="24"/>
                <w:highlight w:val="none"/>
              </w:rPr>
              <w:t>分）</w:t>
            </w:r>
            <w:r>
              <w:rPr>
                <w:rFonts w:hint="default" w:ascii="Times New Roman" w:hAnsi="Times New Roman" w:eastAsia="仿宋_GB2312" w:cs="Times New Roman"/>
                <w:b/>
                <w:bCs/>
                <w:kern w:val="0"/>
                <w:sz w:val="24"/>
                <w:highlight w:val="none"/>
                <w:lang w:eastAsia="zh-CN"/>
              </w:rPr>
              <w:t>。</w:t>
            </w:r>
            <w:r>
              <w:rPr>
                <w:rFonts w:hint="default" w:ascii="Times New Roman" w:hAnsi="Times New Roman" w:eastAsia="仿宋_GB2312" w:cs="Times New Roman"/>
                <w:kern w:val="0"/>
                <w:sz w:val="24"/>
                <w:highlight w:val="none"/>
              </w:rPr>
              <w:t>拟投入团队成员</w:t>
            </w:r>
            <w:r>
              <w:rPr>
                <w:rFonts w:hint="default" w:ascii="Times New Roman" w:hAnsi="Times New Roman" w:eastAsia="仿宋_GB2312" w:cs="Times New Roman"/>
                <w:kern w:val="0"/>
                <w:sz w:val="24"/>
                <w:highlight w:val="none"/>
                <w:lang w:eastAsia="zh-CN"/>
              </w:rPr>
              <w:t>，</w:t>
            </w:r>
            <w:r>
              <w:rPr>
                <w:rFonts w:hint="default" w:ascii="Times New Roman" w:hAnsi="Times New Roman" w:eastAsia="仿宋_GB2312" w:cs="Times New Roman"/>
                <w:kern w:val="0"/>
                <w:sz w:val="24"/>
                <w:highlight w:val="none"/>
              </w:rPr>
              <w:t>具备系统架构设计师、系统集成项目管理工程师、系统分析师、网络工程师、信息安全工程师、CDA数据分析师、数据交易合规师、数据资产评估计价咨询师、数据库系统工程师、软件设计师证书的，每提供1个证书得1分，最高分</w:t>
            </w:r>
            <w:r>
              <w:rPr>
                <w:rFonts w:hint="default" w:ascii="Times New Roman" w:hAnsi="Times New Roman" w:eastAsia="仿宋_GB2312" w:cs="Times New Roman"/>
                <w:kern w:val="0"/>
                <w:sz w:val="24"/>
                <w:highlight w:val="none"/>
                <w:lang w:val="en-US" w:eastAsia="zh-CN"/>
              </w:rPr>
              <w:t>6</w:t>
            </w:r>
            <w:r>
              <w:rPr>
                <w:rFonts w:hint="default" w:ascii="Times New Roman" w:hAnsi="Times New Roman" w:eastAsia="仿宋_GB2312" w:cs="Times New Roman"/>
                <w:kern w:val="0"/>
                <w:sz w:val="24"/>
                <w:highlight w:val="none"/>
              </w:rPr>
              <w:t>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注：1）需提供团队人员配置清单和团队人员身份证复印件。</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480" w:firstLineChars="20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2）提供</w:t>
            </w:r>
            <w:r>
              <w:rPr>
                <w:rFonts w:hint="default" w:ascii="Times New Roman" w:hAnsi="Times New Roman" w:eastAsia="仿宋_GB2312" w:cs="Times New Roman"/>
                <w:kern w:val="0"/>
                <w:sz w:val="24"/>
                <w:highlight w:val="none"/>
                <w:lang w:eastAsia="zh-CN"/>
              </w:rPr>
              <w:t>申报单位</w:t>
            </w:r>
            <w:r>
              <w:rPr>
                <w:rFonts w:hint="default" w:ascii="Times New Roman" w:hAnsi="Times New Roman" w:eastAsia="仿宋_GB2312" w:cs="Times New Roman"/>
                <w:kern w:val="0"/>
                <w:sz w:val="24"/>
                <w:highlight w:val="none"/>
              </w:rPr>
              <w:t>为团队成员缴纳的近三个月社保证明，否则不计分。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480" w:firstLineChars="20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3）相关证明材料须加盖单位公章，否则不计分。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480" w:firstLineChars="20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4）团队成员中若一人多证，不重复计分；同一</w:t>
            </w:r>
            <w:r>
              <w:rPr>
                <w:rFonts w:hint="default" w:ascii="Times New Roman" w:hAnsi="Times New Roman" w:eastAsia="仿宋_GB2312" w:cs="Times New Roman"/>
                <w:kern w:val="0"/>
                <w:sz w:val="24"/>
                <w:highlight w:val="none"/>
                <w:lang w:val="en-US" w:eastAsia="zh-CN"/>
              </w:rPr>
              <w:t>类</w:t>
            </w:r>
            <w:r>
              <w:rPr>
                <w:rFonts w:hint="default" w:ascii="Times New Roman" w:hAnsi="Times New Roman" w:eastAsia="仿宋_GB2312" w:cs="Times New Roman"/>
                <w:kern w:val="0"/>
                <w:sz w:val="24"/>
                <w:highlight w:val="none"/>
              </w:rPr>
              <w:t>证书多人持有的，该项证书最高计1项。</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480" w:firstLineChars="200"/>
              <w:jc w:val="left"/>
              <w:textAlignment w:val="auto"/>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5）证书须为相关行政事业单位或行政单位主管的行业性社会团体颁发，否则不计分。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45" w:hRule="atLeast"/>
          <w:jc w:val="center"/>
        </w:trPr>
        <w:tc>
          <w:tcPr>
            <w:tcW w:w="165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lang w:eastAsia="zh"/>
              </w:rPr>
            </w:pPr>
            <w:r>
              <w:rPr>
                <w:rFonts w:hint="default" w:ascii="Times New Roman" w:hAnsi="Times New Roman" w:eastAsia="黑体" w:cs="Times New Roman"/>
                <w:b w:val="0"/>
                <w:bCs w:val="0"/>
                <w:kern w:val="0"/>
                <w:sz w:val="24"/>
                <w:lang w:eastAsia="zh"/>
              </w:rPr>
              <w:t>安全能力</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15</w:t>
            </w:r>
            <w:r>
              <w:rPr>
                <w:rFonts w:hint="default" w:ascii="Times New Roman" w:hAnsi="Times New Roman" w:eastAsia="黑体" w:cs="Times New Roman"/>
                <w:b w:val="0"/>
                <w:bCs w:val="0"/>
                <w:kern w:val="0"/>
                <w:sz w:val="24"/>
              </w:rPr>
              <w:t>分）</w:t>
            </w:r>
          </w:p>
        </w:tc>
        <w:tc>
          <w:tcPr>
            <w:tcW w:w="1828"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安全保障</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center"/>
              <w:textAlignment w:val="auto"/>
              <w:rPr>
                <w:rFonts w:hint="default" w:ascii="Times New Roman" w:hAnsi="Times New Roman" w:eastAsia="黑体" w:cs="Times New Roman"/>
                <w:b w:val="0"/>
                <w:bCs w:val="0"/>
                <w:kern w:val="0"/>
                <w:sz w:val="24"/>
              </w:rPr>
            </w:pPr>
            <w:r>
              <w:rPr>
                <w:rFonts w:hint="default" w:ascii="Times New Roman" w:hAnsi="Times New Roman" w:eastAsia="黑体" w:cs="Times New Roman"/>
                <w:b w:val="0"/>
                <w:bCs w:val="0"/>
                <w:kern w:val="0"/>
                <w:sz w:val="24"/>
              </w:rPr>
              <w:t>（</w:t>
            </w:r>
            <w:r>
              <w:rPr>
                <w:rFonts w:hint="default" w:ascii="Times New Roman" w:hAnsi="Times New Roman" w:eastAsia="黑体" w:cs="Times New Roman"/>
                <w:b w:val="0"/>
                <w:bCs w:val="0"/>
                <w:kern w:val="0"/>
                <w:sz w:val="24"/>
                <w:lang w:val="en-US" w:eastAsia="zh-CN"/>
              </w:rPr>
              <w:t>15</w:t>
            </w:r>
            <w:r>
              <w:rPr>
                <w:rFonts w:hint="default" w:ascii="Times New Roman" w:hAnsi="Times New Roman" w:eastAsia="黑体" w:cs="Times New Roman"/>
                <w:b w:val="0"/>
                <w:bCs w:val="0"/>
                <w:kern w:val="0"/>
                <w:sz w:val="24"/>
              </w:rPr>
              <w:t>分）</w:t>
            </w:r>
          </w:p>
        </w:tc>
        <w:tc>
          <w:tcPr>
            <w:tcW w:w="1067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b/>
                <w:bCs/>
                <w:kern w:val="0"/>
                <w:sz w:val="24"/>
                <w:highlight w:val="none"/>
              </w:rPr>
            </w:pPr>
            <w:r>
              <w:rPr>
                <w:rFonts w:hint="default" w:ascii="Times New Roman" w:hAnsi="Times New Roman" w:eastAsia="仿宋_GB2312" w:cs="Times New Roman"/>
                <w:b/>
                <w:bCs/>
                <w:kern w:val="0"/>
                <w:sz w:val="24"/>
                <w:highlight w:val="none"/>
              </w:rPr>
              <w:t>对申报单位提供的安全保障方案进行评审：</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kern w:val="0"/>
                <w:sz w:val="24"/>
                <w:highlight w:val="none"/>
                <w:lang w:eastAsia="zh"/>
              </w:rPr>
              <w:t>1.具备完善的数据安全管理制度体系；</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kern w:val="0"/>
                <w:sz w:val="24"/>
                <w:highlight w:val="none"/>
                <w:lang w:eastAsia="zh"/>
              </w:rPr>
              <w:t>2.网络安全纵深防护方案设计完善，满足等级保护要求；</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kern w:val="0"/>
                <w:sz w:val="24"/>
                <w:highlight w:val="none"/>
                <w:lang w:eastAsia="zh"/>
              </w:rPr>
              <w:t>3.数据全生命周期安全保护方案设计完善，覆盖数据流通利用各环节；</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kern w:val="0"/>
                <w:sz w:val="24"/>
                <w:highlight w:val="none"/>
                <w:lang w:eastAsia="zh"/>
              </w:rPr>
              <w:t>4.具备完善的安全运营运维体系；</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kern w:val="0"/>
                <w:sz w:val="24"/>
                <w:highlight w:val="none"/>
                <w:lang w:eastAsia="zh"/>
              </w:rPr>
              <w:t>5.具备完善的应急响应机制。</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b/>
                <w:bCs/>
                <w:kern w:val="0"/>
                <w:sz w:val="24"/>
                <w:highlight w:val="none"/>
                <w:lang w:eastAsia="zh"/>
              </w:rPr>
              <w:t>评分规则：</w:t>
            </w:r>
            <w:r>
              <w:rPr>
                <w:rFonts w:hint="default" w:ascii="Times New Roman" w:hAnsi="Times New Roman" w:eastAsia="仿宋_GB2312" w:cs="Times New Roman"/>
                <w:kern w:val="0"/>
                <w:sz w:val="24"/>
                <w:highlight w:val="none"/>
                <w:lang w:eastAsia="zh"/>
              </w:rPr>
              <w:t>方案科学性、合理性、完整性、针对性强的</w:t>
            </w:r>
            <w:r>
              <w:rPr>
                <w:rFonts w:hint="default" w:ascii="Times New Roman" w:hAnsi="Times New Roman" w:eastAsia="仿宋_GB2312" w:cs="Times New Roman"/>
                <w:kern w:val="0"/>
                <w:sz w:val="24"/>
                <w:highlight w:val="none"/>
              </w:rPr>
              <w:t>，</w:t>
            </w:r>
            <w:r>
              <w:rPr>
                <w:rFonts w:hint="default" w:ascii="Times New Roman" w:hAnsi="Times New Roman" w:eastAsia="仿宋_GB2312" w:cs="Times New Roman"/>
                <w:kern w:val="0"/>
                <w:sz w:val="24"/>
                <w:highlight w:val="none"/>
                <w:lang w:eastAsia="zh"/>
              </w:rPr>
              <w:t>得</w:t>
            </w:r>
            <w:r>
              <w:rPr>
                <w:rFonts w:hint="default" w:ascii="Times New Roman" w:hAnsi="Times New Roman" w:eastAsia="仿宋_GB2312" w:cs="Times New Roman"/>
                <w:kern w:val="0"/>
                <w:sz w:val="24"/>
                <w:highlight w:val="none"/>
                <w:lang w:val="en-US" w:eastAsia="zh-CN"/>
              </w:rPr>
              <w:t>15</w:t>
            </w:r>
            <w:r>
              <w:rPr>
                <w:rFonts w:hint="default" w:ascii="Times New Roman" w:hAnsi="Times New Roman" w:eastAsia="仿宋_GB2312" w:cs="Times New Roman"/>
                <w:kern w:val="0"/>
                <w:sz w:val="24"/>
                <w:highlight w:val="none"/>
                <w:lang w:eastAsia="zh"/>
              </w:rPr>
              <w:t>分</w:t>
            </w:r>
            <w:r>
              <w:rPr>
                <w:rFonts w:hint="default" w:ascii="Times New Roman" w:hAnsi="Times New Roman" w:eastAsia="仿宋_GB2312" w:cs="Times New Roman"/>
                <w:kern w:val="0"/>
                <w:sz w:val="24"/>
                <w:highlight w:val="none"/>
              </w:rPr>
              <w:t>；方案科学</w:t>
            </w:r>
            <w:r>
              <w:rPr>
                <w:rFonts w:hint="default" w:ascii="Times New Roman" w:hAnsi="Times New Roman" w:eastAsia="仿宋_GB2312" w:cs="Times New Roman"/>
                <w:kern w:val="0"/>
                <w:sz w:val="24"/>
                <w:highlight w:val="none"/>
                <w:lang w:eastAsia="zh"/>
              </w:rPr>
              <w:t>性</w:t>
            </w:r>
            <w:r>
              <w:rPr>
                <w:rFonts w:hint="default" w:ascii="Times New Roman" w:hAnsi="Times New Roman" w:eastAsia="仿宋_GB2312" w:cs="Times New Roman"/>
                <w:kern w:val="0"/>
                <w:sz w:val="24"/>
                <w:highlight w:val="none"/>
              </w:rPr>
              <w:t>、合理</w:t>
            </w:r>
            <w:r>
              <w:rPr>
                <w:rFonts w:hint="default" w:ascii="Times New Roman" w:hAnsi="Times New Roman" w:eastAsia="仿宋_GB2312" w:cs="Times New Roman"/>
                <w:kern w:val="0"/>
                <w:sz w:val="24"/>
                <w:highlight w:val="none"/>
                <w:lang w:eastAsia="zh"/>
              </w:rPr>
              <w:t>性</w:t>
            </w:r>
            <w:r>
              <w:rPr>
                <w:rFonts w:hint="default" w:ascii="Times New Roman" w:hAnsi="Times New Roman" w:eastAsia="仿宋_GB2312" w:cs="Times New Roman"/>
                <w:kern w:val="0"/>
                <w:sz w:val="24"/>
                <w:highlight w:val="none"/>
              </w:rPr>
              <w:t>、完整</w:t>
            </w:r>
            <w:r>
              <w:rPr>
                <w:rFonts w:hint="default" w:ascii="Times New Roman" w:hAnsi="Times New Roman" w:eastAsia="仿宋_GB2312" w:cs="Times New Roman"/>
                <w:kern w:val="0"/>
                <w:sz w:val="24"/>
                <w:highlight w:val="none"/>
                <w:lang w:eastAsia="zh"/>
              </w:rPr>
              <w:t>性</w:t>
            </w:r>
            <w:r>
              <w:rPr>
                <w:rFonts w:hint="default" w:ascii="Times New Roman" w:hAnsi="Times New Roman" w:eastAsia="仿宋_GB2312" w:cs="Times New Roman"/>
                <w:kern w:val="0"/>
                <w:sz w:val="24"/>
                <w:highlight w:val="none"/>
              </w:rPr>
              <w:t>、针对性</w:t>
            </w:r>
            <w:r>
              <w:rPr>
                <w:rFonts w:hint="default" w:ascii="Times New Roman" w:hAnsi="Times New Roman" w:eastAsia="仿宋_GB2312" w:cs="Times New Roman"/>
                <w:kern w:val="0"/>
                <w:sz w:val="24"/>
                <w:highlight w:val="none"/>
                <w:lang w:eastAsia="zh"/>
              </w:rPr>
              <w:t>一般</w:t>
            </w:r>
            <w:r>
              <w:rPr>
                <w:rFonts w:hint="default" w:ascii="Times New Roman" w:hAnsi="Times New Roman" w:eastAsia="仿宋_GB2312" w:cs="Times New Roman"/>
                <w:kern w:val="0"/>
                <w:sz w:val="24"/>
                <w:highlight w:val="none"/>
              </w:rPr>
              <w:t>的，</w:t>
            </w:r>
            <w:r>
              <w:rPr>
                <w:rFonts w:hint="default" w:ascii="Times New Roman" w:hAnsi="Times New Roman" w:eastAsia="仿宋_GB2312" w:cs="Times New Roman"/>
                <w:kern w:val="0"/>
                <w:sz w:val="24"/>
                <w:highlight w:val="none"/>
                <w:lang w:eastAsia="zh"/>
              </w:rPr>
              <w:t>得</w:t>
            </w:r>
            <w:r>
              <w:rPr>
                <w:rFonts w:hint="default" w:ascii="Times New Roman" w:hAnsi="Times New Roman" w:eastAsia="仿宋_GB2312" w:cs="Times New Roman"/>
                <w:kern w:val="0"/>
                <w:sz w:val="24"/>
                <w:highlight w:val="none"/>
                <w:lang w:val="en-US" w:eastAsia="zh-CN"/>
              </w:rPr>
              <w:t>5</w:t>
            </w:r>
            <w:r>
              <w:rPr>
                <w:rFonts w:hint="default" w:ascii="Times New Roman" w:hAnsi="Times New Roman" w:eastAsia="仿宋_GB2312" w:cs="Times New Roman"/>
                <w:kern w:val="0"/>
                <w:sz w:val="24"/>
                <w:highlight w:val="none"/>
              </w:rPr>
              <w:t>分；方案科学</w:t>
            </w:r>
            <w:r>
              <w:rPr>
                <w:rFonts w:hint="default" w:ascii="Times New Roman" w:hAnsi="Times New Roman" w:eastAsia="仿宋_GB2312" w:cs="Times New Roman"/>
                <w:kern w:val="0"/>
                <w:sz w:val="24"/>
                <w:highlight w:val="none"/>
                <w:lang w:eastAsia="zh"/>
              </w:rPr>
              <w:t>性</w:t>
            </w:r>
            <w:r>
              <w:rPr>
                <w:rFonts w:hint="default" w:ascii="Times New Roman" w:hAnsi="Times New Roman" w:eastAsia="仿宋_GB2312" w:cs="Times New Roman"/>
                <w:kern w:val="0"/>
                <w:sz w:val="24"/>
                <w:highlight w:val="none"/>
              </w:rPr>
              <w:t>、合理</w:t>
            </w:r>
            <w:r>
              <w:rPr>
                <w:rFonts w:hint="default" w:ascii="Times New Roman" w:hAnsi="Times New Roman" w:eastAsia="仿宋_GB2312" w:cs="Times New Roman"/>
                <w:kern w:val="0"/>
                <w:sz w:val="24"/>
                <w:highlight w:val="none"/>
                <w:lang w:eastAsia="zh"/>
              </w:rPr>
              <w:t>性</w:t>
            </w:r>
            <w:r>
              <w:rPr>
                <w:rFonts w:hint="default" w:ascii="Times New Roman" w:hAnsi="Times New Roman" w:eastAsia="仿宋_GB2312" w:cs="Times New Roman"/>
                <w:kern w:val="0"/>
                <w:sz w:val="24"/>
                <w:highlight w:val="none"/>
              </w:rPr>
              <w:t>、完整</w:t>
            </w:r>
            <w:r>
              <w:rPr>
                <w:rFonts w:hint="default" w:ascii="Times New Roman" w:hAnsi="Times New Roman" w:eastAsia="仿宋_GB2312" w:cs="Times New Roman"/>
                <w:kern w:val="0"/>
                <w:sz w:val="24"/>
                <w:highlight w:val="none"/>
                <w:lang w:eastAsia="zh"/>
              </w:rPr>
              <w:t>性</w:t>
            </w:r>
            <w:r>
              <w:rPr>
                <w:rFonts w:hint="default" w:ascii="Times New Roman" w:hAnsi="Times New Roman" w:eastAsia="仿宋_GB2312" w:cs="Times New Roman"/>
                <w:kern w:val="0"/>
                <w:sz w:val="24"/>
                <w:highlight w:val="none"/>
              </w:rPr>
              <w:t>、针对性</w:t>
            </w:r>
            <w:r>
              <w:rPr>
                <w:rFonts w:hint="default" w:ascii="Times New Roman" w:hAnsi="Times New Roman" w:eastAsia="仿宋_GB2312" w:cs="Times New Roman"/>
                <w:kern w:val="0"/>
                <w:sz w:val="24"/>
                <w:highlight w:val="none"/>
                <w:lang w:eastAsia="zh"/>
              </w:rPr>
              <w:t>不强、缺失或有明显漏洞的</w:t>
            </w:r>
            <w:r>
              <w:rPr>
                <w:rFonts w:hint="default" w:ascii="Times New Roman" w:hAnsi="Times New Roman" w:eastAsia="仿宋_GB2312" w:cs="Times New Roman"/>
                <w:kern w:val="0"/>
                <w:sz w:val="24"/>
                <w:highlight w:val="none"/>
              </w:rPr>
              <w:t>，</w:t>
            </w:r>
            <w:r>
              <w:rPr>
                <w:rFonts w:hint="default" w:ascii="Times New Roman" w:hAnsi="Times New Roman" w:eastAsia="仿宋_GB2312" w:cs="Times New Roman"/>
                <w:kern w:val="0"/>
                <w:sz w:val="24"/>
                <w:highlight w:val="none"/>
                <w:lang w:eastAsia="zh"/>
              </w:rPr>
              <w:t>得</w:t>
            </w:r>
            <w:r>
              <w:rPr>
                <w:rFonts w:hint="default" w:ascii="Times New Roman" w:hAnsi="Times New Roman" w:eastAsia="仿宋_GB2312" w:cs="Times New Roman"/>
                <w:kern w:val="0"/>
                <w:sz w:val="24"/>
                <w:highlight w:val="none"/>
                <w:lang w:val="en-US" w:eastAsia="zh-CN"/>
              </w:rPr>
              <w:t>2</w:t>
            </w:r>
            <w:r>
              <w:rPr>
                <w:rFonts w:hint="default" w:ascii="Times New Roman" w:hAnsi="Times New Roman" w:eastAsia="仿宋_GB2312" w:cs="Times New Roman"/>
                <w:kern w:val="0"/>
                <w:sz w:val="24"/>
                <w:highlight w:val="none"/>
              </w:rPr>
              <w:t>分</w:t>
            </w:r>
            <w:r>
              <w:rPr>
                <w:rFonts w:hint="default" w:ascii="Times New Roman" w:hAnsi="Times New Roman" w:eastAsia="仿宋_GB2312" w:cs="Times New Roman"/>
                <w:kern w:val="0"/>
                <w:sz w:val="24"/>
                <w:highlight w:val="none"/>
                <w:lang w:eastAsia="zh"/>
              </w:rPr>
              <w:t>。未提供方案的</w:t>
            </w:r>
            <w:r>
              <w:rPr>
                <w:rFonts w:hint="default" w:ascii="Times New Roman" w:hAnsi="Times New Roman" w:eastAsia="仿宋_GB2312" w:cs="Times New Roman"/>
                <w:kern w:val="0"/>
                <w:sz w:val="24"/>
                <w:highlight w:val="none"/>
              </w:rPr>
              <w:t>，</w:t>
            </w:r>
            <w:r>
              <w:rPr>
                <w:rFonts w:hint="default" w:ascii="Times New Roman" w:hAnsi="Times New Roman" w:eastAsia="仿宋_GB2312" w:cs="Times New Roman"/>
                <w:kern w:val="0"/>
                <w:sz w:val="24"/>
                <w:highlight w:val="none"/>
                <w:lang w:eastAsia="zh"/>
              </w:rPr>
              <w:t>不得分。</w:t>
            </w:r>
          </w:p>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highlight w:val="none"/>
                <w:lang w:eastAsia="zh"/>
              </w:rPr>
            </w:pPr>
            <w:r>
              <w:rPr>
                <w:rFonts w:hint="default" w:ascii="Times New Roman" w:hAnsi="Times New Roman" w:eastAsia="仿宋_GB2312" w:cs="Times New Roman"/>
                <w:b/>
                <w:bCs/>
                <w:kern w:val="0"/>
                <w:sz w:val="24"/>
                <w:highlight w:val="none"/>
                <w:lang w:eastAsia="zh"/>
              </w:rPr>
              <w:t>针对性不强或欠合理是指</w:t>
            </w:r>
            <w:r>
              <w:rPr>
                <w:rFonts w:hint="default" w:ascii="Times New Roman" w:hAnsi="Times New Roman" w:eastAsia="仿宋_GB2312" w:cs="Times New Roman"/>
                <w:b/>
                <w:bCs/>
                <w:kern w:val="0"/>
                <w:sz w:val="24"/>
                <w:highlight w:val="none"/>
              </w:rPr>
              <w:t>：</w:t>
            </w:r>
            <w:r>
              <w:rPr>
                <w:rFonts w:hint="default" w:ascii="Times New Roman" w:hAnsi="Times New Roman" w:eastAsia="仿宋_GB2312" w:cs="Times New Roman"/>
                <w:kern w:val="0"/>
                <w:sz w:val="24"/>
                <w:highlight w:val="none"/>
                <w:lang w:eastAsia="zh"/>
              </w:rPr>
              <w:t>①方案内容与项目需求不一致或没有关联性</w:t>
            </w:r>
            <w:r>
              <w:rPr>
                <w:rFonts w:hint="default" w:ascii="Times New Roman" w:hAnsi="Times New Roman" w:eastAsia="仿宋_GB2312" w:cs="Times New Roman"/>
                <w:kern w:val="0"/>
                <w:sz w:val="24"/>
                <w:highlight w:val="none"/>
              </w:rPr>
              <w:t>；</w:t>
            </w:r>
            <w:r>
              <w:rPr>
                <w:rFonts w:hint="default" w:ascii="Times New Roman" w:hAnsi="Times New Roman" w:eastAsia="仿宋_GB2312" w:cs="Times New Roman"/>
                <w:kern w:val="0"/>
                <w:sz w:val="24"/>
                <w:highlight w:val="none"/>
                <w:lang w:eastAsia="zh"/>
              </w:rPr>
              <w:t>②涉及的技术规范及标准等与国家或行业标准或招标文件要求不一致</w:t>
            </w:r>
            <w:r>
              <w:rPr>
                <w:rFonts w:hint="default" w:ascii="Times New Roman" w:hAnsi="Times New Roman" w:eastAsia="仿宋_GB2312" w:cs="Times New Roman"/>
                <w:kern w:val="0"/>
                <w:sz w:val="24"/>
                <w:highlight w:val="none"/>
              </w:rPr>
              <w:t>；</w:t>
            </w:r>
            <w:r>
              <w:rPr>
                <w:rFonts w:hint="default" w:ascii="Times New Roman" w:hAnsi="Times New Roman" w:eastAsia="仿宋_GB2312" w:cs="Times New Roman"/>
                <w:kern w:val="0"/>
                <w:sz w:val="24"/>
                <w:highlight w:val="none"/>
                <w:lang w:eastAsia="zh"/>
              </w:rPr>
              <w:t>③方案内容与实际实施存在差异性</w:t>
            </w:r>
            <w:r>
              <w:rPr>
                <w:rFonts w:hint="default" w:ascii="Times New Roman" w:hAnsi="Times New Roman" w:eastAsia="仿宋_GB2312" w:cs="Times New Roman"/>
                <w:kern w:val="0"/>
                <w:sz w:val="24"/>
                <w:highlight w:val="none"/>
              </w:rPr>
              <w:t>；</w:t>
            </w:r>
            <w:r>
              <w:rPr>
                <w:rFonts w:hint="default" w:ascii="Times New Roman" w:hAnsi="Times New Roman" w:eastAsia="仿宋_GB2312" w:cs="Times New Roman"/>
                <w:kern w:val="0"/>
                <w:sz w:val="24"/>
                <w:highlight w:val="none"/>
                <w:lang w:eastAsia="zh"/>
              </w:rPr>
              <w:t>④内容空洞、语义表述不清，前后矛盾，存在歧义、混乱、内容不详实等。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4" w:hRule="atLeast"/>
          <w:jc w:val="center"/>
        </w:trPr>
        <w:tc>
          <w:tcPr>
            <w:tcW w:w="14158"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val="0"/>
              <w:spacing w:after="0" w:line="300" w:lineRule="exact"/>
              <w:ind w:left="0" w:leftChars="0" w:right="0" w:rightChars="0" w:firstLine="0" w:firstLineChars="0"/>
              <w:jc w:val="left"/>
              <w:textAlignment w:val="auto"/>
              <w:rPr>
                <w:rFonts w:hint="default" w:ascii="Times New Roman" w:hAnsi="Times New Roman" w:eastAsia="仿宋_GB2312" w:cs="Times New Roman"/>
                <w:kern w:val="0"/>
                <w:sz w:val="24"/>
              </w:rPr>
            </w:pPr>
            <w:r>
              <w:rPr>
                <w:rFonts w:hint="default" w:ascii="Times New Roman" w:hAnsi="Times New Roman" w:eastAsia="仿宋_GB2312" w:cs="Times New Roman"/>
                <w:b/>
                <w:bCs/>
                <w:kern w:val="0"/>
                <w:sz w:val="24"/>
              </w:rPr>
              <w:t>总分：</w:t>
            </w:r>
            <w:r>
              <w:rPr>
                <w:rFonts w:hint="default" w:ascii="Times New Roman" w:hAnsi="Times New Roman" w:eastAsia="仿宋_GB2312" w:cs="Times New Roman"/>
                <w:b/>
                <w:bCs/>
                <w:kern w:val="0"/>
                <w:sz w:val="24"/>
                <w:lang w:val="en-US" w:eastAsia="zh-CN"/>
              </w:rPr>
              <w:t>100</w:t>
            </w:r>
            <w:r>
              <w:rPr>
                <w:rFonts w:hint="default" w:ascii="Times New Roman" w:hAnsi="Times New Roman" w:eastAsia="仿宋_GB2312" w:cs="Times New Roman"/>
                <w:b/>
                <w:bCs/>
                <w:kern w:val="0"/>
                <w:sz w:val="24"/>
              </w:rPr>
              <w:t>分</w:t>
            </w:r>
          </w:p>
        </w:tc>
      </w:tr>
    </w:tbl>
    <w:p>
      <w:pPr>
        <w:spacing w:line="600" w:lineRule="exact"/>
        <w:rPr>
          <w:rFonts w:eastAsia="方正仿宋_GBK"/>
          <w:sz w:val="32"/>
          <w:szCs w:val="32"/>
        </w:rPr>
      </w:pPr>
    </w:p>
    <w:p>
      <w:pPr>
        <w:pStyle w:val="2"/>
        <w:rPr>
          <w:rFonts w:hint="eastAsia"/>
        </w:rPr>
      </w:pPr>
    </w:p>
    <w:sectPr>
      <w:footerReference r:id="rId5" w:type="default"/>
      <w:pgSz w:w="16838" w:h="11906" w:orient="landscape"/>
      <w:pgMar w:top="1134" w:right="1134" w:bottom="1134" w:left="1134" w:header="851" w:footer="680"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w:altName w:val="汉仪中圆B5"/>
    <w:panose1 w:val="02010600030101010101"/>
    <w:charset w:val="86"/>
    <w:family w:val="auto"/>
    <w:pitch w:val="default"/>
    <w:sig w:usb0="00000000" w:usb1="00000000" w:usb2="00000016" w:usb3="00000000" w:csb0="0004000F" w:csb1="00000000"/>
  </w:font>
  <w:font w:name="等线 Light">
    <w:altName w:val="汉仪中圆B5"/>
    <w:panose1 w:val="02010600030101010101"/>
    <w:charset w:val="86"/>
    <w:family w:val="auto"/>
    <w:pitch w:val="default"/>
    <w:sig w:usb0="00000000" w:usb1="00000000" w:usb2="00000016" w:usb3="00000000" w:csb0="0004000F"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等线 Light">
    <w:altName w:val="汉仪仿宋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16175"/>
    <w:multiLevelType w:val="singleLevel"/>
    <w:tmpl w:val="84116175"/>
    <w:lvl w:ilvl="0" w:tentative="0">
      <w:start w:val="1"/>
      <w:numFmt w:val="decimal"/>
      <w:suff w:val="nothing"/>
      <w:lvlText w:val="（%1）"/>
      <w:lvlJc w:val="left"/>
    </w:lvl>
  </w:abstractNum>
  <w:abstractNum w:abstractNumId="1">
    <w:nsid w:val="B3E8CF56"/>
    <w:multiLevelType w:val="singleLevel"/>
    <w:tmpl w:val="B3E8CF56"/>
    <w:lvl w:ilvl="0" w:tentative="0">
      <w:start w:val="1"/>
      <w:numFmt w:val="decimal"/>
      <w:suff w:val="space"/>
      <w:lvlText w:val="%1."/>
      <w:lvlJc w:val="left"/>
    </w:lvl>
  </w:abstractNum>
  <w:abstractNum w:abstractNumId="2">
    <w:nsid w:val="0DB3DBF1"/>
    <w:multiLevelType w:val="singleLevel"/>
    <w:tmpl w:val="0DB3DBF1"/>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2"/>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B8"/>
    <w:rsid w:val="00176027"/>
    <w:rsid w:val="002A5DB8"/>
    <w:rsid w:val="002B381A"/>
    <w:rsid w:val="00477CD1"/>
    <w:rsid w:val="004D1043"/>
    <w:rsid w:val="005446B0"/>
    <w:rsid w:val="005507C0"/>
    <w:rsid w:val="005C4F12"/>
    <w:rsid w:val="00613269"/>
    <w:rsid w:val="006A50D6"/>
    <w:rsid w:val="006B4F71"/>
    <w:rsid w:val="006F2906"/>
    <w:rsid w:val="008025E1"/>
    <w:rsid w:val="00825966"/>
    <w:rsid w:val="00981730"/>
    <w:rsid w:val="00CB338A"/>
    <w:rsid w:val="00E8540F"/>
    <w:rsid w:val="02CD3389"/>
    <w:rsid w:val="0BCE443D"/>
    <w:rsid w:val="0E686F94"/>
    <w:rsid w:val="11287E4A"/>
    <w:rsid w:val="17DC56EA"/>
    <w:rsid w:val="189C0A93"/>
    <w:rsid w:val="1B2450F7"/>
    <w:rsid w:val="213B0118"/>
    <w:rsid w:val="228D6B72"/>
    <w:rsid w:val="24BE69CC"/>
    <w:rsid w:val="27D43E21"/>
    <w:rsid w:val="2FAE1181"/>
    <w:rsid w:val="33395074"/>
    <w:rsid w:val="334E7C57"/>
    <w:rsid w:val="3572046E"/>
    <w:rsid w:val="35B13300"/>
    <w:rsid w:val="38EA2D6E"/>
    <w:rsid w:val="3C8B5203"/>
    <w:rsid w:val="3D5340F8"/>
    <w:rsid w:val="3FFC33F6"/>
    <w:rsid w:val="409311FD"/>
    <w:rsid w:val="40D37A5E"/>
    <w:rsid w:val="45033F5E"/>
    <w:rsid w:val="454B6E41"/>
    <w:rsid w:val="490D6193"/>
    <w:rsid w:val="4944369C"/>
    <w:rsid w:val="4BD47AEE"/>
    <w:rsid w:val="503D03B4"/>
    <w:rsid w:val="50EB4A23"/>
    <w:rsid w:val="5A254BE7"/>
    <w:rsid w:val="5FAC711E"/>
    <w:rsid w:val="644360B3"/>
    <w:rsid w:val="6BAD1E68"/>
    <w:rsid w:val="6CFF6CBF"/>
    <w:rsid w:val="6D083C4C"/>
    <w:rsid w:val="70A0390B"/>
    <w:rsid w:val="74BFFE47"/>
    <w:rsid w:val="75971FE0"/>
    <w:rsid w:val="76F58B55"/>
    <w:rsid w:val="779E367E"/>
    <w:rsid w:val="77FEF640"/>
    <w:rsid w:val="7A453D84"/>
    <w:rsid w:val="7E6F632E"/>
    <w:rsid w:val="7EE02CAF"/>
    <w:rsid w:val="7F6F39E3"/>
    <w:rsid w:val="7FFD33EA"/>
    <w:rsid w:val="AB754A03"/>
    <w:rsid w:val="B18EB959"/>
    <w:rsid w:val="BFCFA5D1"/>
    <w:rsid w:val="C7BD0F99"/>
    <w:rsid w:val="DE976FDC"/>
    <w:rsid w:val="F7A55EAC"/>
    <w:rsid w:val="FD5C90E9"/>
    <w:rsid w:val="FDFF2711"/>
    <w:rsid w:val="FF2E7E17"/>
    <w:rsid w:val="FFE1A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2">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2"/>
    <w:qFormat/>
    <w:uiPriority w:val="0"/>
  </w:style>
  <w:style w:type="paragraph" w:styleId="12">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3">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qFormat/>
    <w:uiPriority w:val="0"/>
    <w:pPr>
      <w:ind w:left="420" w:leftChars="200"/>
    </w:pPr>
  </w:style>
  <w:style w:type="paragraph" w:styleId="17">
    <w:name w:val="Body Text First Indent"/>
    <w:basedOn w:val="11"/>
    <w:unhideWhenUsed/>
    <w:qFormat/>
    <w:uiPriority w:val="99"/>
    <w:pPr>
      <w:ind w:firstLine="420" w:firstLineChars="1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字符"/>
    <w:basedOn w:val="20"/>
    <w:link w:val="3"/>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20"/>
    <w:link w:val="2"/>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20"/>
    <w:link w:val="5"/>
    <w:semiHidden/>
    <w:qFormat/>
    <w:uiPriority w:val="9"/>
    <w:rPr>
      <w:rFonts w:cstheme="majorBidi"/>
      <w:color w:val="2F5597" w:themeColor="accent1" w:themeShade="BF"/>
      <w:sz w:val="28"/>
      <w:szCs w:val="28"/>
    </w:rPr>
  </w:style>
  <w:style w:type="character" w:customStyle="1" w:styleId="25">
    <w:name w:val="标题 5 字符"/>
    <w:basedOn w:val="20"/>
    <w:link w:val="6"/>
    <w:semiHidden/>
    <w:qFormat/>
    <w:uiPriority w:val="9"/>
    <w:rPr>
      <w:rFonts w:cstheme="majorBidi"/>
      <w:color w:val="2F5597" w:themeColor="accent1" w:themeShade="BF"/>
      <w:sz w:val="24"/>
    </w:rPr>
  </w:style>
  <w:style w:type="character" w:customStyle="1" w:styleId="26">
    <w:name w:val="标题 6 字符"/>
    <w:basedOn w:val="20"/>
    <w:link w:val="7"/>
    <w:semiHidden/>
    <w:qFormat/>
    <w:uiPriority w:val="9"/>
    <w:rPr>
      <w:rFonts w:cstheme="majorBidi"/>
      <w:b/>
      <w:bCs/>
      <w:color w:val="2F5597" w:themeColor="accent1" w:themeShade="BF"/>
    </w:rPr>
  </w:style>
  <w:style w:type="character" w:customStyle="1" w:styleId="27">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2"/>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20"/>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20"/>
    <w:link w:val="36"/>
    <w:qFormat/>
    <w:uiPriority w:val="30"/>
    <w:rPr>
      <w:i/>
      <w:iCs/>
      <w:color w:val="2F5597" w:themeColor="accent1" w:themeShade="BF"/>
    </w:rPr>
  </w:style>
  <w:style w:type="character" w:customStyle="1" w:styleId="38">
    <w:name w:val="明显参考1"/>
    <w:basedOn w:val="20"/>
    <w:qFormat/>
    <w:uiPriority w:val="32"/>
    <w:rPr>
      <w:b/>
      <w:bCs/>
      <w:smallCaps/>
      <w:color w:val="2F5597" w:themeColor="accent1" w:themeShade="BF"/>
      <w:spacing w:val="5"/>
    </w:rPr>
  </w:style>
  <w:style w:type="character" w:customStyle="1" w:styleId="39">
    <w:name w:val="页眉 字符"/>
    <w:basedOn w:val="20"/>
    <w:link w:val="14"/>
    <w:qFormat/>
    <w:uiPriority w:val="99"/>
    <w:rPr>
      <w:sz w:val="18"/>
      <w:szCs w:val="18"/>
    </w:rPr>
  </w:style>
  <w:style w:type="character" w:customStyle="1" w:styleId="40">
    <w:name w:val="页脚 字符"/>
    <w:basedOn w:val="20"/>
    <w:link w:val="1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2962</Words>
  <Characters>2999</Characters>
  <Lines>12</Lines>
  <Paragraphs>3</Paragraphs>
  <TotalTime>55</TotalTime>
  <ScaleCrop>false</ScaleCrop>
  <LinksUpToDate>false</LinksUpToDate>
  <CharactersWithSpaces>3136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2026-05-14T10:36:00Z</dcterms:created>
  <dc:creator>wuwuwuwuwu wuwuwuwuwu</dc:creator>
  <cp:lastModifiedBy>李</cp:lastModifiedBy>
  <cp:lastPrinted>2026-10-30T09:24:00Z</cp:lastPrinted>
  <dcterms:modified xsi:type="dcterms:W3CDTF">2026-11-04T09:56:19Z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eyJoZGlkIjoiODUwYzBjMDY1ZmYzODA1M2QzNWJmZjU3MDYwNjI4MjkiLCJ1c2VySWQiOiIxNDc5MzgwMTczIn0=</vt:lpwstr>
  </property>
  <property fmtid="{D5CDD505-2E9C-101B-9397-08002B2CF9AE}" pid="3" name="KSOProductBuildVer">
    <vt:lpwstr>2052-11.8.2.10251</vt:lpwstr>
  </property>
  <property fmtid="{D5CDD505-2E9C-101B-9397-08002B2CF9AE}" pid="4" name="ICV">
    <vt:lpwstr>66468200937740FAA48DCAB6B8F82089_13</vt:lpwstr>
  </property>
</Properties>
</file>