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rPr>
          <w:rFonts w:eastAsia="仿宋_GB2312"/>
          <w:sz w:val="32"/>
          <w:szCs w:val="32"/>
        </w:rPr>
      </w:pPr>
      <w:r>
        <w:rPr>
          <w:rFonts w:eastAsia="仿宋_GB2312"/>
          <w:sz w:val="32"/>
          <w:szCs w:val="32"/>
        </w:rPr>
        <w:t>附件</w:t>
      </w:r>
    </w:p>
    <w:p>
      <w:pPr>
        <w:shd w:val="clear" w:color="auto" w:fill="FFFFFF"/>
        <w:spacing w:before="156" w:beforeLines="50" w:after="156" w:afterLines="50" w:line="560" w:lineRule="exact"/>
        <w:jc w:val="center"/>
        <w:rPr>
          <w:rFonts w:eastAsia="方正小标宋简体"/>
          <w:sz w:val="42"/>
          <w:szCs w:val="42"/>
        </w:rPr>
      </w:pPr>
      <w:bookmarkStart w:id="0" w:name="_GoBack"/>
      <w:r>
        <w:rPr>
          <w:rFonts w:eastAsia="方正小标宋简体"/>
          <w:bCs/>
          <w:color w:val="000000"/>
          <w:kern w:val="0"/>
          <w:sz w:val="42"/>
          <w:szCs w:val="42"/>
        </w:rPr>
        <w:t>湖南省发展和改革委行政处罚裁量权基准</w:t>
      </w:r>
    </w:p>
    <w:bookmarkEnd w:id="0"/>
    <w:tbl>
      <w:tblPr>
        <w:tblStyle w:val="3"/>
        <w:tblW w:w="0" w:type="auto"/>
        <w:jc w:val="center"/>
        <w:tblLayout w:type="fixed"/>
        <w:tblCellMar>
          <w:top w:w="0" w:type="dxa"/>
          <w:left w:w="108" w:type="dxa"/>
          <w:bottom w:w="0" w:type="dxa"/>
          <w:right w:w="108" w:type="dxa"/>
        </w:tblCellMar>
      </w:tblPr>
      <w:tblGrid>
        <w:gridCol w:w="646"/>
        <w:gridCol w:w="2067"/>
        <w:gridCol w:w="7963"/>
        <w:gridCol w:w="1119"/>
        <w:gridCol w:w="3186"/>
      </w:tblGrid>
      <w:tr>
        <w:tblPrEx>
          <w:tblCellMar>
            <w:top w:w="0" w:type="dxa"/>
            <w:left w:w="108" w:type="dxa"/>
            <w:bottom w:w="0" w:type="dxa"/>
            <w:right w:w="108" w:type="dxa"/>
          </w:tblCellMar>
        </w:tblPrEx>
        <w:trPr>
          <w:trHeight w:val="532" w:hRule="atLeast"/>
          <w:tblHeader/>
          <w:jc w:val="center"/>
        </w:trPr>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黑体"/>
                <w:bCs/>
                <w:color w:val="000000"/>
                <w:kern w:val="0"/>
                <w:sz w:val="20"/>
                <w:szCs w:val="20"/>
              </w:rPr>
            </w:pPr>
            <w:r>
              <w:rPr>
                <w:rFonts w:eastAsia="黑体"/>
                <w:bCs/>
                <w:color w:val="000000"/>
                <w:kern w:val="0"/>
                <w:sz w:val="20"/>
                <w:szCs w:val="20"/>
              </w:rPr>
              <w:t>序号</w:t>
            </w:r>
          </w:p>
        </w:tc>
        <w:tc>
          <w:tcPr>
            <w:tcW w:w="20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黑体"/>
                <w:bCs/>
                <w:color w:val="000000"/>
                <w:kern w:val="0"/>
                <w:sz w:val="20"/>
                <w:szCs w:val="20"/>
              </w:rPr>
            </w:pPr>
            <w:r>
              <w:rPr>
                <w:rFonts w:eastAsia="黑体"/>
                <w:bCs/>
                <w:color w:val="000000"/>
                <w:kern w:val="0"/>
                <w:sz w:val="20"/>
                <w:szCs w:val="20"/>
              </w:rPr>
              <w:t>违法行为</w:t>
            </w:r>
          </w:p>
        </w:tc>
        <w:tc>
          <w:tcPr>
            <w:tcW w:w="796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黑体"/>
                <w:bCs/>
                <w:color w:val="000000"/>
                <w:kern w:val="0"/>
                <w:sz w:val="20"/>
                <w:szCs w:val="20"/>
              </w:rPr>
            </w:pPr>
            <w:r>
              <w:rPr>
                <w:rFonts w:eastAsia="黑体"/>
                <w:bCs/>
                <w:color w:val="000000"/>
                <w:kern w:val="0"/>
                <w:sz w:val="20"/>
                <w:szCs w:val="20"/>
              </w:rPr>
              <w:t>行政处罚依据</w:t>
            </w:r>
          </w:p>
        </w:tc>
        <w:tc>
          <w:tcPr>
            <w:tcW w:w="111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黑体"/>
                <w:bCs/>
                <w:color w:val="000000"/>
                <w:kern w:val="0"/>
                <w:sz w:val="20"/>
                <w:szCs w:val="20"/>
              </w:rPr>
            </w:pPr>
            <w:r>
              <w:rPr>
                <w:rFonts w:eastAsia="黑体"/>
                <w:bCs/>
                <w:color w:val="000000"/>
                <w:kern w:val="0"/>
                <w:sz w:val="20"/>
                <w:szCs w:val="20"/>
              </w:rPr>
              <w:t>裁量情形</w:t>
            </w:r>
          </w:p>
        </w:tc>
        <w:tc>
          <w:tcPr>
            <w:tcW w:w="31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黑体"/>
                <w:bCs/>
                <w:color w:val="000000"/>
                <w:kern w:val="0"/>
                <w:sz w:val="20"/>
                <w:szCs w:val="20"/>
              </w:rPr>
            </w:pPr>
            <w:r>
              <w:rPr>
                <w:rFonts w:eastAsia="黑体"/>
                <w:bCs/>
                <w:color w:val="000000"/>
                <w:kern w:val="0"/>
                <w:sz w:val="20"/>
                <w:szCs w:val="20"/>
              </w:rPr>
              <w:t>裁量基准</w:t>
            </w:r>
          </w:p>
        </w:tc>
      </w:tr>
      <w:tr>
        <w:tblPrEx>
          <w:tblCellMar>
            <w:top w:w="0" w:type="dxa"/>
            <w:left w:w="108" w:type="dxa"/>
            <w:bottom w:w="0" w:type="dxa"/>
            <w:right w:w="108" w:type="dxa"/>
          </w:tblCellMar>
        </w:tblPrEx>
        <w:trPr>
          <w:trHeight w:val="412" w:hRule="atLeast"/>
          <w:jc w:val="center"/>
        </w:trPr>
        <w:tc>
          <w:tcPr>
            <w:tcW w:w="1498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
                <w:bCs/>
                <w:color w:val="000000"/>
                <w:kern w:val="0"/>
                <w:sz w:val="20"/>
                <w:szCs w:val="20"/>
              </w:rPr>
            </w:pPr>
            <w:r>
              <w:rPr>
                <w:b/>
                <w:bCs/>
                <w:color w:val="000000"/>
                <w:kern w:val="0"/>
                <w:sz w:val="20"/>
                <w:szCs w:val="20"/>
              </w:rPr>
              <w:t>第一节 招投标领域违法行为裁量</w:t>
            </w:r>
          </w:p>
        </w:tc>
      </w:tr>
      <w:tr>
        <w:tblPrEx>
          <w:tblCellMar>
            <w:top w:w="0" w:type="dxa"/>
            <w:left w:w="108" w:type="dxa"/>
            <w:bottom w:w="0" w:type="dxa"/>
            <w:right w:w="108" w:type="dxa"/>
          </w:tblCellMar>
        </w:tblPrEx>
        <w:trPr>
          <w:trHeight w:val="356"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1</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违法收取投标保证金、履约保证金或者不按规定退还投标保证金的处罚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 xml:space="preserve">《招标投标法实施条例》     </w:t>
            </w:r>
          </w:p>
          <w:p>
            <w:pPr>
              <w:widowControl/>
              <w:spacing w:line="240" w:lineRule="exact"/>
              <w:jc w:val="left"/>
              <w:rPr>
                <w:color w:val="000000"/>
                <w:kern w:val="0"/>
                <w:sz w:val="20"/>
                <w:szCs w:val="20"/>
              </w:rPr>
            </w:pPr>
            <w:r>
              <w:rPr>
                <w:color w:val="000000"/>
                <w:kern w:val="0"/>
                <w:sz w:val="20"/>
                <w:szCs w:val="20"/>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处2万元以下的罚款。</w:t>
            </w:r>
          </w:p>
        </w:tc>
      </w:tr>
      <w:tr>
        <w:tblPrEx>
          <w:tblCellMar>
            <w:top w:w="0" w:type="dxa"/>
            <w:left w:w="108" w:type="dxa"/>
            <w:bottom w:w="0" w:type="dxa"/>
            <w:right w:w="108" w:type="dxa"/>
          </w:tblCellMar>
        </w:tblPrEx>
        <w:trPr>
          <w:trHeight w:val="356"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处2-4万元的罚款。</w:t>
            </w:r>
          </w:p>
        </w:tc>
      </w:tr>
      <w:tr>
        <w:tblPrEx>
          <w:tblCellMar>
            <w:top w:w="0" w:type="dxa"/>
            <w:left w:w="108" w:type="dxa"/>
            <w:bottom w:w="0" w:type="dxa"/>
            <w:right w:w="108" w:type="dxa"/>
          </w:tblCellMar>
        </w:tblPrEx>
        <w:trPr>
          <w:trHeight w:val="90"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处4-5万元的罚款。</w:t>
            </w:r>
          </w:p>
        </w:tc>
      </w:tr>
      <w:tr>
        <w:tblPrEx>
          <w:tblCellMar>
            <w:top w:w="0" w:type="dxa"/>
            <w:left w:w="108" w:type="dxa"/>
            <w:bottom w:w="0" w:type="dxa"/>
            <w:right w:w="108" w:type="dxa"/>
          </w:tblCellMar>
        </w:tblPrEx>
        <w:trPr>
          <w:trHeight w:val="418"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2</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中标人无正当理由不与招标人订立合同，在签订合同时提出附加条件或不按招标文件要求提交履约保证金的处罚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《招标投标法实施条例》</w:t>
            </w:r>
          </w:p>
          <w:p>
            <w:pPr>
              <w:widowControl/>
              <w:spacing w:line="240" w:lineRule="exact"/>
              <w:jc w:val="left"/>
              <w:rPr>
                <w:color w:val="000000"/>
                <w:kern w:val="0"/>
                <w:sz w:val="20"/>
                <w:szCs w:val="20"/>
              </w:rPr>
            </w:pPr>
            <w:r>
              <w:rPr>
                <w:color w:val="000000"/>
                <w:kern w:val="0"/>
                <w:sz w:val="20"/>
                <w:szCs w:val="20"/>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处中标项目金额3‰以下的罚款。</w:t>
            </w:r>
          </w:p>
        </w:tc>
      </w:tr>
      <w:tr>
        <w:tblPrEx>
          <w:tblCellMar>
            <w:top w:w="0" w:type="dxa"/>
            <w:left w:w="108" w:type="dxa"/>
            <w:bottom w:w="0" w:type="dxa"/>
            <w:right w:w="108" w:type="dxa"/>
          </w:tblCellMar>
        </w:tblPrEx>
        <w:trPr>
          <w:trHeight w:val="433"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处中标项目金额3-6‰的罚款。</w:t>
            </w:r>
          </w:p>
        </w:tc>
      </w:tr>
      <w:tr>
        <w:tblPrEx>
          <w:tblCellMar>
            <w:top w:w="0" w:type="dxa"/>
            <w:left w:w="108" w:type="dxa"/>
            <w:bottom w:w="0" w:type="dxa"/>
            <w:right w:w="108" w:type="dxa"/>
          </w:tblCellMar>
        </w:tblPrEx>
        <w:trPr>
          <w:trHeight w:val="749"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处中标项目金额6-10‰的罚款。</w:t>
            </w:r>
          </w:p>
        </w:tc>
      </w:tr>
      <w:tr>
        <w:tblPrEx>
          <w:tblCellMar>
            <w:top w:w="0" w:type="dxa"/>
            <w:left w:w="108" w:type="dxa"/>
            <w:bottom w:w="0" w:type="dxa"/>
            <w:right w:w="108" w:type="dxa"/>
          </w:tblCellMar>
        </w:tblPrEx>
        <w:trPr>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3</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工业项目招标代理机构泄密、与招标人、投标人串通以及其它违规行为的处罚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1.《招标投标法》</w:t>
            </w:r>
          </w:p>
          <w:p>
            <w:pPr>
              <w:widowControl/>
              <w:spacing w:line="240" w:lineRule="exact"/>
              <w:jc w:val="left"/>
              <w:rPr>
                <w:color w:val="000000"/>
                <w:kern w:val="0"/>
                <w:sz w:val="20"/>
                <w:szCs w:val="20"/>
              </w:rPr>
            </w:pPr>
            <w:r>
              <w:rPr>
                <w:color w:val="000000"/>
                <w:kern w:val="0"/>
                <w:sz w:val="20"/>
                <w:szCs w:val="20"/>
              </w:rPr>
              <w:t>第五十条（第一款）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widowControl/>
              <w:spacing w:line="240" w:lineRule="exact"/>
              <w:jc w:val="left"/>
              <w:rPr>
                <w:color w:val="000000"/>
                <w:kern w:val="0"/>
                <w:sz w:val="20"/>
                <w:szCs w:val="20"/>
              </w:rPr>
            </w:pPr>
            <w:r>
              <w:rPr>
                <w:color w:val="000000"/>
                <w:kern w:val="0"/>
                <w:sz w:val="20"/>
                <w:szCs w:val="20"/>
              </w:rPr>
              <w:t>2.《工程建设项目施工招标投标办法》</w:t>
            </w:r>
          </w:p>
          <w:p>
            <w:pPr>
              <w:widowControl/>
              <w:spacing w:line="240" w:lineRule="exact"/>
              <w:jc w:val="left"/>
              <w:rPr>
                <w:color w:val="000000"/>
                <w:kern w:val="0"/>
                <w:sz w:val="20"/>
                <w:szCs w:val="20"/>
              </w:rPr>
            </w:pPr>
            <w:r>
              <w:rPr>
                <w:color w:val="000000"/>
                <w:kern w:val="0"/>
                <w:sz w:val="20"/>
                <w:szCs w:val="20"/>
              </w:rPr>
              <w:t>第六十九条（第一款） 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暂停其一定时期内参与相关领域的招标代理业务，资格认定部门可暂停直至取消招标代理资格；构成犯罪的，由司法部门依法追究刑事责任。给他人造成损失的，依法承担赔偿责任。</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处5-11万元罚款，对单位直接负责的主管人员和其他直接责任人员处单位罚款数额5-6%的罚款。有违法所得的，并处没收违法所。</w:t>
            </w:r>
          </w:p>
        </w:tc>
      </w:tr>
      <w:tr>
        <w:tblPrEx>
          <w:tblCellMar>
            <w:top w:w="0" w:type="dxa"/>
            <w:left w:w="108" w:type="dxa"/>
            <w:bottom w:w="0" w:type="dxa"/>
            <w:right w:w="108" w:type="dxa"/>
          </w:tblCellMar>
        </w:tblPrEx>
        <w:trPr>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处11-18万元罚款，对单位直接负责的主管人员和其他直接责任人员处单位罚款数额6-8%的罚款。有违法所得的，并处没收违法所得。</w:t>
            </w:r>
          </w:p>
        </w:tc>
      </w:tr>
      <w:tr>
        <w:tblPrEx>
          <w:tblCellMar>
            <w:top w:w="0" w:type="dxa"/>
            <w:left w:w="108" w:type="dxa"/>
            <w:bottom w:w="0" w:type="dxa"/>
            <w:right w:w="108" w:type="dxa"/>
          </w:tblCellMar>
        </w:tblPrEx>
        <w:trPr>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spacing w:val="-4"/>
                <w:kern w:val="0"/>
                <w:sz w:val="20"/>
                <w:szCs w:val="20"/>
              </w:rPr>
            </w:pPr>
            <w:r>
              <w:rPr>
                <w:color w:val="000000"/>
                <w:spacing w:val="-4"/>
                <w:kern w:val="0"/>
                <w:sz w:val="20"/>
                <w:szCs w:val="20"/>
              </w:rPr>
              <w:t>处18-25万元罚款，对单位直接负责的主管人员和其他直接责任人员处单位罚款数额8-10%的罚款。有违法所得的，并处没收违法所得。禁止其一年至二年内代理依法必须进行招标的项目并予以公告。</w:t>
            </w:r>
          </w:p>
        </w:tc>
      </w:tr>
      <w:tr>
        <w:tblPrEx>
          <w:tblCellMar>
            <w:top w:w="0" w:type="dxa"/>
            <w:left w:w="108" w:type="dxa"/>
            <w:bottom w:w="0" w:type="dxa"/>
            <w:right w:w="108" w:type="dxa"/>
          </w:tblCellMar>
        </w:tblPrEx>
        <w:trPr>
          <w:trHeight w:val="2310" w:hRule="atLeast"/>
          <w:jc w:val="center"/>
        </w:trPr>
        <w:tc>
          <w:tcPr>
            <w:tcW w:w="64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4</w:t>
            </w:r>
          </w:p>
        </w:tc>
        <w:tc>
          <w:tcPr>
            <w:tcW w:w="2067"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工业项目投标中，出让或者出租资格、资质证书供他人投标的处罚</w:t>
            </w:r>
          </w:p>
        </w:tc>
        <w:tc>
          <w:tcPr>
            <w:tcW w:w="7963"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《招标投标法实施条例》</w:t>
            </w:r>
          </w:p>
          <w:p>
            <w:pPr>
              <w:widowControl/>
              <w:spacing w:line="240" w:lineRule="exact"/>
              <w:jc w:val="left"/>
              <w:rPr>
                <w:color w:val="000000"/>
                <w:kern w:val="0"/>
                <w:sz w:val="20"/>
                <w:szCs w:val="20"/>
              </w:rPr>
            </w:pPr>
            <w:r>
              <w:rPr>
                <w:color w:val="000000"/>
                <w:kern w:val="0"/>
                <w:sz w:val="20"/>
                <w:szCs w:val="20"/>
              </w:rPr>
              <w:t>第六十九条 出让或者出租资格、资质证书供他人投标的，依照法律、行政法规的规定给予行政处罚；构成犯罪的，依法追究刑事责任。</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给予行政处罚；构成犯罪的，依法追究刑事责任。</w:t>
            </w:r>
          </w:p>
        </w:tc>
      </w:tr>
      <w:tr>
        <w:tblPrEx>
          <w:tblCellMar>
            <w:top w:w="0" w:type="dxa"/>
            <w:left w:w="108" w:type="dxa"/>
            <w:bottom w:w="0" w:type="dxa"/>
            <w:right w:w="108" w:type="dxa"/>
          </w:tblCellMar>
        </w:tblPrEx>
        <w:trPr>
          <w:trHeight w:val="1626"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5</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依法必须招标的工业项目招标人无正当理由不发中标通知书，不按规定确定中标人，无正当理由改变中标结果或不与中标人订立合同，在订立合同时向中标人提出附加条件的处罚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1.《招标投标法实施条例》</w:t>
            </w:r>
          </w:p>
          <w:p>
            <w:pPr>
              <w:widowControl/>
              <w:spacing w:line="240" w:lineRule="exact"/>
              <w:jc w:val="left"/>
              <w:rPr>
                <w:color w:val="000000"/>
                <w:kern w:val="0"/>
                <w:sz w:val="20"/>
                <w:szCs w:val="20"/>
              </w:rPr>
            </w:pPr>
            <w:r>
              <w:rPr>
                <w:color w:val="000000"/>
                <w:kern w:val="0"/>
                <w:sz w:val="20"/>
                <w:szCs w:val="20"/>
              </w:rPr>
              <w:t>第七十三条 依法必须进行招标的项目的招标人有下列情形之一的，由有关行政监督部门责令改正，可以处中标项目金额 10‰以下的罚款；给他人造成损失的，依法承担赔偿责任；对单位直接负责的主管人员和其他直接责任人员依法给予处分：</w:t>
            </w:r>
          </w:p>
          <w:p>
            <w:pPr>
              <w:widowControl/>
              <w:spacing w:line="240" w:lineRule="exact"/>
              <w:jc w:val="left"/>
              <w:rPr>
                <w:color w:val="000000"/>
                <w:kern w:val="0"/>
                <w:sz w:val="20"/>
                <w:szCs w:val="20"/>
              </w:rPr>
            </w:pPr>
            <w:r>
              <w:rPr>
                <w:color w:val="000000"/>
                <w:kern w:val="0"/>
                <w:sz w:val="20"/>
                <w:szCs w:val="20"/>
              </w:rPr>
              <w:t>（一）无正当理由不发出中标通知书；</w:t>
            </w:r>
          </w:p>
          <w:p>
            <w:pPr>
              <w:widowControl/>
              <w:spacing w:line="240" w:lineRule="exact"/>
              <w:jc w:val="left"/>
              <w:rPr>
                <w:color w:val="000000"/>
                <w:kern w:val="0"/>
                <w:sz w:val="20"/>
                <w:szCs w:val="20"/>
              </w:rPr>
            </w:pPr>
            <w:r>
              <w:rPr>
                <w:color w:val="000000"/>
                <w:kern w:val="0"/>
                <w:sz w:val="20"/>
                <w:szCs w:val="20"/>
              </w:rPr>
              <w:t>（二）不按照规定确定中标人；</w:t>
            </w:r>
          </w:p>
          <w:p>
            <w:pPr>
              <w:widowControl/>
              <w:spacing w:line="240" w:lineRule="exact"/>
              <w:jc w:val="left"/>
              <w:rPr>
                <w:color w:val="000000"/>
                <w:kern w:val="0"/>
                <w:sz w:val="20"/>
                <w:szCs w:val="20"/>
              </w:rPr>
            </w:pPr>
            <w:r>
              <w:rPr>
                <w:color w:val="000000"/>
                <w:kern w:val="0"/>
                <w:sz w:val="20"/>
                <w:szCs w:val="20"/>
              </w:rPr>
              <w:t>（三）中标通知书发出后无正当理由改变中标结果；</w:t>
            </w:r>
          </w:p>
          <w:p>
            <w:pPr>
              <w:widowControl/>
              <w:spacing w:line="240" w:lineRule="exact"/>
              <w:jc w:val="left"/>
              <w:rPr>
                <w:color w:val="000000"/>
                <w:kern w:val="0"/>
                <w:sz w:val="20"/>
                <w:szCs w:val="20"/>
              </w:rPr>
            </w:pPr>
            <w:r>
              <w:rPr>
                <w:color w:val="000000"/>
                <w:kern w:val="0"/>
                <w:sz w:val="20"/>
                <w:szCs w:val="20"/>
              </w:rPr>
              <w:t>（四）无正当理由不与中标人订立合同；</w:t>
            </w:r>
          </w:p>
          <w:p>
            <w:pPr>
              <w:widowControl/>
              <w:spacing w:line="240" w:lineRule="exact"/>
              <w:jc w:val="left"/>
              <w:rPr>
                <w:color w:val="000000"/>
                <w:kern w:val="0"/>
                <w:sz w:val="20"/>
                <w:szCs w:val="20"/>
              </w:rPr>
            </w:pPr>
            <w:r>
              <w:rPr>
                <w:color w:val="000000"/>
                <w:kern w:val="0"/>
                <w:sz w:val="20"/>
                <w:szCs w:val="20"/>
              </w:rPr>
              <w:t>（五）在订立合同时向中标人提出附加条件。</w:t>
            </w:r>
          </w:p>
          <w:p>
            <w:pPr>
              <w:widowControl/>
              <w:spacing w:line="240" w:lineRule="exact"/>
              <w:jc w:val="left"/>
              <w:rPr>
                <w:color w:val="000000"/>
                <w:kern w:val="0"/>
                <w:sz w:val="20"/>
                <w:szCs w:val="20"/>
              </w:rPr>
            </w:pPr>
            <w:r>
              <w:rPr>
                <w:color w:val="000000"/>
                <w:kern w:val="0"/>
                <w:sz w:val="20"/>
                <w:szCs w:val="20"/>
              </w:rPr>
              <w:t>2.《工程建设项目货物招标投标办法》</w:t>
            </w:r>
          </w:p>
          <w:p>
            <w:pPr>
              <w:widowControl/>
              <w:spacing w:line="240" w:lineRule="exact"/>
              <w:jc w:val="left"/>
              <w:rPr>
                <w:color w:val="000000"/>
                <w:kern w:val="0"/>
                <w:sz w:val="20"/>
                <w:szCs w:val="20"/>
              </w:rPr>
            </w:pPr>
            <w:r>
              <w:rPr>
                <w:color w:val="000000"/>
                <w:kern w:val="0"/>
                <w:sz w:val="20"/>
                <w:szCs w:val="20"/>
              </w:rPr>
              <w:t>第五十八条（第一款第（一）项）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widowControl/>
              <w:spacing w:line="240" w:lineRule="exact"/>
              <w:jc w:val="left"/>
              <w:rPr>
                <w:color w:val="000000"/>
                <w:kern w:val="0"/>
                <w:sz w:val="20"/>
                <w:szCs w:val="20"/>
              </w:rPr>
            </w:pPr>
            <w:r>
              <w:rPr>
                <w:color w:val="000000"/>
                <w:kern w:val="0"/>
                <w:sz w:val="20"/>
                <w:szCs w:val="20"/>
              </w:rPr>
              <w:t>（一）无正当理由不发出中标通知书。</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处中标项目金额3‰以下的罚款。</w:t>
            </w:r>
          </w:p>
        </w:tc>
      </w:tr>
      <w:tr>
        <w:tblPrEx>
          <w:tblCellMar>
            <w:top w:w="0" w:type="dxa"/>
            <w:left w:w="108" w:type="dxa"/>
            <w:bottom w:w="0" w:type="dxa"/>
            <w:right w:w="108" w:type="dxa"/>
          </w:tblCellMar>
        </w:tblPrEx>
        <w:trPr>
          <w:trHeight w:val="1535"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处中标项目金额3-6‰的罚款。</w:t>
            </w:r>
          </w:p>
        </w:tc>
      </w:tr>
      <w:tr>
        <w:tblPrEx>
          <w:tblCellMar>
            <w:top w:w="0" w:type="dxa"/>
            <w:left w:w="108" w:type="dxa"/>
            <w:bottom w:w="0" w:type="dxa"/>
            <w:right w:w="108" w:type="dxa"/>
          </w:tblCellMar>
        </w:tblPrEx>
        <w:trPr>
          <w:trHeight w:val="2834"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处中标项目金额6-10‰的罚款。</w:t>
            </w:r>
          </w:p>
        </w:tc>
      </w:tr>
      <w:tr>
        <w:tblPrEx>
          <w:tblCellMar>
            <w:top w:w="0" w:type="dxa"/>
            <w:left w:w="108" w:type="dxa"/>
            <w:bottom w:w="0" w:type="dxa"/>
            <w:right w:w="108" w:type="dxa"/>
          </w:tblCellMar>
        </w:tblPrEx>
        <w:trPr>
          <w:trHeight w:val="2043"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6</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依法必须进行招标的工业项目招标人违法与投标人进行实质性内容谈判；与中标人不按招投标文件订立合同或订立背离合同实质性内容的协议的处罚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1.《招标投标法》</w:t>
            </w:r>
          </w:p>
          <w:p>
            <w:pPr>
              <w:widowControl/>
              <w:spacing w:line="240" w:lineRule="exact"/>
              <w:jc w:val="left"/>
              <w:rPr>
                <w:color w:val="000000"/>
                <w:kern w:val="0"/>
                <w:sz w:val="20"/>
                <w:szCs w:val="20"/>
              </w:rPr>
            </w:pPr>
            <w:r>
              <w:rPr>
                <w:color w:val="000000"/>
                <w:kern w:val="0"/>
                <w:sz w:val="20"/>
                <w:szCs w:val="20"/>
              </w:rPr>
              <w:t>第五十九条 招标人与中标人不按照招标文件和中标人的投标文件订立合同的，或者招标人、中标人订立背离合同实质性内容的协议的，责令改正；可以处中标项目金额千分之五以上千分之十以下的罚款。</w:t>
            </w:r>
          </w:p>
          <w:p>
            <w:pPr>
              <w:widowControl/>
              <w:spacing w:line="240" w:lineRule="exact"/>
              <w:jc w:val="left"/>
              <w:rPr>
                <w:color w:val="000000"/>
                <w:kern w:val="0"/>
                <w:sz w:val="20"/>
                <w:szCs w:val="20"/>
              </w:rPr>
            </w:pPr>
            <w:r>
              <w:rPr>
                <w:color w:val="000000"/>
                <w:kern w:val="0"/>
                <w:sz w:val="20"/>
                <w:szCs w:val="20"/>
              </w:rPr>
              <w:t>2.《招标投标法实施条例》</w:t>
            </w:r>
          </w:p>
          <w:p>
            <w:pPr>
              <w:widowControl/>
              <w:spacing w:line="240" w:lineRule="exact"/>
              <w:jc w:val="left"/>
              <w:rPr>
                <w:color w:val="000000"/>
                <w:kern w:val="0"/>
                <w:sz w:val="20"/>
                <w:szCs w:val="20"/>
              </w:rPr>
            </w:pPr>
            <w:r>
              <w:rPr>
                <w:color w:val="000000"/>
                <w:kern w:val="0"/>
                <w:sz w:val="20"/>
                <w:szCs w:val="20"/>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widowControl/>
              <w:spacing w:line="240" w:lineRule="exact"/>
              <w:jc w:val="left"/>
              <w:rPr>
                <w:color w:val="000000"/>
                <w:kern w:val="0"/>
                <w:sz w:val="20"/>
                <w:szCs w:val="20"/>
              </w:rPr>
            </w:pPr>
            <w:r>
              <w:rPr>
                <w:color w:val="000000"/>
                <w:kern w:val="0"/>
                <w:sz w:val="20"/>
                <w:szCs w:val="20"/>
              </w:rPr>
              <w:t>3.《工程建设项目勘察设计招标投标办法》</w:t>
            </w:r>
          </w:p>
          <w:p>
            <w:pPr>
              <w:widowControl/>
              <w:spacing w:line="240" w:lineRule="exact"/>
              <w:jc w:val="left"/>
              <w:rPr>
                <w:color w:val="000000"/>
                <w:kern w:val="0"/>
                <w:sz w:val="20"/>
                <w:szCs w:val="20"/>
              </w:rPr>
            </w:pPr>
            <w:r>
              <w:rPr>
                <w:color w:val="000000"/>
                <w:kern w:val="0"/>
                <w:sz w:val="20"/>
                <w:szCs w:val="20"/>
              </w:rPr>
              <w:t>第五十五条 招标人与中标人不按照招标文件和中标人的投标文件订立合同，责令改正，可以处中标项目金额千分之五以上千分之十以下的罚款。</w:t>
            </w:r>
          </w:p>
          <w:p>
            <w:pPr>
              <w:widowControl/>
              <w:spacing w:line="240" w:lineRule="exact"/>
              <w:jc w:val="left"/>
              <w:rPr>
                <w:color w:val="000000"/>
                <w:kern w:val="0"/>
                <w:sz w:val="20"/>
                <w:szCs w:val="20"/>
              </w:rPr>
            </w:pPr>
            <w:r>
              <w:rPr>
                <w:color w:val="000000"/>
                <w:kern w:val="0"/>
                <w:sz w:val="20"/>
                <w:szCs w:val="20"/>
              </w:rPr>
              <w:t>4.《评标委员会和评标方法暂行规定》</w:t>
            </w:r>
          </w:p>
          <w:p>
            <w:pPr>
              <w:widowControl/>
              <w:spacing w:line="240" w:lineRule="exact"/>
              <w:jc w:val="left"/>
              <w:rPr>
                <w:color w:val="000000"/>
                <w:kern w:val="0"/>
                <w:sz w:val="20"/>
                <w:szCs w:val="20"/>
              </w:rPr>
            </w:pPr>
            <w:r>
              <w:rPr>
                <w:color w:val="000000"/>
                <w:kern w:val="0"/>
                <w:sz w:val="20"/>
                <w:szCs w:val="20"/>
              </w:rPr>
              <w:t>第五十六条 招标人与中标人不按照招标文件和中标人的投标文件订立合同的，合同的主要条款与招标文件、中标人的投标文件的内容不一致，或者招标人、中标人订立背离合同实质性内容的协议的，由有关行政监督部门责令改正，可以处中标项目金额千分之五以上千分之十以下的罚款。</w:t>
            </w:r>
          </w:p>
          <w:p>
            <w:pPr>
              <w:widowControl/>
              <w:spacing w:line="240" w:lineRule="exact"/>
              <w:jc w:val="left"/>
              <w:rPr>
                <w:color w:val="000000"/>
                <w:kern w:val="0"/>
                <w:sz w:val="20"/>
                <w:szCs w:val="20"/>
              </w:rPr>
            </w:pPr>
            <w:r>
              <w:rPr>
                <w:color w:val="000000"/>
                <w:kern w:val="0"/>
                <w:sz w:val="20"/>
                <w:szCs w:val="20"/>
              </w:rPr>
              <w:t>5.《工程建设项目施工招标投标办法》</w:t>
            </w:r>
          </w:p>
          <w:p>
            <w:pPr>
              <w:widowControl/>
              <w:spacing w:line="240" w:lineRule="exact"/>
              <w:jc w:val="left"/>
              <w:rPr>
                <w:color w:val="000000"/>
                <w:kern w:val="0"/>
                <w:sz w:val="20"/>
                <w:szCs w:val="20"/>
              </w:rPr>
            </w:pPr>
            <w:r>
              <w:rPr>
                <w:color w:val="000000"/>
                <w:kern w:val="0"/>
                <w:sz w:val="20"/>
                <w:szCs w:val="20"/>
              </w:rPr>
              <w:t>第八十三条 招标人与中标人不按照招标文件和中标人的投标文件订立合同的，合同的主要条款与招标文件、中标人的投标文件的内容不一致，或者招标人、中标人订立背离合同实质性内容的协议的，有关行政监督部门责令改正；可以处中标项目金额千分之五以上千分之十以下的罚款。</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处中标项目金额5-6‰的罚款。</w:t>
            </w:r>
          </w:p>
        </w:tc>
      </w:tr>
      <w:tr>
        <w:tblPrEx>
          <w:tblCellMar>
            <w:top w:w="0" w:type="dxa"/>
            <w:left w:w="108" w:type="dxa"/>
            <w:bottom w:w="0" w:type="dxa"/>
            <w:right w:w="108" w:type="dxa"/>
          </w:tblCellMar>
        </w:tblPrEx>
        <w:trPr>
          <w:trHeight w:val="2553"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处中标项目金额6-8‰的罚款。</w:t>
            </w:r>
          </w:p>
        </w:tc>
      </w:tr>
      <w:tr>
        <w:tblPrEx>
          <w:tblCellMar>
            <w:top w:w="0" w:type="dxa"/>
            <w:left w:w="108" w:type="dxa"/>
            <w:bottom w:w="0" w:type="dxa"/>
            <w:right w:w="108" w:type="dxa"/>
          </w:tblCellMar>
        </w:tblPrEx>
        <w:trPr>
          <w:trHeight w:val="3499"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处中标项目金额8-10‰的罚款。</w:t>
            </w:r>
          </w:p>
        </w:tc>
      </w:tr>
      <w:tr>
        <w:tblPrEx>
          <w:tblCellMar>
            <w:top w:w="0" w:type="dxa"/>
            <w:left w:w="108" w:type="dxa"/>
            <w:bottom w:w="0" w:type="dxa"/>
            <w:right w:w="108" w:type="dxa"/>
          </w:tblCellMar>
        </w:tblPrEx>
        <w:trPr>
          <w:trHeight w:val="1314"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7</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依法必须招标的省级工业项目，招标人不按照规定组建评标委员会或者违法确定、更换评标委员会成员的处罚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1.《招标投标法实施条例》</w:t>
            </w:r>
          </w:p>
          <w:p>
            <w:pPr>
              <w:widowControl/>
              <w:spacing w:line="240" w:lineRule="exact"/>
              <w:jc w:val="left"/>
              <w:rPr>
                <w:color w:val="000000"/>
                <w:kern w:val="0"/>
                <w:sz w:val="20"/>
                <w:szCs w:val="20"/>
              </w:rPr>
            </w:pPr>
            <w:r>
              <w:rPr>
                <w:color w:val="000000"/>
                <w:kern w:val="0"/>
                <w:sz w:val="20"/>
                <w:szCs w:val="20"/>
              </w:rPr>
              <w:t>第七十条（第一款） 依法必须进行招标的项目的招标人不按照规定组建评标委员会，或者确定、更换评标委员会成员违反招标投标法和本条例规定的，由有关行政监督部门责令改正，可以处 10 万元以下的罚款，对单位直接负责的主管人员和其他直接责任人员依法给予处分。</w:t>
            </w:r>
          </w:p>
          <w:p>
            <w:pPr>
              <w:widowControl/>
              <w:spacing w:line="240" w:lineRule="exact"/>
              <w:jc w:val="left"/>
              <w:rPr>
                <w:color w:val="000000"/>
                <w:kern w:val="0"/>
                <w:sz w:val="20"/>
                <w:szCs w:val="20"/>
              </w:rPr>
            </w:pPr>
            <w:r>
              <w:rPr>
                <w:color w:val="000000"/>
                <w:kern w:val="0"/>
                <w:sz w:val="20"/>
                <w:szCs w:val="20"/>
              </w:rPr>
              <w:t>2.《评标专家和评标专家库管理暂行办法》</w:t>
            </w:r>
          </w:p>
          <w:p>
            <w:pPr>
              <w:widowControl/>
              <w:spacing w:line="240" w:lineRule="exact"/>
              <w:jc w:val="left"/>
              <w:rPr>
                <w:color w:val="000000"/>
                <w:kern w:val="0"/>
                <w:sz w:val="20"/>
                <w:szCs w:val="20"/>
              </w:rPr>
            </w:pPr>
            <w:r>
              <w:rPr>
                <w:color w:val="000000"/>
                <w:kern w:val="0"/>
                <w:sz w:val="20"/>
                <w:szCs w:val="20"/>
              </w:rPr>
              <w:t>第十七条 依法必须进行招标的项目的招标人不按照规定组建评标委员会，或者确定、更换评标委员会成员违反《招标投标法》和《招标投标法实施条例》规定的，由有关行政监督部门责令改正，可以处十万元以下的罚款，对单位直接负责的主管人员和其他直接责任人员依法给予处分；违法确定或者更换的评标委员会成员作出的评审结论无效，依法重新进行评审。</w:t>
            </w:r>
          </w:p>
          <w:p>
            <w:pPr>
              <w:widowControl/>
              <w:spacing w:line="240" w:lineRule="exact"/>
              <w:jc w:val="left"/>
              <w:rPr>
                <w:color w:val="000000"/>
                <w:kern w:val="0"/>
                <w:sz w:val="20"/>
                <w:szCs w:val="20"/>
              </w:rPr>
            </w:pPr>
            <w:r>
              <w:rPr>
                <w:color w:val="000000"/>
                <w:kern w:val="0"/>
                <w:sz w:val="20"/>
                <w:szCs w:val="20"/>
              </w:rPr>
              <w:t>政府投资项目的招标人或其委托的招标代理机构不遵守本办法第五条的规定，不从政府或者政府有关部门组建的评标专家库中抽取专家的，评标无效；情节严重的，由政府有关部门依法给予警告。</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处3万元以下的罚款。</w:t>
            </w:r>
          </w:p>
        </w:tc>
      </w:tr>
      <w:tr>
        <w:tblPrEx>
          <w:tblCellMar>
            <w:top w:w="0" w:type="dxa"/>
            <w:left w:w="108" w:type="dxa"/>
            <w:bottom w:w="0" w:type="dxa"/>
            <w:right w:w="108" w:type="dxa"/>
          </w:tblCellMar>
        </w:tblPrEx>
        <w:trPr>
          <w:trHeight w:val="1314"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处3-6万元的罚款。</w:t>
            </w:r>
          </w:p>
        </w:tc>
      </w:tr>
      <w:tr>
        <w:tblPrEx>
          <w:tblCellMar>
            <w:top w:w="0" w:type="dxa"/>
            <w:left w:w="108" w:type="dxa"/>
            <w:bottom w:w="0" w:type="dxa"/>
            <w:right w:w="108" w:type="dxa"/>
          </w:tblCellMar>
        </w:tblPrEx>
        <w:trPr>
          <w:trHeight w:val="1344"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处6-10万元的罚款，对政府投资项目的招标人或其委托的招标代理机构依法给与警告。</w:t>
            </w:r>
          </w:p>
        </w:tc>
      </w:tr>
      <w:tr>
        <w:tblPrEx>
          <w:tblCellMar>
            <w:top w:w="0" w:type="dxa"/>
            <w:left w:w="108" w:type="dxa"/>
            <w:bottom w:w="0" w:type="dxa"/>
            <w:right w:w="108" w:type="dxa"/>
          </w:tblCellMar>
        </w:tblPrEx>
        <w:trPr>
          <w:trHeight w:val="1290"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8</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从事节能咨询、设计、评估、检测、审计、认证等服务的机构提供虚假信息的处罚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《节约能源法》</w:t>
            </w:r>
          </w:p>
          <w:p>
            <w:pPr>
              <w:widowControl/>
              <w:spacing w:line="240" w:lineRule="exact"/>
              <w:jc w:val="left"/>
              <w:rPr>
                <w:color w:val="000000"/>
                <w:kern w:val="0"/>
                <w:sz w:val="20"/>
                <w:szCs w:val="20"/>
              </w:rPr>
            </w:pPr>
            <w:r>
              <w:rPr>
                <w:color w:val="000000"/>
                <w:kern w:val="0"/>
                <w:sz w:val="20"/>
                <w:szCs w:val="20"/>
              </w:rPr>
              <w:t>第七十六条 从事节能咨询、设计、评估、检测、审计、认证等服务的机构提供虚假信息的，由管理节能工作的部门责令改正，没收违法所得，并处五万元以上十万元以下罚款。</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spacing w:val="-6"/>
                <w:kern w:val="0"/>
                <w:sz w:val="20"/>
                <w:szCs w:val="20"/>
              </w:rPr>
            </w:pPr>
            <w:r>
              <w:rPr>
                <w:color w:val="000000"/>
                <w:spacing w:val="-6"/>
                <w:kern w:val="0"/>
                <w:sz w:val="20"/>
                <w:szCs w:val="20"/>
              </w:rPr>
              <w:t>从轻处罚：违法所得在10万元以下的</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没收违法所得，并处5万元以上6万元以下罚款。</w:t>
            </w:r>
          </w:p>
        </w:tc>
      </w:tr>
      <w:tr>
        <w:tblPrEx>
          <w:tblCellMar>
            <w:top w:w="0" w:type="dxa"/>
            <w:left w:w="108" w:type="dxa"/>
            <w:bottom w:w="0" w:type="dxa"/>
            <w:right w:w="108" w:type="dxa"/>
          </w:tblCellMar>
        </w:tblPrEx>
        <w:trPr>
          <w:trHeight w:val="1553"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spacing w:val="-6"/>
                <w:kern w:val="0"/>
                <w:sz w:val="20"/>
                <w:szCs w:val="20"/>
              </w:rPr>
            </w:pPr>
            <w:r>
              <w:rPr>
                <w:color w:val="000000"/>
                <w:spacing w:val="-6"/>
                <w:kern w:val="0"/>
                <w:sz w:val="20"/>
                <w:szCs w:val="20"/>
              </w:rPr>
              <w:t>一般处罚：违法所得在10万元以上20万元以下的</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没收违法所得，并处6万元以上8万元以下罚款。</w:t>
            </w:r>
          </w:p>
        </w:tc>
      </w:tr>
      <w:tr>
        <w:tblPrEx>
          <w:tblCellMar>
            <w:top w:w="0" w:type="dxa"/>
            <w:left w:w="108" w:type="dxa"/>
            <w:bottom w:w="0" w:type="dxa"/>
            <w:right w:w="108" w:type="dxa"/>
          </w:tblCellMar>
        </w:tblPrEx>
        <w:trPr>
          <w:trHeight w:val="1362"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spacing w:val="-6"/>
                <w:kern w:val="0"/>
                <w:sz w:val="20"/>
                <w:szCs w:val="20"/>
              </w:rPr>
            </w:pPr>
            <w:r>
              <w:rPr>
                <w:color w:val="000000"/>
                <w:spacing w:val="-6"/>
                <w:kern w:val="0"/>
                <w:sz w:val="20"/>
                <w:szCs w:val="20"/>
              </w:rPr>
              <w:t>从重处罚：违法所得在20万元以上的</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没收违法所得，并处8万元以上10万元以下罚款。</w:t>
            </w:r>
          </w:p>
        </w:tc>
      </w:tr>
      <w:tr>
        <w:tblPrEx>
          <w:tblCellMar>
            <w:top w:w="0" w:type="dxa"/>
            <w:left w:w="108" w:type="dxa"/>
            <w:bottom w:w="0" w:type="dxa"/>
            <w:right w:w="108" w:type="dxa"/>
          </w:tblCellMar>
        </w:tblPrEx>
        <w:trPr>
          <w:trHeight w:val="719"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9</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工业项目招标人限制或排斥潜在投标人的处罚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1.《招标投标法》</w:t>
            </w:r>
          </w:p>
          <w:p>
            <w:pPr>
              <w:widowControl/>
              <w:spacing w:line="240" w:lineRule="exact"/>
              <w:jc w:val="left"/>
              <w:rPr>
                <w:color w:val="000000"/>
                <w:kern w:val="0"/>
                <w:sz w:val="20"/>
                <w:szCs w:val="20"/>
              </w:rPr>
            </w:pPr>
            <w:r>
              <w:rPr>
                <w:color w:val="000000"/>
                <w:kern w:val="0"/>
                <w:sz w:val="20"/>
                <w:szCs w:val="20"/>
              </w:rPr>
              <w:t>第五十二条（第一款） 依法必须进行招标的项目的招标人向他人透露已获取招标文件的潜在投标人的名称、数量或者可能影响公平竞争的有关招标投标的其他情况的，或者泄露标底的，给予警告，可以并处一万元以上十万元以下的罚款。</w:t>
            </w:r>
          </w:p>
          <w:p>
            <w:pPr>
              <w:widowControl/>
              <w:spacing w:line="240" w:lineRule="exact"/>
              <w:jc w:val="left"/>
              <w:rPr>
                <w:color w:val="000000"/>
                <w:kern w:val="0"/>
                <w:sz w:val="20"/>
                <w:szCs w:val="20"/>
              </w:rPr>
            </w:pPr>
            <w:r>
              <w:rPr>
                <w:color w:val="000000"/>
                <w:kern w:val="0"/>
                <w:sz w:val="20"/>
                <w:szCs w:val="20"/>
              </w:rPr>
              <w:t>2.《工程建设项目施工招标投标办法》</w:t>
            </w:r>
          </w:p>
          <w:p>
            <w:pPr>
              <w:widowControl/>
              <w:spacing w:line="240" w:lineRule="exact"/>
              <w:jc w:val="left"/>
              <w:rPr>
                <w:color w:val="000000"/>
                <w:kern w:val="0"/>
                <w:sz w:val="20"/>
                <w:szCs w:val="20"/>
              </w:rPr>
            </w:pPr>
            <w:r>
              <w:rPr>
                <w:color w:val="000000"/>
                <w:kern w:val="0"/>
                <w:sz w:val="20"/>
                <w:szCs w:val="20"/>
              </w:rPr>
              <w:t>第七十一条（第一款） 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给予警告。</w:t>
            </w:r>
          </w:p>
        </w:tc>
      </w:tr>
      <w:tr>
        <w:tblPrEx>
          <w:tblCellMar>
            <w:top w:w="0" w:type="dxa"/>
            <w:left w:w="108" w:type="dxa"/>
            <w:bottom w:w="0" w:type="dxa"/>
            <w:right w:w="108" w:type="dxa"/>
          </w:tblCellMar>
        </w:tblPrEx>
        <w:trPr>
          <w:trHeight w:val="720"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警告，并处1-5万元的罚款。</w:t>
            </w:r>
          </w:p>
        </w:tc>
      </w:tr>
      <w:tr>
        <w:tblPrEx>
          <w:tblCellMar>
            <w:top w:w="0" w:type="dxa"/>
            <w:left w:w="108" w:type="dxa"/>
            <w:bottom w:w="0" w:type="dxa"/>
            <w:right w:w="108" w:type="dxa"/>
          </w:tblCellMar>
        </w:tblPrEx>
        <w:trPr>
          <w:trHeight w:val="720"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警告，并处5-10万元的罚款。</w:t>
            </w:r>
          </w:p>
        </w:tc>
      </w:tr>
      <w:tr>
        <w:tblPrEx>
          <w:tblCellMar>
            <w:top w:w="0" w:type="dxa"/>
            <w:left w:w="108" w:type="dxa"/>
            <w:bottom w:w="0" w:type="dxa"/>
            <w:right w:w="108" w:type="dxa"/>
          </w:tblCellMar>
        </w:tblPrEx>
        <w:trPr>
          <w:trHeight w:val="1935"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10</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依法必须招标的工业项目招标人违法确定中标人的处罚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1.《招标投标法》</w:t>
            </w:r>
          </w:p>
          <w:p>
            <w:pPr>
              <w:widowControl/>
              <w:spacing w:line="240" w:lineRule="exact"/>
              <w:jc w:val="left"/>
              <w:rPr>
                <w:color w:val="000000"/>
                <w:kern w:val="0"/>
                <w:sz w:val="20"/>
                <w:szCs w:val="20"/>
              </w:rPr>
            </w:pPr>
            <w:r>
              <w:rPr>
                <w:color w:val="000000"/>
                <w:kern w:val="0"/>
                <w:sz w:val="20"/>
                <w:szCs w:val="20"/>
              </w:rPr>
              <w:t>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w:t>
            </w:r>
          </w:p>
          <w:p>
            <w:pPr>
              <w:widowControl/>
              <w:spacing w:line="240" w:lineRule="exact"/>
              <w:jc w:val="left"/>
              <w:rPr>
                <w:color w:val="000000"/>
                <w:kern w:val="0"/>
                <w:sz w:val="20"/>
                <w:szCs w:val="20"/>
              </w:rPr>
            </w:pPr>
            <w:r>
              <w:rPr>
                <w:color w:val="000000"/>
                <w:kern w:val="0"/>
                <w:sz w:val="20"/>
                <w:szCs w:val="20"/>
              </w:rPr>
              <w:t>2.《招标投标法实施条例》</w:t>
            </w:r>
          </w:p>
          <w:p>
            <w:pPr>
              <w:widowControl/>
              <w:spacing w:line="240" w:lineRule="exact"/>
              <w:jc w:val="left"/>
              <w:rPr>
                <w:color w:val="000000"/>
                <w:kern w:val="0"/>
                <w:sz w:val="20"/>
                <w:szCs w:val="20"/>
              </w:rPr>
            </w:pPr>
            <w:r>
              <w:rPr>
                <w:color w:val="000000"/>
                <w:kern w:val="0"/>
                <w:sz w:val="20"/>
                <w:szCs w:val="20"/>
              </w:rPr>
              <w:t>第七十三条（第二项） 依法必须进行招标的项目的招标人有下列情形之一的，由有关行政监督部门责令改正，可以处中标项目金额 10‰以下的罚款；给他人造成损失的，依法承担赔偿责任；对单位直接负责的主管人员和其他直接责任人员依法给予处分：</w:t>
            </w:r>
          </w:p>
          <w:p>
            <w:pPr>
              <w:widowControl/>
              <w:spacing w:line="240" w:lineRule="exact"/>
              <w:jc w:val="left"/>
              <w:rPr>
                <w:color w:val="000000"/>
                <w:kern w:val="0"/>
                <w:sz w:val="20"/>
                <w:szCs w:val="20"/>
              </w:rPr>
            </w:pPr>
            <w:r>
              <w:rPr>
                <w:color w:val="000000"/>
                <w:kern w:val="0"/>
                <w:sz w:val="20"/>
                <w:szCs w:val="20"/>
              </w:rPr>
              <w:t>（二）不按照规定确定中标人。</w:t>
            </w:r>
          </w:p>
          <w:p>
            <w:pPr>
              <w:widowControl/>
              <w:spacing w:line="240" w:lineRule="exact"/>
              <w:jc w:val="left"/>
              <w:rPr>
                <w:color w:val="000000"/>
                <w:kern w:val="0"/>
                <w:sz w:val="20"/>
                <w:szCs w:val="20"/>
              </w:rPr>
            </w:pPr>
            <w:r>
              <w:rPr>
                <w:color w:val="000000"/>
                <w:kern w:val="0"/>
                <w:sz w:val="20"/>
                <w:szCs w:val="20"/>
              </w:rPr>
              <w:t>3.《工程建设项目施工招标投标办法》</w:t>
            </w:r>
          </w:p>
          <w:p>
            <w:pPr>
              <w:widowControl/>
              <w:spacing w:line="240" w:lineRule="exact"/>
              <w:jc w:val="left"/>
              <w:rPr>
                <w:color w:val="000000"/>
                <w:kern w:val="0"/>
                <w:sz w:val="20"/>
                <w:szCs w:val="20"/>
              </w:rPr>
            </w:pPr>
            <w:r>
              <w:rPr>
                <w:color w:val="000000"/>
                <w:kern w:val="0"/>
                <w:sz w:val="20"/>
                <w:szCs w:val="20"/>
              </w:rPr>
              <w:t>第八十条（第二项）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widowControl/>
              <w:spacing w:line="240" w:lineRule="exact"/>
              <w:jc w:val="left"/>
              <w:rPr>
                <w:color w:val="000000"/>
                <w:kern w:val="0"/>
                <w:sz w:val="20"/>
                <w:szCs w:val="20"/>
              </w:rPr>
            </w:pPr>
            <w:r>
              <w:rPr>
                <w:color w:val="000000"/>
                <w:kern w:val="0"/>
                <w:sz w:val="20"/>
                <w:szCs w:val="20"/>
              </w:rPr>
              <w:t>（二）不按照规定确定中标人。</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在评标委员会依法推荐的中标候选人以外确定中标人的，依法必须进行招标的项目在所有投标被评标委员会否决后自行确定中标人的，处中标项目金额5-6‰的罚款，其他不按规定确定中标人的，处中标项目金额3‰以下的罚款。</w:t>
            </w:r>
          </w:p>
        </w:tc>
      </w:tr>
      <w:tr>
        <w:tblPrEx>
          <w:tblCellMar>
            <w:top w:w="0" w:type="dxa"/>
            <w:left w:w="108" w:type="dxa"/>
            <w:bottom w:w="0" w:type="dxa"/>
            <w:right w:w="108" w:type="dxa"/>
          </w:tblCellMar>
        </w:tblPrEx>
        <w:trPr>
          <w:trHeight w:val="2055"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在评标委员会依法推荐的中标候选人以外确定中标人的，依法必须进行招标的项目在所有投标被评标委员会否决后自行确定中标人的，处中标项目金额6-8‰的罚款，其他不按规定确定中标人的，处中标项目金额3-6‰的罚款。</w:t>
            </w:r>
          </w:p>
        </w:tc>
      </w:tr>
      <w:tr>
        <w:tblPrEx>
          <w:tblCellMar>
            <w:top w:w="0" w:type="dxa"/>
            <w:left w:w="108" w:type="dxa"/>
            <w:bottom w:w="0" w:type="dxa"/>
            <w:right w:w="108" w:type="dxa"/>
          </w:tblCellMar>
        </w:tblPrEx>
        <w:trPr>
          <w:trHeight w:val="2040"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在评标委员会依法推荐的中标候选人以外确定中标人的，依法必须进行招标的项目在所有投标被评标委员会否决后自行确定中标人的，处中标项目金额8-10‰的罚款，其他不按规定确定中标人的，处中标项目金额6-10‰的罚款。</w:t>
            </w:r>
          </w:p>
        </w:tc>
      </w:tr>
      <w:tr>
        <w:tblPrEx>
          <w:tblCellMar>
            <w:top w:w="0" w:type="dxa"/>
            <w:left w:w="108" w:type="dxa"/>
            <w:bottom w:w="0" w:type="dxa"/>
            <w:right w:w="108" w:type="dxa"/>
          </w:tblCellMar>
        </w:tblPrEx>
        <w:trPr>
          <w:trHeight w:val="1355"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11</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工业项目中标人违法转让、分包中标项目，不按照与招标人订立的合同履行义务的处罚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1.《招标投标法》</w:t>
            </w:r>
          </w:p>
          <w:p>
            <w:pPr>
              <w:widowControl/>
              <w:spacing w:line="240" w:lineRule="exact"/>
              <w:jc w:val="left"/>
              <w:rPr>
                <w:color w:val="000000"/>
                <w:kern w:val="0"/>
                <w:sz w:val="20"/>
                <w:szCs w:val="20"/>
              </w:rPr>
            </w:pPr>
            <w:r>
              <w:rPr>
                <w:color w:val="000000"/>
                <w:kern w:val="0"/>
                <w:sz w:val="20"/>
                <w:szCs w:val="20"/>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w:t>
            </w:r>
          </w:p>
          <w:p>
            <w:pPr>
              <w:widowControl/>
              <w:spacing w:line="240" w:lineRule="exact"/>
              <w:jc w:val="left"/>
              <w:rPr>
                <w:color w:val="000000"/>
                <w:kern w:val="0"/>
                <w:sz w:val="20"/>
                <w:szCs w:val="20"/>
              </w:rPr>
            </w:pPr>
            <w:r>
              <w:rPr>
                <w:color w:val="000000"/>
                <w:kern w:val="0"/>
                <w:sz w:val="20"/>
                <w:szCs w:val="20"/>
              </w:rPr>
              <w:t>2.《招标投标法实施条例》</w:t>
            </w:r>
          </w:p>
          <w:p>
            <w:pPr>
              <w:widowControl/>
              <w:spacing w:line="240" w:lineRule="exact"/>
              <w:jc w:val="left"/>
              <w:rPr>
                <w:color w:val="000000"/>
                <w:kern w:val="0"/>
                <w:sz w:val="20"/>
                <w:szCs w:val="20"/>
              </w:rPr>
            </w:pPr>
            <w:r>
              <w:rPr>
                <w:color w:val="000000"/>
                <w:kern w:val="0"/>
                <w:sz w:val="20"/>
                <w:szCs w:val="20"/>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 5‰以上 10‰以下的罚款；有违法所得的，并处没收违法所得；可以责令停业整顿。</w:t>
            </w:r>
          </w:p>
          <w:p>
            <w:pPr>
              <w:widowControl/>
              <w:spacing w:line="240" w:lineRule="exact"/>
              <w:jc w:val="left"/>
              <w:rPr>
                <w:color w:val="000000"/>
                <w:kern w:val="0"/>
                <w:sz w:val="20"/>
                <w:szCs w:val="20"/>
              </w:rPr>
            </w:pPr>
            <w:r>
              <w:rPr>
                <w:color w:val="000000"/>
                <w:kern w:val="0"/>
                <w:sz w:val="20"/>
                <w:szCs w:val="20"/>
              </w:rPr>
              <w:t>3.《工程建设项目施工招标投标办法》</w:t>
            </w:r>
          </w:p>
          <w:p>
            <w:pPr>
              <w:widowControl/>
              <w:spacing w:line="240" w:lineRule="exact"/>
              <w:jc w:val="left"/>
              <w:rPr>
                <w:color w:val="000000"/>
                <w:kern w:val="0"/>
                <w:sz w:val="20"/>
                <w:szCs w:val="20"/>
              </w:rPr>
            </w:pPr>
            <w:r>
              <w:rPr>
                <w:color w:val="000000"/>
                <w:kern w:val="0"/>
                <w:sz w:val="20"/>
                <w:szCs w:val="20"/>
              </w:rPr>
              <w:t>第八十二条 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处转让、分包项目金额5-6‰的罚款；有违法所得的，并处没收违法所得。</w:t>
            </w:r>
          </w:p>
        </w:tc>
      </w:tr>
      <w:tr>
        <w:tblPrEx>
          <w:tblCellMar>
            <w:top w:w="0" w:type="dxa"/>
            <w:left w:w="108" w:type="dxa"/>
            <w:bottom w:w="0" w:type="dxa"/>
            <w:right w:w="108" w:type="dxa"/>
          </w:tblCellMar>
        </w:tblPrEx>
        <w:trPr>
          <w:trHeight w:val="1355"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处转让、分包项目金额6-8‰的罚款；有违法所得的，并处没收违法所得。</w:t>
            </w:r>
          </w:p>
        </w:tc>
      </w:tr>
      <w:tr>
        <w:tblPrEx>
          <w:tblCellMar>
            <w:top w:w="0" w:type="dxa"/>
            <w:left w:w="108" w:type="dxa"/>
            <w:bottom w:w="0" w:type="dxa"/>
            <w:right w:w="108" w:type="dxa"/>
          </w:tblCellMar>
        </w:tblPrEx>
        <w:trPr>
          <w:trHeight w:val="1103"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处转让、分包项目金额8-10‰的罚款；有违法所得的，并处没收违法所得。责令停业整顿。</w:t>
            </w:r>
          </w:p>
        </w:tc>
      </w:tr>
      <w:tr>
        <w:tblPrEx>
          <w:tblCellMar>
            <w:top w:w="0" w:type="dxa"/>
            <w:left w:w="108" w:type="dxa"/>
            <w:bottom w:w="0" w:type="dxa"/>
            <w:right w:w="108" w:type="dxa"/>
          </w:tblCellMar>
        </w:tblPrEx>
        <w:trPr>
          <w:trHeight w:val="2114"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12</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工业项目投标人串标或以行贿手段谋取中标；以他人名义投标或以其他方式骗取中标的处罚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1. 《招标投标法》</w:t>
            </w:r>
          </w:p>
          <w:p>
            <w:pPr>
              <w:widowControl/>
              <w:spacing w:line="240" w:lineRule="exact"/>
              <w:jc w:val="left"/>
              <w:rPr>
                <w:color w:val="000000"/>
                <w:kern w:val="0"/>
                <w:sz w:val="20"/>
                <w:szCs w:val="20"/>
              </w:rPr>
            </w:pPr>
            <w:r>
              <w:rPr>
                <w:color w:val="000000"/>
                <w:kern w:val="0"/>
                <w:sz w:val="20"/>
                <w:szCs w:val="20"/>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widowControl/>
              <w:spacing w:line="240" w:lineRule="exact"/>
              <w:jc w:val="left"/>
              <w:rPr>
                <w:color w:val="000000"/>
                <w:kern w:val="0"/>
                <w:sz w:val="20"/>
                <w:szCs w:val="20"/>
              </w:rPr>
            </w:pPr>
            <w:r>
              <w:rPr>
                <w:color w:val="000000"/>
                <w:kern w:val="0"/>
                <w:sz w:val="20"/>
                <w:szCs w:val="20"/>
              </w:rPr>
              <w:t>第五十四条 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widowControl/>
              <w:spacing w:line="220" w:lineRule="exact"/>
              <w:jc w:val="left"/>
              <w:rPr>
                <w:color w:val="000000"/>
                <w:kern w:val="0"/>
                <w:sz w:val="20"/>
                <w:szCs w:val="20"/>
              </w:rPr>
            </w:pPr>
            <w:r>
              <w:rPr>
                <w:color w:val="000000"/>
                <w:kern w:val="0"/>
                <w:sz w:val="20"/>
                <w:szCs w:val="20"/>
              </w:rPr>
              <w:t>2.《招标投标法实施条例》</w:t>
            </w:r>
          </w:p>
          <w:p>
            <w:pPr>
              <w:widowControl/>
              <w:spacing w:line="220" w:lineRule="exact"/>
              <w:jc w:val="left"/>
              <w:rPr>
                <w:color w:val="000000"/>
                <w:kern w:val="0"/>
                <w:sz w:val="20"/>
                <w:szCs w:val="20"/>
              </w:rPr>
            </w:pPr>
            <w:r>
              <w:rPr>
                <w:color w:val="000000"/>
                <w:kern w:val="0"/>
                <w:sz w:val="20"/>
                <w:szCs w:val="20"/>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widowControl/>
              <w:spacing w:line="220" w:lineRule="exact"/>
              <w:jc w:val="left"/>
              <w:rPr>
                <w:color w:val="000000"/>
                <w:kern w:val="0"/>
                <w:sz w:val="20"/>
                <w:szCs w:val="20"/>
              </w:rPr>
            </w:pPr>
            <w:r>
              <w:rPr>
                <w:color w:val="000000"/>
                <w:kern w:val="0"/>
                <w:sz w:val="20"/>
                <w:szCs w:val="20"/>
              </w:rPr>
              <w:t>投标人有下列行为之一的，属于招标投标法第五十三条规定的情节严重行为，由有关行政监督部门取消其1年至2年内参加依法必须进行招标的项目的投标资格：（一）以行贿谋取中标；（二）3年内2次以上串通投标；（三）串通投标行为损害招标人、其他投标人或者国家、集体、公民的合法利益，造成直接经济损失30万元以上；（四）其他串通投标情节严重的行为。</w:t>
            </w:r>
          </w:p>
          <w:p>
            <w:pPr>
              <w:widowControl/>
              <w:spacing w:line="220" w:lineRule="exact"/>
              <w:jc w:val="left"/>
              <w:rPr>
                <w:color w:val="000000"/>
                <w:kern w:val="0"/>
                <w:sz w:val="20"/>
                <w:szCs w:val="20"/>
              </w:rPr>
            </w:pPr>
            <w:r>
              <w:rPr>
                <w:color w:val="000000"/>
                <w:kern w:val="0"/>
                <w:sz w:val="20"/>
                <w:szCs w:val="20"/>
              </w:rPr>
              <w:t>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widowControl/>
              <w:spacing w:line="220" w:lineRule="exact"/>
              <w:jc w:val="left"/>
              <w:rPr>
                <w:color w:val="000000"/>
                <w:kern w:val="0"/>
                <w:sz w:val="20"/>
                <w:szCs w:val="20"/>
              </w:rPr>
            </w:pPr>
            <w:r>
              <w:rPr>
                <w:color w:val="000000"/>
                <w:kern w:val="0"/>
                <w:sz w:val="20"/>
                <w:szCs w:val="20"/>
              </w:rPr>
              <w:t>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上；（四）其他弄虚作假骗取中标情节严重的行为。</w:t>
            </w:r>
          </w:p>
          <w:p>
            <w:pPr>
              <w:widowControl/>
              <w:spacing w:line="220" w:lineRule="exact"/>
              <w:jc w:val="left"/>
              <w:rPr>
                <w:color w:val="000000"/>
                <w:kern w:val="0"/>
                <w:sz w:val="20"/>
                <w:szCs w:val="20"/>
              </w:rPr>
            </w:pPr>
            <w:r>
              <w:rPr>
                <w:color w:val="000000"/>
                <w:kern w:val="0"/>
                <w:sz w:val="20"/>
                <w:szCs w:val="20"/>
              </w:rPr>
              <w:t xml:space="preserve">3.《工程建设项目施工招标投标办法》        </w:t>
            </w:r>
          </w:p>
          <w:p>
            <w:pPr>
              <w:widowControl/>
              <w:spacing w:line="220" w:lineRule="exact"/>
              <w:jc w:val="left"/>
              <w:rPr>
                <w:color w:val="000000"/>
                <w:kern w:val="0"/>
                <w:sz w:val="20"/>
                <w:szCs w:val="20"/>
              </w:rPr>
            </w:pPr>
            <w:r>
              <w:rPr>
                <w:color w:val="000000"/>
                <w:kern w:val="0"/>
                <w:sz w:val="20"/>
                <w:szCs w:val="20"/>
              </w:rPr>
              <w:t>第七十四条 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p>
          <w:p>
            <w:pPr>
              <w:widowControl/>
              <w:spacing w:line="220" w:lineRule="exact"/>
              <w:jc w:val="left"/>
              <w:rPr>
                <w:color w:val="000000"/>
                <w:kern w:val="0"/>
                <w:sz w:val="20"/>
                <w:szCs w:val="20"/>
              </w:rPr>
            </w:pPr>
            <w:r>
              <w:rPr>
                <w:color w:val="000000"/>
                <w:kern w:val="0"/>
                <w:sz w:val="20"/>
                <w:szCs w:val="20"/>
              </w:rPr>
              <w:t>第七十五条 投标人以他人名义投标或者以其他方式弄虚作假，骗取中标的，中标无效，给招标人造成损失的，依法承担赔偿责任；构成犯罪的，依法追究刑事责任。</w:t>
            </w:r>
          </w:p>
          <w:p>
            <w:pPr>
              <w:widowControl/>
              <w:spacing w:line="220" w:lineRule="exact"/>
              <w:jc w:val="left"/>
              <w:rPr>
                <w:color w:val="000000"/>
                <w:kern w:val="0"/>
                <w:sz w:val="20"/>
                <w:szCs w:val="20"/>
              </w:rPr>
            </w:pPr>
            <w:r>
              <w:rPr>
                <w:color w:val="000000"/>
                <w:kern w:val="0"/>
                <w:sz w:val="20"/>
                <w:szCs w:val="20"/>
              </w:rPr>
              <w:t>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w:t>
            </w:r>
          </w:p>
          <w:p>
            <w:pPr>
              <w:widowControl/>
              <w:spacing w:line="220" w:lineRule="exact"/>
              <w:jc w:val="left"/>
              <w:rPr>
                <w:color w:val="000000"/>
                <w:kern w:val="0"/>
                <w:sz w:val="20"/>
                <w:szCs w:val="20"/>
              </w:rPr>
            </w:pPr>
            <w:r>
              <w:rPr>
                <w:color w:val="000000"/>
                <w:kern w:val="0"/>
                <w:sz w:val="20"/>
                <w:szCs w:val="20"/>
              </w:rPr>
              <w:t>4.《工程建设项目勘察设计招标投标办法》</w:t>
            </w:r>
          </w:p>
          <w:p>
            <w:pPr>
              <w:widowControl/>
              <w:spacing w:line="220" w:lineRule="exact"/>
              <w:jc w:val="left"/>
              <w:rPr>
                <w:color w:val="000000"/>
                <w:kern w:val="0"/>
                <w:sz w:val="20"/>
                <w:szCs w:val="20"/>
              </w:rPr>
            </w:pPr>
            <w:r>
              <w:rPr>
                <w:color w:val="000000"/>
                <w:kern w:val="0"/>
                <w:sz w:val="20"/>
                <w:szCs w:val="20"/>
              </w:rPr>
              <w:t>第五十二条 依法必须进行招标的项目的投标人以他人名义投标，利用伪造、转让、租借、无效的资质证书参加投标，或者请其他单位在自己编制的投标文件上代为签字盖章，弄虚作假，骗取中标的，中标无效。尚未构成犯罪的，处中标项目金额千分之五以上千分之十以下的罚款，对单位直接负责的主管人员和其他直接责任人员处单位罚款数额百分之五以上百分之十以下的罚款；有违法所得的，并处没收违法所得。</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中标项目金额5-6‰的罚款，对单位直接负责的主管人员和其他直接责任人员处单位罚款数额5-6%的罚款；有违法所得的，并处没收违法所得。投标人未中标的，对单位的罚款金额按照招标项目合同金额依照招标投标法规定的比例计算。</w:t>
            </w:r>
          </w:p>
        </w:tc>
      </w:tr>
      <w:tr>
        <w:tblPrEx>
          <w:tblCellMar>
            <w:top w:w="0" w:type="dxa"/>
            <w:left w:w="108" w:type="dxa"/>
            <w:bottom w:w="0" w:type="dxa"/>
            <w:right w:w="108" w:type="dxa"/>
          </w:tblCellMar>
        </w:tblPrEx>
        <w:trPr>
          <w:trHeight w:val="2235"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中标项目金额6-8‰的罚款，对单位直接负责的主管人员和其他直接责任人员处单位罚款数额6-8%的罚款；有违法所得的，并处没收违法所得。投标人未中标的，对单位的罚款金额按照招标项目合同金额依照招标投标法规定的比例计算。</w:t>
            </w:r>
          </w:p>
        </w:tc>
      </w:tr>
      <w:tr>
        <w:tblPrEx>
          <w:tblCellMar>
            <w:top w:w="0" w:type="dxa"/>
            <w:left w:w="108" w:type="dxa"/>
            <w:bottom w:w="0" w:type="dxa"/>
            <w:right w:w="108" w:type="dxa"/>
          </w:tblCellMar>
        </w:tblPrEx>
        <w:trPr>
          <w:trHeight w:val="8285"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中标项目金额8-10‰的罚款，对单位直接负责的主管人员和其他直接责任人员处单位罚款数额8-10%的罚款；有违法所得的，并处没收违法所得。投标人未中标的，对单位的罚款金额按照招标项目合同金额依照招标投标法规定的比例计算。取消其一年至二年内参加依法必须进行招标的项目的投标资格并予以公告。</w:t>
            </w:r>
          </w:p>
        </w:tc>
      </w:tr>
      <w:tr>
        <w:tblPrEx>
          <w:tblCellMar>
            <w:top w:w="0" w:type="dxa"/>
            <w:left w:w="108" w:type="dxa"/>
            <w:bottom w:w="0" w:type="dxa"/>
            <w:right w:w="108" w:type="dxa"/>
          </w:tblCellMar>
        </w:tblPrEx>
        <w:trPr>
          <w:trHeight w:val="704"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13</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工业项目招标人透露招投标相关情况及泄露标底处罚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1.《招标投标法》</w:t>
            </w:r>
          </w:p>
          <w:p>
            <w:pPr>
              <w:widowControl/>
              <w:spacing w:line="240" w:lineRule="exact"/>
              <w:jc w:val="left"/>
              <w:rPr>
                <w:color w:val="000000"/>
                <w:kern w:val="0"/>
                <w:sz w:val="20"/>
                <w:szCs w:val="20"/>
              </w:rPr>
            </w:pPr>
            <w:r>
              <w:rPr>
                <w:color w:val="000000"/>
                <w:kern w:val="0"/>
                <w:sz w:val="20"/>
                <w:szCs w:val="20"/>
              </w:rPr>
              <w:t>第五十二条（第一款） 依法必须进行招标的项目的招标人向他人透露已获取招标文件的潜在投标人的名称、数量或者可能影响公平竞争的有关招标投标的其他情况的，或者泄露标底的，给予警告，可以并处一万元以上十万元以下的罚款。</w:t>
            </w:r>
          </w:p>
          <w:p>
            <w:pPr>
              <w:widowControl/>
              <w:spacing w:line="240" w:lineRule="exact"/>
              <w:jc w:val="left"/>
              <w:rPr>
                <w:color w:val="000000"/>
                <w:kern w:val="0"/>
                <w:sz w:val="20"/>
                <w:szCs w:val="20"/>
              </w:rPr>
            </w:pPr>
            <w:r>
              <w:rPr>
                <w:color w:val="000000"/>
                <w:kern w:val="0"/>
                <w:sz w:val="20"/>
                <w:szCs w:val="20"/>
              </w:rPr>
              <w:t>2.《工程建设项目施工招标投标办法》</w:t>
            </w:r>
          </w:p>
          <w:p>
            <w:pPr>
              <w:widowControl/>
              <w:spacing w:line="240" w:lineRule="exact"/>
              <w:jc w:val="left"/>
              <w:rPr>
                <w:color w:val="000000"/>
                <w:kern w:val="0"/>
                <w:sz w:val="20"/>
                <w:szCs w:val="20"/>
              </w:rPr>
            </w:pPr>
            <w:r>
              <w:rPr>
                <w:color w:val="000000"/>
                <w:kern w:val="0"/>
                <w:sz w:val="20"/>
                <w:szCs w:val="20"/>
              </w:rPr>
              <w:t>第七十一条（第一款） 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给予警告。</w:t>
            </w:r>
          </w:p>
        </w:tc>
      </w:tr>
      <w:tr>
        <w:tblPrEx>
          <w:tblCellMar>
            <w:top w:w="0" w:type="dxa"/>
            <w:left w:w="108" w:type="dxa"/>
            <w:bottom w:w="0" w:type="dxa"/>
            <w:right w:w="108" w:type="dxa"/>
          </w:tblCellMar>
        </w:tblPrEx>
        <w:trPr>
          <w:trHeight w:val="719"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给予警告，并处1-5万元的罚款。</w:t>
            </w:r>
          </w:p>
        </w:tc>
      </w:tr>
      <w:tr>
        <w:tblPrEx>
          <w:tblCellMar>
            <w:top w:w="0" w:type="dxa"/>
            <w:left w:w="108" w:type="dxa"/>
            <w:bottom w:w="0" w:type="dxa"/>
            <w:right w:w="108" w:type="dxa"/>
          </w:tblCellMar>
        </w:tblPrEx>
        <w:trPr>
          <w:trHeight w:val="749"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警告，并处5-10万元的罚款。</w:t>
            </w:r>
          </w:p>
        </w:tc>
      </w:tr>
      <w:tr>
        <w:tblPrEx>
          <w:tblCellMar>
            <w:top w:w="0" w:type="dxa"/>
            <w:left w:w="108" w:type="dxa"/>
            <w:bottom w:w="0" w:type="dxa"/>
            <w:right w:w="108" w:type="dxa"/>
          </w:tblCellMar>
        </w:tblPrEx>
        <w:trPr>
          <w:trHeight w:val="756"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14-1</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工业项目评标委员会成员及与评标相关工作人员收受投标人的财务或者其他好处的处罚（工业项目评标委员会成员及与评标相关工作人员评标违法行为的）</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《招标投标法》</w:t>
            </w:r>
          </w:p>
          <w:p>
            <w:pPr>
              <w:widowControl/>
              <w:spacing w:line="240" w:lineRule="exact"/>
              <w:jc w:val="left"/>
              <w:rPr>
                <w:color w:val="000000"/>
                <w:kern w:val="0"/>
                <w:sz w:val="20"/>
                <w:szCs w:val="20"/>
              </w:rPr>
            </w:pPr>
            <w:r>
              <w:rPr>
                <w:color w:val="000000"/>
                <w:kern w:val="0"/>
                <w:sz w:val="20"/>
                <w:szCs w:val="20"/>
              </w:rPr>
              <w:t>第五十六条 评标委员会成员收受投标人的财务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警告，没收收受财务，可以处3千-2万的罚款，取消评标委员会成员的资格。</w:t>
            </w:r>
          </w:p>
        </w:tc>
      </w:tr>
      <w:tr>
        <w:tblPrEx>
          <w:tblCellMar>
            <w:top w:w="0" w:type="dxa"/>
            <w:left w:w="108" w:type="dxa"/>
            <w:bottom w:w="0" w:type="dxa"/>
            <w:right w:w="108" w:type="dxa"/>
          </w:tblCellMar>
        </w:tblPrEx>
        <w:trPr>
          <w:trHeight w:val="891"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警告，没收收受财务，处2万-3.5万的罚款，取消评标委员会成员的资格。</w:t>
            </w:r>
          </w:p>
        </w:tc>
      </w:tr>
      <w:tr>
        <w:tblPrEx>
          <w:tblCellMar>
            <w:top w:w="0" w:type="dxa"/>
            <w:left w:w="108" w:type="dxa"/>
            <w:bottom w:w="0" w:type="dxa"/>
            <w:right w:w="108" w:type="dxa"/>
          </w:tblCellMar>
        </w:tblPrEx>
        <w:trPr>
          <w:trHeight w:val="876"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警告，没收收受财务，处3.5万-5万的罚款，取消评标委员会成员的资格。</w:t>
            </w:r>
          </w:p>
        </w:tc>
      </w:tr>
      <w:tr>
        <w:tblPrEx>
          <w:tblCellMar>
            <w:top w:w="0" w:type="dxa"/>
            <w:left w:w="108" w:type="dxa"/>
            <w:bottom w:w="0" w:type="dxa"/>
            <w:right w:w="108" w:type="dxa"/>
          </w:tblCellMar>
        </w:tblPrEx>
        <w:trPr>
          <w:trHeight w:val="3495" w:hRule="atLeast"/>
          <w:jc w:val="center"/>
        </w:trPr>
        <w:tc>
          <w:tcPr>
            <w:tcW w:w="646"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14-2</w:t>
            </w:r>
          </w:p>
        </w:tc>
        <w:tc>
          <w:tcPr>
            <w:tcW w:w="2067"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工业项目评标委员会成员及与评标相关工作人员其他评标违法行为的处罚（工业项目评标委员会成员及与评标相关工作人员评标违法行为的）</w:t>
            </w:r>
          </w:p>
        </w:tc>
        <w:tc>
          <w:tcPr>
            <w:tcW w:w="7963"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《招标投标法实施条例》</w:t>
            </w:r>
          </w:p>
          <w:p>
            <w:pPr>
              <w:widowControl/>
              <w:spacing w:line="240" w:lineRule="exact"/>
              <w:jc w:val="left"/>
              <w:rPr>
                <w:color w:val="000000"/>
                <w:kern w:val="0"/>
                <w:sz w:val="20"/>
                <w:szCs w:val="20"/>
              </w:rPr>
            </w:pPr>
            <w:r>
              <w:rPr>
                <w:color w:val="000000"/>
                <w:kern w:val="0"/>
                <w:sz w:val="20"/>
                <w:szCs w:val="20"/>
              </w:rPr>
              <w:t>第五十二条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评标委员会不得暗示或者诱导投标人作出澄清、说明，不得接受投标人主动提出的澄清、说明。</w:t>
            </w:r>
          </w:p>
          <w:p>
            <w:pPr>
              <w:widowControl/>
              <w:spacing w:line="240" w:lineRule="exact"/>
              <w:jc w:val="left"/>
              <w:rPr>
                <w:color w:val="000000"/>
                <w:kern w:val="0"/>
                <w:sz w:val="20"/>
                <w:szCs w:val="20"/>
              </w:rPr>
            </w:pPr>
            <w:r>
              <w:rPr>
                <w:color w:val="000000"/>
                <w:kern w:val="0"/>
                <w:sz w:val="20"/>
                <w:szCs w:val="20"/>
              </w:rPr>
              <w:t>第七十一条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由有关行政监督部门责令改正；情节严重的，禁止其在一定期限内参加依法必须进行招标的项目的评标；情节特别严重的，取消其担任评标委员会成员的资格。</w:t>
            </w:r>
          </w:p>
        </w:tc>
      </w:tr>
      <w:tr>
        <w:tblPrEx>
          <w:tblCellMar>
            <w:top w:w="0" w:type="dxa"/>
            <w:left w:w="108" w:type="dxa"/>
            <w:bottom w:w="0" w:type="dxa"/>
            <w:right w:w="108" w:type="dxa"/>
          </w:tblCellMar>
        </w:tblPrEx>
        <w:trPr>
          <w:trHeight w:val="928"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15-1</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工业项目的招标人擅自邀标，违规接受投标文件的处罚（工业项目的招标人擅自邀标，违规发布招投标文件，违规接受投标文件的）</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《招标投标法实施条例》</w:t>
            </w:r>
          </w:p>
          <w:p>
            <w:pPr>
              <w:widowControl/>
              <w:spacing w:line="240" w:lineRule="exact"/>
              <w:jc w:val="left"/>
              <w:rPr>
                <w:color w:val="000000"/>
                <w:kern w:val="0"/>
                <w:sz w:val="20"/>
                <w:szCs w:val="20"/>
              </w:rPr>
            </w:pPr>
            <w:r>
              <w:rPr>
                <w:color w:val="000000"/>
                <w:kern w:val="0"/>
                <w:sz w:val="20"/>
                <w:szCs w:val="20"/>
              </w:rPr>
              <w:t>第六十四条 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处4万以下的罚款。</w:t>
            </w:r>
          </w:p>
        </w:tc>
      </w:tr>
      <w:tr>
        <w:tblPrEx>
          <w:tblCellMar>
            <w:top w:w="0" w:type="dxa"/>
            <w:left w:w="108" w:type="dxa"/>
            <w:bottom w:w="0" w:type="dxa"/>
            <w:right w:w="108" w:type="dxa"/>
          </w:tblCellMar>
        </w:tblPrEx>
        <w:trPr>
          <w:trHeight w:val="974"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处4-7万的罚款。</w:t>
            </w:r>
          </w:p>
        </w:tc>
      </w:tr>
      <w:tr>
        <w:tblPrEx>
          <w:tblCellMar>
            <w:top w:w="0" w:type="dxa"/>
            <w:left w:w="108" w:type="dxa"/>
            <w:bottom w:w="0" w:type="dxa"/>
            <w:right w:w="108" w:type="dxa"/>
          </w:tblCellMar>
        </w:tblPrEx>
        <w:trPr>
          <w:trHeight w:val="1274"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处7-10万的罚款。</w:t>
            </w:r>
          </w:p>
        </w:tc>
      </w:tr>
      <w:tr>
        <w:tblPrEx>
          <w:tblCellMar>
            <w:top w:w="0" w:type="dxa"/>
            <w:left w:w="108" w:type="dxa"/>
            <w:bottom w:w="0" w:type="dxa"/>
            <w:right w:w="108" w:type="dxa"/>
          </w:tblCellMar>
        </w:tblPrEx>
        <w:trPr>
          <w:trHeight w:val="2094" w:hRule="atLeast"/>
          <w:jc w:val="center"/>
        </w:trPr>
        <w:tc>
          <w:tcPr>
            <w:tcW w:w="64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15-2</w:t>
            </w:r>
          </w:p>
        </w:tc>
        <w:tc>
          <w:tcPr>
            <w:tcW w:w="2067"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工业项目的招标人违规发布招投标文件（工业项目的招标人擅自邀标，违规发布招投标文件，违规接受投标文件的）</w:t>
            </w:r>
          </w:p>
        </w:tc>
        <w:tc>
          <w:tcPr>
            <w:tcW w:w="7963"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《湖南省实施〈中华人民共和国招标投标法〉办法》</w:t>
            </w:r>
          </w:p>
          <w:p>
            <w:pPr>
              <w:widowControl/>
              <w:spacing w:line="240" w:lineRule="exact"/>
              <w:jc w:val="left"/>
              <w:rPr>
                <w:color w:val="000000"/>
                <w:kern w:val="0"/>
                <w:sz w:val="20"/>
                <w:szCs w:val="20"/>
              </w:rPr>
            </w:pPr>
            <w:r>
              <w:rPr>
                <w:color w:val="000000"/>
                <w:kern w:val="0"/>
                <w:sz w:val="20"/>
                <w:szCs w:val="20"/>
              </w:rPr>
              <w:t>第四十二条 违反本办法第十九条规定，发布招标公告不符合要求的，由有关行政监督部门责令改正；未发布招标公告而招标的，招标无效，并对单位直接负责的主管人员和其他责任人员依法给予行政处分。</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由有关行政监督部门责令改正；未发布招标公告而招标的，招标无效，并对单位直接负责的主管人员和其他责任人员依法给予行政处分。</w:t>
            </w:r>
          </w:p>
        </w:tc>
      </w:tr>
      <w:tr>
        <w:tblPrEx>
          <w:tblCellMar>
            <w:top w:w="0" w:type="dxa"/>
            <w:left w:w="108" w:type="dxa"/>
            <w:bottom w:w="0" w:type="dxa"/>
            <w:right w:w="108" w:type="dxa"/>
          </w:tblCellMar>
        </w:tblPrEx>
        <w:trPr>
          <w:trHeight w:val="718"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16</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依法必须招标的工业项目规避招标的处罚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《招标投标法》</w:t>
            </w:r>
          </w:p>
          <w:p>
            <w:pPr>
              <w:widowControl/>
              <w:spacing w:line="240" w:lineRule="exact"/>
              <w:jc w:val="left"/>
              <w:rPr>
                <w:color w:val="000000"/>
                <w:kern w:val="0"/>
                <w:sz w:val="20"/>
                <w:szCs w:val="20"/>
              </w:rPr>
            </w:pPr>
            <w:r>
              <w:rPr>
                <w:color w:val="000000"/>
                <w:kern w:val="0"/>
                <w:sz w:val="20"/>
                <w:szCs w:val="20"/>
              </w:rPr>
              <w:t>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处项目合同金额5-6‰的罚款。</w:t>
            </w:r>
          </w:p>
        </w:tc>
      </w:tr>
      <w:tr>
        <w:tblPrEx>
          <w:tblCellMar>
            <w:top w:w="0" w:type="dxa"/>
            <w:left w:w="108" w:type="dxa"/>
            <w:bottom w:w="0" w:type="dxa"/>
            <w:right w:w="108" w:type="dxa"/>
          </w:tblCellMar>
        </w:tblPrEx>
        <w:trPr>
          <w:trHeight w:val="883"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处项目合同金额6-8‰的罚款。</w:t>
            </w:r>
          </w:p>
        </w:tc>
      </w:tr>
      <w:tr>
        <w:tblPrEx>
          <w:tblCellMar>
            <w:top w:w="0" w:type="dxa"/>
            <w:left w:w="108" w:type="dxa"/>
            <w:bottom w:w="0" w:type="dxa"/>
            <w:right w:w="108" w:type="dxa"/>
          </w:tblCellMar>
        </w:tblPrEx>
        <w:trPr>
          <w:trHeight w:val="1183"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处项目合同金额8-10‰的罚款。</w:t>
            </w:r>
          </w:p>
        </w:tc>
      </w:tr>
      <w:tr>
        <w:tblPrEx>
          <w:tblCellMar>
            <w:top w:w="0" w:type="dxa"/>
            <w:left w:w="108" w:type="dxa"/>
            <w:bottom w:w="0" w:type="dxa"/>
            <w:right w:w="108" w:type="dxa"/>
          </w:tblCellMar>
        </w:tblPrEx>
        <w:trPr>
          <w:trHeight w:val="590" w:hRule="atLeast"/>
          <w:jc w:val="center"/>
        </w:trPr>
        <w:tc>
          <w:tcPr>
            <w:tcW w:w="1498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
                <w:bCs/>
                <w:color w:val="000000"/>
                <w:kern w:val="0"/>
                <w:sz w:val="20"/>
                <w:szCs w:val="20"/>
              </w:rPr>
            </w:pPr>
            <w:r>
              <w:rPr>
                <w:b/>
                <w:bCs/>
                <w:color w:val="000000"/>
                <w:kern w:val="0"/>
                <w:sz w:val="20"/>
                <w:szCs w:val="20"/>
              </w:rPr>
              <w:t>第二节  节能和循环经济领域违法行为裁量</w:t>
            </w:r>
          </w:p>
        </w:tc>
      </w:tr>
      <w:tr>
        <w:tblPrEx>
          <w:tblCellMar>
            <w:top w:w="0" w:type="dxa"/>
            <w:left w:w="108" w:type="dxa"/>
            <w:bottom w:w="0" w:type="dxa"/>
            <w:right w:w="108" w:type="dxa"/>
          </w:tblCellMar>
        </w:tblPrEx>
        <w:trPr>
          <w:trHeight w:val="1106"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17</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违规无偿向本单位职工提供能源或者对能源消费实行包费制的处罚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《节约能源法》</w:t>
            </w:r>
          </w:p>
          <w:p>
            <w:pPr>
              <w:widowControl/>
              <w:spacing w:line="240" w:lineRule="exact"/>
              <w:jc w:val="left"/>
              <w:rPr>
                <w:color w:val="000000"/>
                <w:kern w:val="0"/>
                <w:sz w:val="20"/>
                <w:szCs w:val="20"/>
              </w:rPr>
            </w:pPr>
            <w:r>
              <w:rPr>
                <w:color w:val="000000"/>
                <w:kern w:val="0"/>
                <w:sz w:val="20"/>
                <w:szCs w:val="20"/>
              </w:rPr>
              <w:t>第七十七条 违反本法规定，无偿向本单位职工提供能源或者对能源消费实行包费制的，由管理节能工作的部门责令限期改正；逾期不改正的，处五万元以上二十万元以下罚款。</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spacing w:val="-6"/>
                <w:kern w:val="0"/>
                <w:sz w:val="20"/>
                <w:szCs w:val="20"/>
              </w:rPr>
            </w:pPr>
            <w:r>
              <w:rPr>
                <w:color w:val="000000"/>
                <w:spacing w:val="-6"/>
                <w:kern w:val="0"/>
                <w:sz w:val="20"/>
                <w:szCs w:val="20"/>
              </w:rPr>
              <w:t>从轻处罚：总能源包费在20万元以下的</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处5万元以上10万元以下罚款。</w:t>
            </w:r>
          </w:p>
        </w:tc>
      </w:tr>
      <w:tr>
        <w:tblPrEx>
          <w:tblCellMar>
            <w:top w:w="0" w:type="dxa"/>
            <w:left w:w="108" w:type="dxa"/>
            <w:bottom w:w="0" w:type="dxa"/>
            <w:right w:w="108" w:type="dxa"/>
          </w:tblCellMar>
        </w:tblPrEx>
        <w:trPr>
          <w:trHeight w:val="1545"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spacing w:val="-6"/>
                <w:kern w:val="0"/>
                <w:sz w:val="20"/>
                <w:szCs w:val="20"/>
              </w:rPr>
            </w:pPr>
            <w:r>
              <w:rPr>
                <w:color w:val="000000"/>
                <w:spacing w:val="-6"/>
                <w:kern w:val="0"/>
                <w:sz w:val="20"/>
                <w:szCs w:val="20"/>
              </w:rPr>
              <w:t>一般处罚：总能源包费在20万元以上100万元以下的</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处10万元以上15万元以下罚款。</w:t>
            </w:r>
          </w:p>
        </w:tc>
      </w:tr>
      <w:tr>
        <w:tblPrEx>
          <w:tblCellMar>
            <w:top w:w="0" w:type="dxa"/>
            <w:left w:w="108" w:type="dxa"/>
            <w:bottom w:w="0" w:type="dxa"/>
            <w:right w:w="108" w:type="dxa"/>
          </w:tblCellMar>
        </w:tblPrEx>
        <w:trPr>
          <w:trHeight w:val="2159"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spacing w:val="-6"/>
                <w:kern w:val="0"/>
                <w:sz w:val="20"/>
                <w:szCs w:val="20"/>
              </w:rPr>
            </w:pPr>
            <w:r>
              <w:rPr>
                <w:color w:val="000000"/>
                <w:spacing w:val="-6"/>
                <w:kern w:val="0"/>
                <w:sz w:val="20"/>
                <w:szCs w:val="20"/>
              </w:rPr>
              <w:t>从重处罚：总能源包费在100万元以上或者无偿向本单位职工提供能源</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处15万元以上20万元以下罚款。</w:t>
            </w:r>
          </w:p>
        </w:tc>
      </w:tr>
      <w:tr>
        <w:tblPrEx>
          <w:tblCellMar>
            <w:top w:w="0" w:type="dxa"/>
            <w:left w:w="108" w:type="dxa"/>
            <w:bottom w:w="0" w:type="dxa"/>
            <w:right w:w="108" w:type="dxa"/>
          </w:tblCellMar>
        </w:tblPrEx>
        <w:trPr>
          <w:trHeight w:val="1163" w:hRule="atLeast"/>
          <w:jc w:val="center"/>
        </w:trPr>
        <w:tc>
          <w:tcPr>
            <w:tcW w:w="64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18</w:t>
            </w:r>
          </w:p>
        </w:tc>
        <w:tc>
          <w:tcPr>
            <w:tcW w:w="2067"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使用国家明令淘汰的用能设备或者生产工艺的处罚</w:t>
            </w:r>
          </w:p>
        </w:tc>
        <w:tc>
          <w:tcPr>
            <w:tcW w:w="7963"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《节约能源法》</w:t>
            </w:r>
          </w:p>
          <w:p>
            <w:pPr>
              <w:widowControl/>
              <w:spacing w:line="240" w:lineRule="exact"/>
              <w:jc w:val="left"/>
              <w:rPr>
                <w:color w:val="000000"/>
                <w:kern w:val="0"/>
                <w:sz w:val="20"/>
                <w:szCs w:val="20"/>
              </w:rPr>
            </w:pPr>
            <w:r>
              <w:rPr>
                <w:color w:val="000000"/>
                <w:kern w:val="0"/>
                <w:sz w:val="20"/>
                <w:szCs w:val="20"/>
              </w:rPr>
              <w:t>第七十一条 使用国家明令淘汰的用能设备或者生产工艺的，由管理节能工作的部门责令停止使用，没收国家明令淘汰的用能设备。</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没收国家明令淘汰的用能设备。</w:t>
            </w:r>
          </w:p>
        </w:tc>
      </w:tr>
      <w:tr>
        <w:tblPrEx>
          <w:tblCellMar>
            <w:top w:w="0" w:type="dxa"/>
            <w:left w:w="108" w:type="dxa"/>
            <w:bottom w:w="0" w:type="dxa"/>
            <w:right w:w="108" w:type="dxa"/>
          </w:tblCellMar>
        </w:tblPrEx>
        <w:trPr>
          <w:trHeight w:val="1656" w:hRule="atLeast"/>
          <w:jc w:val="center"/>
        </w:trPr>
        <w:tc>
          <w:tcPr>
            <w:tcW w:w="64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19</w:t>
            </w:r>
          </w:p>
        </w:tc>
        <w:tc>
          <w:tcPr>
            <w:tcW w:w="2067"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经营燃气管网、热力管网的企业不准许符合入网技术标准的燃气、热力入网的处罚</w:t>
            </w:r>
          </w:p>
        </w:tc>
        <w:tc>
          <w:tcPr>
            <w:tcW w:w="7963"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《可再生能源法》</w:t>
            </w:r>
          </w:p>
          <w:p>
            <w:pPr>
              <w:widowControl/>
              <w:spacing w:line="240" w:lineRule="exact"/>
              <w:jc w:val="left"/>
              <w:rPr>
                <w:color w:val="000000"/>
                <w:kern w:val="0"/>
                <w:sz w:val="20"/>
                <w:szCs w:val="20"/>
              </w:rPr>
            </w:pPr>
            <w:r>
              <w:rPr>
                <w:color w:val="000000"/>
                <w:kern w:val="0"/>
                <w:sz w:val="20"/>
                <w:szCs w:val="20"/>
              </w:rPr>
              <w:t>第三十条 违反本法第十六条第二款规定，经营燃气管网、热力管网的企业不准许符合入网技术标准的燃气、热力入网，造成燃气、热力生产企业经济损失的，应当承担赔偿责任，并由省级人民政府管理能源工作的部门责令限期改正；拒不改正的，处以燃气、热力生产企业经济损失额一倍以下的罚款。</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处经济损失1倍以下的罚款。</w:t>
            </w:r>
          </w:p>
        </w:tc>
      </w:tr>
      <w:tr>
        <w:tblPrEx>
          <w:tblCellMar>
            <w:top w:w="0" w:type="dxa"/>
            <w:left w:w="108" w:type="dxa"/>
            <w:bottom w:w="0" w:type="dxa"/>
            <w:right w:w="108" w:type="dxa"/>
          </w:tblCellMar>
        </w:tblPrEx>
        <w:trPr>
          <w:trHeight w:val="2681"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20-1</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重点用能单位未按照规定报送能源利用状况报告或者报告内容不实，经责令限期改正逾期不改正的行为（重点用能单位未履行节能管理义务的）</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《节约能源法》</w:t>
            </w:r>
          </w:p>
          <w:p>
            <w:pPr>
              <w:widowControl/>
              <w:spacing w:line="240" w:lineRule="exact"/>
              <w:jc w:val="left"/>
              <w:rPr>
                <w:color w:val="000000"/>
                <w:kern w:val="0"/>
                <w:sz w:val="20"/>
                <w:szCs w:val="20"/>
              </w:rPr>
            </w:pPr>
            <w:r>
              <w:rPr>
                <w:color w:val="000000"/>
                <w:kern w:val="0"/>
                <w:sz w:val="20"/>
                <w:szCs w:val="20"/>
              </w:rPr>
              <w:t>第八十二条 重点用能单位未按照本法规定报送能源利用状况报告或者报告内容不实的，由管理节能工作的部门责令限期改正；逾期不改正的，处一万元以上五万元以下罚款。</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spacing w:val="-4"/>
                <w:kern w:val="0"/>
                <w:sz w:val="20"/>
                <w:szCs w:val="20"/>
              </w:rPr>
            </w:pPr>
            <w:r>
              <w:rPr>
                <w:color w:val="000000"/>
                <w:spacing w:val="-4"/>
                <w:kern w:val="0"/>
                <w:sz w:val="20"/>
                <w:szCs w:val="20"/>
              </w:rPr>
              <w:t>从轻处罚：经责令限期改正，改正期限内报送的能源利用状况报告不全面</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处1万元以上2万元以下罚款。</w:t>
            </w:r>
          </w:p>
        </w:tc>
      </w:tr>
      <w:tr>
        <w:tblPrEx>
          <w:tblCellMar>
            <w:top w:w="0" w:type="dxa"/>
            <w:left w:w="108" w:type="dxa"/>
            <w:bottom w:w="0" w:type="dxa"/>
            <w:right w:w="108" w:type="dxa"/>
          </w:tblCellMar>
        </w:tblPrEx>
        <w:trPr>
          <w:trHeight w:val="2730"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spacing w:val="-4"/>
                <w:kern w:val="0"/>
                <w:sz w:val="20"/>
                <w:szCs w:val="20"/>
              </w:rPr>
            </w:pPr>
            <w:r>
              <w:rPr>
                <w:color w:val="000000"/>
                <w:spacing w:val="-4"/>
                <w:kern w:val="0"/>
                <w:sz w:val="20"/>
                <w:szCs w:val="20"/>
              </w:rPr>
              <w:t>一般处罚：经责令限期改正，改正期限内报送的能源利用状况报告不实内容部分仍然不实的</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处2万元以上3万元以下罚款。</w:t>
            </w:r>
          </w:p>
        </w:tc>
      </w:tr>
      <w:tr>
        <w:tblPrEx>
          <w:tblCellMar>
            <w:top w:w="0" w:type="dxa"/>
            <w:left w:w="108" w:type="dxa"/>
            <w:bottom w:w="0" w:type="dxa"/>
            <w:right w:w="108" w:type="dxa"/>
          </w:tblCellMar>
        </w:tblPrEx>
        <w:trPr>
          <w:trHeight w:val="2744"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spacing w:val="-4"/>
                <w:kern w:val="0"/>
                <w:sz w:val="20"/>
                <w:szCs w:val="20"/>
              </w:rPr>
            </w:pPr>
            <w:r>
              <w:rPr>
                <w:color w:val="000000"/>
                <w:spacing w:val="-4"/>
                <w:kern w:val="0"/>
                <w:sz w:val="20"/>
                <w:szCs w:val="20"/>
              </w:rPr>
              <w:t>从重处罚：经责令限期改正，改正期限内仍拒不报送能源利用状况报告的</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处3万元以上5万元以下罚款。</w:t>
            </w:r>
          </w:p>
        </w:tc>
      </w:tr>
      <w:tr>
        <w:tblPrEx>
          <w:tblCellMar>
            <w:top w:w="0" w:type="dxa"/>
            <w:left w:w="108" w:type="dxa"/>
            <w:bottom w:w="0" w:type="dxa"/>
            <w:right w:w="108" w:type="dxa"/>
          </w:tblCellMar>
        </w:tblPrEx>
        <w:trPr>
          <w:trHeight w:val="3349"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20-2</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重点用能单位无正当理由拒不落实整改要求或者整改没有达到要求的行为（重点用能单位未履行节能管理义务的）</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《节约能源法》</w:t>
            </w:r>
          </w:p>
          <w:p>
            <w:pPr>
              <w:widowControl/>
              <w:spacing w:line="240" w:lineRule="exact"/>
              <w:jc w:val="left"/>
              <w:rPr>
                <w:color w:val="000000"/>
                <w:kern w:val="0"/>
                <w:sz w:val="20"/>
                <w:szCs w:val="20"/>
              </w:rPr>
            </w:pPr>
            <w:r>
              <w:rPr>
                <w:color w:val="000000"/>
                <w:kern w:val="0"/>
                <w:sz w:val="20"/>
                <w:szCs w:val="20"/>
              </w:rPr>
              <w:t>第八十三条 重点用能单位无正当理由拒不落实本法第五十四条规定的整改要求或者整改没有达到要求的，由管理节能工作的部门处十万元以上三十万元以下罚款。</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从轻处罚：经限期整改没有达到整改要求，但有切实可行的整改计划、措施的，已经明显取得成效的</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处10万元以上15万元以下罚款。</w:t>
            </w:r>
          </w:p>
        </w:tc>
      </w:tr>
      <w:tr>
        <w:tblPrEx>
          <w:tblCellMar>
            <w:top w:w="0" w:type="dxa"/>
            <w:left w:w="108" w:type="dxa"/>
            <w:bottom w:w="0" w:type="dxa"/>
            <w:right w:w="108" w:type="dxa"/>
          </w:tblCellMar>
        </w:tblPrEx>
        <w:trPr>
          <w:trHeight w:val="2541"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一般处罚：经限期整改没有达到整改要求，已经取得部分成效的</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处15万元以上25万元以下罚款。</w:t>
            </w:r>
          </w:p>
        </w:tc>
      </w:tr>
      <w:tr>
        <w:tblPrEx>
          <w:tblCellMar>
            <w:top w:w="0" w:type="dxa"/>
            <w:left w:w="108" w:type="dxa"/>
            <w:bottom w:w="0" w:type="dxa"/>
            <w:right w:w="108" w:type="dxa"/>
          </w:tblCellMar>
        </w:tblPrEx>
        <w:trPr>
          <w:trHeight w:val="2260"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从重处罚：无正当理由拒不落实整改要求的</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处25万元以上30万元以下罚款。</w:t>
            </w:r>
          </w:p>
        </w:tc>
      </w:tr>
      <w:tr>
        <w:tblPrEx>
          <w:tblCellMar>
            <w:top w:w="0" w:type="dxa"/>
            <w:left w:w="108" w:type="dxa"/>
            <w:bottom w:w="0" w:type="dxa"/>
            <w:right w:w="108" w:type="dxa"/>
          </w:tblCellMar>
        </w:tblPrEx>
        <w:trPr>
          <w:trHeight w:val="3105"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20-3</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重点用能单位未按照规定设立能源管理岗位，聘任能源管理负责人，并报备案的行为（重点用能单位未履行节能管理义务的）</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《节约能源法》</w:t>
            </w:r>
          </w:p>
          <w:p>
            <w:pPr>
              <w:widowControl/>
              <w:spacing w:line="240" w:lineRule="exact"/>
              <w:jc w:val="left"/>
              <w:rPr>
                <w:color w:val="000000"/>
                <w:kern w:val="0"/>
                <w:sz w:val="20"/>
                <w:szCs w:val="20"/>
              </w:rPr>
            </w:pPr>
            <w:r>
              <w:rPr>
                <w:color w:val="000000"/>
                <w:kern w:val="0"/>
                <w:sz w:val="20"/>
                <w:szCs w:val="20"/>
              </w:rPr>
              <w:t>第八十四条 重点用能单位未按照本法规定设立能源管理岗位，聘任能源管理负责人，并报管理节能工作的部门和有关部门备案的，由管理节能工作的部门责令改正；拒不改正的，处一万元以上三万元以下罚款。</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从轻处罚：已设立能源管理岗位并按照国家规定条件聘任了能源管理负责人，但未报所在地发展改革部门备案</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处1万元罚款。</w:t>
            </w:r>
          </w:p>
        </w:tc>
      </w:tr>
      <w:tr>
        <w:tblPrEx>
          <w:tblCellMar>
            <w:top w:w="0" w:type="dxa"/>
            <w:left w:w="108" w:type="dxa"/>
            <w:bottom w:w="0" w:type="dxa"/>
            <w:right w:w="108" w:type="dxa"/>
          </w:tblCellMar>
        </w:tblPrEx>
        <w:trPr>
          <w:trHeight w:val="3150"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一般处罚：重点用能单位设立能源管理岗位但未聘任能源管理负责人或所聘任负责人不符合条件</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处1万元以上2万元以下罚款。</w:t>
            </w:r>
          </w:p>
        </w:tc>
      </w:tr>
      <w:tr>
        <w:tblPrEx>
          <w:tblCellMar>
            <w:top w:w="0" w:type="dxa"/>
            <w:left w:w="108" w:type="dxa"/>
            <w:bottom w:w="0" w:type="dxa"/>
            <w:right w:w="108" w:type="dxa"/>
          </w:tblCellMar>
        </w:tblPrEx>
        <w:trPr>
          <w:trHeight w:val="2036" w:hRule="atLeast"/>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从重处罚：重点用能单位未设立能源管理岗位</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处2万元以上3万元以下罚款。</w:t>
            </w:r>
          </w:p>
        </w:tc>
      </w:tr>
      <w:tr>
        <w:tblPrEx>
          <w:tblCellMar>
            <w:top w:w="0" w:type="dxa"/>
            <w:left w:w="108" w:type="dxa"/>
            <w:bottom w:w="0" w:type="dxa"/>
            <w:right w:w="108" w:type="dxa"/>
          </w:tblCellMar>
        </w:tblPrEx>
        <w:trPr>
          <w:trHeight w:val="2610" w:hRule="atLeast"/>
          <w:jc w:val="center"/>
        </w:trPr>
        <w:tc>
          <w:tcPr>
            <w:tcW w:w="64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21</w:t>
            </w:r>
          </w:p>
        </w:tc>
        <w:tc>
          <w:tcPr>
            <w:tcW w:w="2067"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固定资产投资项目建设单位开工建设不符合强制性节能标准的项目或者将该项目投入生产、使用的处罚</w:t>
            </w:r>
          </w:p>
        </w:tc>
        <w:tc>
          <w:tcPr>
            <w:tcW w:w="7963"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《节约能源法》</w:t>
            </w:r>
          </w:p>
          <w:p>
            <w:pPr>
              <w:widowControl/>
              <w:spacing w:line="240" w:lineRule="exact"/>
              <w:jc w:val="left"/>
              <w:rPr>
                <w:color w:val="000000"/>
                <w:kern w:val="0"/>
                <w:sz w:val="20"/>
                <w:szCs w:val="20"/>
              </w:rPr>
            </w:pPr>
            <w:r>
              <w:rPr>
                <w:color w:val="000000"/>
                <w:kern w:val="0"/>
                <w:sz w:val="20"/>
                <w:szCs w:val="20"/>
              </w:rPr>
              <w:t>第六十八条 负责审批政府投资项目的机关违反本法规定，对不符合强制性节能标准的项目予以批准建设的，对直接负责的主管人员和其他直接责任人员依法给予处分。 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p>
            <w:pPr>
              <w:widowControl/>
              <w:spacing w:line="240" w:lineRule="exact"/>
              <w:jc w:val="left"/>
              <w:rPr>
                <w:color w:val="000000"/>
                <w:kern w:val="0"/>
                <w:sz w:val="20"/>
                <w:szCs w:val="20"/>
              </w:rPr>
            </w:pPr>
            <w:r>
              <w:rPr>
                <w:color w:val="000000"/>
                <w:kern w:val="0"/>
                <w:sz w:val="20"/>
                <w:szCs w:val="20"/>
              </w:rPr>
              <w:t>第七十二条 生产单位超过单位产品能耗限额标准用能，情节严重，经限期治理逾期不治理或者没有达到治理要求的，可以由管理节能工作的部门提出意见，报请本级人民政府按照国务院规定的权限责令停业整顿或者关闭。</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责令停业整顿或者关闭。</w:t>
            </w:r>
          </w:p>
        </w:tc>
      </w:tr>
      <w:tr>
        <w:tblPrEx>
          <w:tblCellMar>
            <w:top w:w="0" w:type="dxa"/>
            <w:left w:w="108" w:type="dxa"/>
            <w:bottom w:w="0" w:type="dxa"/>
            <w:right w:w="108" w:type="dxa"/>
          </w:tblCellMar>
        </w:tblPrEx>
        <w:trPr>
          <w:trHeight w:val="2265" w:hRule="atLeast"/>
          <w:jc w:val="center"/>
        </w:trPr>
        <w:tc>
          <w:tcPr>
            <w:tcW w:w="64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22</w:t>
            </w:r>
          </w:p>
        </w:tc>
        <w:tc>
          <w:tcPr>
            <w:tcW w:w="20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对未按照规定公布能源消耗或者重点污染物产生、排放情况的处罚</w:t>
            </w:r>
          </w:p>
        </w:tc>
        <w:tc>
          <w:tcPr>
            <w:tcW w:w="79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《清洁生产促进法》</w:t>
            </w:r>
          </w:p>
          <w:p>
            <w:pPr>
              <w:widowControl/>
              <w:spacing w:line="240" w:lineRule="exact"/>
              <w:jc w:val="left"/>
              <w:rPr>
                <w:color w:val="000000"/>
                <w:kern w:val="0"/>
                <w:sz w:val="20"/>
                <w:szCs w:val="20"/>
              </w:rPr>
            </w:pPr>
            <w:r>
              <w:rPr>
                <w:color w:val="000000"/>
                <w:kern w:val="0"/>
                <w:sz w:val="20"/>
                <w:szCs w:val="20"/>
              </w:rPr>
              <w:t>第三十六条 违反本法第十七条第二款规定，未按照规定公布能源消耗或者重点污染物产生、排放情况的，由县级以上地方人民政府负责清洁生产综合协调的部门、环境保护部门按照职责分工责令公布，可以处十万元以下的罚款。</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从轻处罚：公布的能源消耗或者重点污染物产生、排放情况内容不全面</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处2万元以下罚款。</w:t>
            </w:r>
          </w:p>
        </w:tc>
      </w:tr>
      <w:tr>
        <w:tblPrEx>
          <w:tblCellMar>
            <w:top w:w="0" w:type="dxa"/>
            <w:left w:w="108" w:type="dxa"/>
            <w:bottom w:w="0" w:type="dxa"/>
            <w:right w:w="108" w:type="dxa"/>
          </w:tblCellMar>
        </w:tblPrEx>
        <w:trPr>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一般处罚：公布的能源消耗或者重点污染物产生、排放情况内容不真实</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处2万元以上6万元以下罚款。</w:t>
            </w:r>
          </w:p>
        </w:tc>
      </w:tr>
      <w:tr>
        <w:tblPrEx>
          <w:tblCellMar>
            <w:top w:w="0" w:type="dxa"/>
            <w:left w:w="108" w:type="dxa"/>
            <w:bottom w:w="0" w:type="dxa"/>
            <w:right w:w="108" w:type="dxa"/>
          </w:tblCellMar>
        </w:tblPrEx>
        <w:trPr>
          <w:jc w:val="center"/>
        </w:trPr>
        <w:tc>
          <w:tcPr>
            <w:tcW w:w="64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20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从重处罚：未公布能源消耗或者重点污染物产生、排放情况</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处6万元以上10万元以下罚款。</w:t>
            </w:r>
          </w:p>
        </w:tc>
      </w:tr>
      <w:tr>
        <w:tblPrEx>
          <w:tblCellMar>
            <w:top w:w="0" w:type="dxa"/>
            <w:left w:w="108" w:type="dxa"/>
            <w:bottom w:w="0" w:type="dxa"/>
            <w:right w:w="108" w:type="dxa"/>
          </w:tblCellMar>
        </w:tblPrEx>
        <w:trPr>
          <w:trHeight w:val="695" w:hRule="atLeast"/>
          <w:jc w:val="center"/>
        </w:trPr>
        <w:tc>
          <w:tcPr>
            <w:tcW w:w="1498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
                <w:bCs/>
                <w:color w:val="000000"/>
                <w:kern w:val="0"/>
                <w:sz w:val="20"/>
                <w:szCs w:val="20"/>
              </w:rPr>
            </w:pPr>
            <w:r>
              <w:rPr>
                <w:b/>
                <w:bCs/>
                <w:color w:val="000000"/>
                <w:kern w:val="0"/>
                <w:sz w:val="20"/>
                <w:szCs w:val="20"/>
              </w:rPr>
              <w:t>第三节  政府投资项目代建单位违法行为裁量</w:t>
            </w:r>
          </w:p>
        </w:tc>
      </w:tr>
      <w:tr>
        <w:tblPrEx>
          <w:tblCellMar>
            <w:top w:w="0" w:type="dxa"/>
            <w:left w:w="108" w:type="dxa"/>
            <w:bottom w:w="0" w:type="dxa"/>
            <w:right w:w="108" w:type="dxa"/>
          </w:tblCellMar>
        </w:tblPrEx>
        <w:trPr>
          <w:trHeight w:val="3525" w:hRule="atLeast"/>
          <w:jc w:val="center"/>
        </w:trPr>
        <w:tc>
          <w:tcPr>
            <w:tcW w:w="64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23</w:t>
            </w:r>
          </w:p>
        </w:tc>
        <w:tc>
          <w:tcPr>
            <w:tcW w:w="2067"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政府投资项目代建单位违规违约行为的处罚</w:t>
            </w:r>
          </w:p>
        </w:tc>
        <w:tc>
          <w:tcPr>
            <w:tcW w:w="7963"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《国务院关于投资体制改革的决定》（国发〔2004〕20号）</w:t>
            </w:r>
          </w:p>
          <w:p>
            <w:pPr>
              <w:widowControl/>
              <w:spacing w:line="240" w:lineRule="exact"/>
              <w:jc w:val="left"/>
              <w:rPr>
                <w:color w:val="000000"/>
                <w:kern w:val="0"/>
                <w:sz w:val="20"/>
                <w:szCs w:val="20"/>
              </w:rPr>
            </w:pPr>
            <w:r>
              <w:rPr>
                <w:color w:val="000000"/>
                <w:kern w:val="0"/>
                <w:sz w:val="20"/>
                <w:szCs w:val="20"/>
              </w:rPr>
              <w:t>三、完善政府投资体制，规范政府投资行为（五）加强政府投资项目管理，改进建设实施方式：对非经营性政府投资项目加快推行代建制。</w:t>
            </w:r>
          </w:p>
          <w:p>
            <w:pPr>
              <w:widowControl/>
              <w:spacing w:line="240" w:lineRule="exact"/>
              <w:jc w:val="left"/>
              <w:rPr>
                <w:color w:val="000000"/>
                <w:kern w:val="0"/>
                <w:sz w:val="20"/>
                <w:szCs w:val="20"/>
              </w:rPr>
            </w:pPr>
            <w:r>
              <w:rPr>
                <w:color w:val="000000"/>
                <w:kern w:val="0"/>
                <w:sz w:val="20"/>
                <w:szCs w:val="20"/>
              </w:rPr>
              <w:t>《湖南省政府投资项目代建制管理办法》（湖南省人民政府令第241号）</w:t>
            </w:r>
          </w:p>
          <w:p>
            <w:pPr>
              <w:widowControl/>
              <w:spacing w:line="240" w:lineRule="exact"/>
              <w:jc w:val="left"/>
              <w:rPr>
                <w:color w:val="000000"/>
                <w:kern w:val="0"/>
                <w:sz w:val="20"/>
                <w:szCs w:val="20"/>
              </w:rPr>
            </w:pPr>
            <w:r>
              <w:rPr>
                <w:color w:val="000000"/>
                <w:kern w:val="0"/>
                <w:sz w:val="20"/>
                <w:szCs w:val="20"/>
              </w:rPr>
              <w:t>第六条 县级以上人民政府发展改革部门负责政府投资项目代建制实施的指导、协调和监督管理。</w:t>
            </w:r>
          </w:p>
          <w:p>
            <w:pPr>
              <w:widowControl/>
              <w:spacing w:line="240" w:lineRule="exact"/>
              <w:jc w:val="left"/>
              <w:rPr>
                <w:color w:val="000000"/>
                <w:kern w:val="0"/>
                <w:sz w:val="20"/>
                <w:szCs w:val="20"/>
              </w:rPr>
            </w:pPr>
            <w:r>
              <w:rPr>
                <w:color w:val="000000"/>
                <w:kern w:val="0"/>
                <w:sz w:val="20"/>
                <w:szCs w:val="20"/>
              </w:rPr>
              <w:t>第二十二条 代建单位有下列情形之一的，除承担相应的违约责任外，3年内不得参与代建活动，并由有关部门依法处理：</w:t>
            </w:r>
          </w:p>
          <w:p>
            <w:pPr>
              <w:widowControl/>
              <w:spacing w:line="240" w:lineRule="exact"/>
              <w:jc w:val="left"/>
              <w:rPr>
                <w:color w:val="000000"/>
                <w:kern w:val="0"/>
                <w:sz w:val="20"/>
                <w:szCs w:val="20"/>
              </w:rPr>
            </w:pPr>
            <w:r>
              <w:rPr>
                <w:color w:val="000000"/>
                <w:kern w:val="0"/>
                <w:sz w:val="20"/>
                <w:szCs w:val="20"/>
              </w:rPr>
              <w:t>（一）违反项目代建合同约定，致使工期延长、投资增加、工程质量不合格或者发生重大安全责任事故的；（二）与使用单位串通，损害国家利益或者社会公共利益的；</w:t>
            </w:r>
          </w:p>
          <w:p>
            <w:pPr>
              <w:widowControl/>
              <w:spacing w:line="240" w:lineRule="exact"/>
              <w:jc w:val="left"/>
              <w:rPr>
                <w:color w:val="000000"/>
                <w:kern w:val="0"/>
                <w:sz w:val="20"/>
                <w:szCs w:val="20"/>
              </w:rPr>
            </w:pPr>
            <w:r>
              <w:rPr>
                <w:color w:val="000000"/>
                <w:kern w:val="0"/>
                <w:sz w:val="20"/>
                <w:szCs w:val="20"/>
              </w:rPr>
              <w:t>（三）与勘察设计、施工、监理、设备材料供应等单位串通，谋取不正当利益或者损害使用单位利益的；</w:t>
            </w:r>
          </w:p>
          <w:p>
            <w:pPr>
              <w:widowControl/>
              <w:spacing w:line="240" w:lineRule="exact"/>
              <w:jc w:val="left"/>
              <w:rPr>
                <w:color w:val="000000"/>
                <w:kern w:val="0"/>
                <w:sz w:val="20"/>
                <w:szCs w:val="20"/>
              </w:rPr>
            </w:pPr>
            <w:r>
              <w:rPr>
                <w:color w:val="000000"/>
                <w:kern w:val="0"/>
                <w:sz w:val="20"/>
                <w:szCs w:val="20"/>
              </w:rPr>
              <w:t>（四）违反项目建设资金使用和财务管理规定的；</w:t>
            </w:r>
          </w:p>
          <w:p>
            <w:pPr>
              <w:widowControl/>
              <w:spacing w:line="240" w:lineRule="exact"/>
              <w:jc w:val="left"/>
              <w:rPr>
                <w:color w:val="000000"/>
                <w:kern w:val="0"/>
                <w:sz w:val="20"/>
                <w:szCs w:val="20"/>
              </w:rPr>
            </w:pPr>
            <w:r>
              <w:rPr>
                <w:color w:val="000000"/>
                <w:kern w:val="0"/>
                <w:sz w:val="20"/>
                <w:szCs w:val="20"/>
              </w:rPr>
              <w:t>（五）转让代建业务的。</w:t>
            </w:r>
          </w:p>
        </w:tc>
        <w:tc>
          <w:tcPr>
            <w:tcW w:w="1119"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3年内不得参与代建活动。</w:t>
            </w:r>
          </w:p>
        </w:tc>
      </w:tr>
      <w:tr>
        <w:tblPrEx>
          <w:tblCellMar>
            <w:top w:w="0" w:type="dxa"/>
            <w:left w:w="108" w:type="dxa"/>
            <w:bottom w:w="0" w:type="dxa"/>
            <w:right w:w="108" w:type="dxa"/>
          </w:tblCellMar>
        </w:tblPrEx>
        <w:trPr>
          <w:trHeight w:val="648" w:hRule="atLeast"/>
          <w:jc w:val="center"/>
        </w:trPr>
        <w:tc>
          <w:tcPr>
            <w:tcW w:w="14981" w:type="dxa"/>
            <w:gridSpan w:val="5"/>
            <w:tcBorders>
              <w:top w:val="single" w:color="auto" w:sz="4" w:space="0"/>
              <w:left w:val="single" w:color="auto" w:sz="4" w:space="0"/>
              <w:bottom w:val="single" w:color="auto" w:sz="4" w:space="0"/>
              <w:right w:val="single" w:color="auto" w:sz="4" w:space="0"/>
            </w:tcBorders>
            <w:noWrap w:val="0"/>
            <w:vAlign w:val="center"/>
          </w:tcPr>
          <w:p>
            <w:pPr>
              <w:widowControl/>
              <w:tabs>
                <w:tab w:val="left" w:pos="6433"/>
              </w:tabs>
              <w:spacing w:line="240" w:lineRule="exact"/>
              <w:jc w:val="center"/>
              <w:rPr>
                <w:color w:val="000000"/>
                <w:kern w:val="0"/>
                <w:sz w:val="20"/>
                <w:szCs w:val="20"/>
              </w:rPr>
            </w:pPr>
            <w:r>
              <w:rPr>
                <w:b/>
                <w:bCs/>
                <w:kern w:val="0"/>
                <w:sz w:val="20"/>
                <w:szCs w:val="20"/>
              </w:rPr>
              <w:t>第四节  石油天然气管道保护领域违法行为裁量</w:t>
            </w:r>
          </w:p>
        </w:tc>
      </w:tr>
      <w:tr>
        <w:tblPrEx>
          <w:tblCellMar>
            <w:top w:w="0" w:type="dxa"/>
            <w:left w:w="108" w:type="dxa"/>
            <w:bottom w:w="0" w:type="dxa"/>
            <w:right w:w="108" w:type="dxa"/>
          </w:tblCellMar>
        </w:tblPrEx>
        <w:trPr>
          <w:trHeight w:val="1015" w:hRule="atLeast"/>
          <w:jc w:val="center"/>
        </w:trPr>
        <w:tc>
          <w:tcPr>
            <w:tcW w:w="64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24</w:t>
            </w:r>
          </w:p>
        </w:tc>
        <w:tc>
          <w:tcPr>
            <w:tcW w:w="2067"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管道企业逾期未履行管道巡护、检修、维修、更新、设置标志、备案、安全防护措施等义务的处罚</w:t>
            </w:r>
          </w:p>
        </w:tc>
        <w:tc>
          <w:tcPr>
            <w:tcW w:w="7963"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《石油天然气管道保护法》</w:t>
            </w:r>
          </w:p>
          <w:p>
            <w:pPr>
              <w:widowControl/>
              <w:spacing w:line="240" w:lineRule="exact"/>
              <w:jc w:val="left"/>
              <w:rPr>
                <w:color w:val="000000"/>
                <w:kern w:val="0"/>
                <w:sz w:val="20"/>
                <w:szCs w:val="20"/>
              </w:rPr>
            </w:pPr>
            <w:r>
              <w:rPr>
                <w:color w:val="000000"/>
                <w:kern w:val="0"/>
                <w:sz w:val="20"/>
                <w:szCs w:val="20"/>
              </w:rPr>
              <w:t>第</w:t>
            </w:r>
            <w:r>
              <w:rPr>
                <w:color w:val="000000"/>
                <w:kern w:val="0"/>
                <w:sz w:val="20"/>
                <w:szCs w:val="20"/>
                <w:lang w:val="zh-CN"/>
              </w:rPr>
              <w:t>五十条   管道企业有下列行为之一的，由县级以上地方人民政府主管管道保护工作的部门责令限期改正；逾期不改正的，处二万元以上十万元以下的罚款；对直接负责的主管人员和其他直接责任人员给予处分：（一）未依照本法规定对管道进行巡护、检测和维修的；（二）对不符合安全使用条件的管道未及时更新、改造或者停止使用的；（三）未依照本法规定设置、修复或者更新有关管道标志的；（四）未依照本法规定将管道竣工测量图报人民政府主管管道保护工作的部门备案的；（五）未制定本企业管道事故应急预案，或者未将本企业管道事故应急预案报人民政府主管管道保护工作的部门备案的；（六）发生管道事故，未采取有效措施消除或者减轻事故危害的；（七）未对停止运行、封存、报废的管道采取必要的安全防护措施的。</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处2万元以上4万元以下罚款</w:t>
            </w:r>
          </w:p>
        </w:tc>
      </w:tr>
      <w:tr>
        <w:tblPrEx>
          <w:tblCellMar>
            <w:top w:w="0" w:type="dxa"/>
            <w:left w:w="108" w:type="dxa"/>
            <w:bottom w:w="0" w:type="dxa"/>
            <w:right w:w="108" w:type="dxa"/>
          </w:tblCellMar>
        </w:tblPrEx>
        <w:trPr>
          <w:trHeight w:val="1114" w:hRule="atLeast"/>
          <w:jc w:val="center"/>
        </w:trPr>
        <w:tc>
          <w:tcPr>
            <w:tcW w:w="646" w:type="dxa"/>
            <w:vMerge w:val="continue"/>
            <w:tcBorders>
              <w:left w:val="single" w:color="auto" w:sz="4" w:space="0"/>
              <w:right w:val="single" w:color="auto" w:sz="4" w:space="0"/>
            </w:tcBorders>
            <w:noWrap w:val="0"/>
            <w:vAlign w:val="center"/>
          </w:tcPr>
          <w:p>
            <w:pPr>
              <w:widowControl/>
              <w:spacing w:line="240" w:lineRule="exact"/>
              <w:jc w:val="center"/>
              <w:rPr>
                <w:color w:val="000000"/>
                <w:kern w:val="0"/>
                <w:sz w:val="20"/>
                <w:szCs w:val="20"/>
              </w:rPr>
            </w:pPr>
          </w:p>
        </w:tc>
        <w:tc>
          <w:tcPr>
            <w:tcW w:w="2067" w:type="dxa"/>
            <w:vMerge w:val="continue"/>
            <w:tcBorders>
              <w:left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left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处4万元以上7万元以下罚款</w:t>
            </w:r>
          </w:p>
        </w:tc>
      </w:tr>
      <w:tr>
        <w:tblPrEx>
          <w:tblCellMar>
            <w:top w:w="0" w:type="dxa"/>
            <w:left w:w="108" w:type="dxa"/>
            <w:bottom w:w="0" w:type="dxa"/>
            <w:right w:w="108" w:type="dxa"/>
          </w:tblCellMar>
        </w:tblPrEx>
        <w:trPr>
          <w:trHeight w:val="1319" w:hRule="atLeas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p>
        </w:tc>
        <w:tc>
          <w:tcPr>
            <w:tcW w:w="206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处7万元以上10万元以下罚款</w:t>
            </w:r>
          </w:p>
        </w:tc>
      </w:tr>
      <w:tr>
        <w:tblPrEx>
          <w:tblCellMar>
            <w:top w:w="0" w:type="dxa"/>
            <w:left w:w="108" w:type="dxa"/>
            <w:bottom w:w="0" w:type="dxa"/>
            <w:right w:w="108" w:type="dxa"/>
          </w:tblCellMar>
        </w:tblPrEx>
        <w:trPr>
          <w:trHeight w:val="2893" w:hRule="atLeast"/>
          <w:jc w:val="center"/>
        </w:trPr>
        <w:tc>
          <w:tcPr>
            <w:tcW w:w="64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25</w:t>
            </w:r>
          </w:p>
        </w:tc>
        <w:tc>
          <w:tcPr>
            <w:tcW w:w="2067"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违法行为人实施危害管道安全行为的处罚</w:t>
            </w:r>
          </w:p>
        </w:tc>
        <w:tc>
          <w:tcPr>
            <w:tcW w:w="7963"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《石油天然气管道保护法》</w:t>
            </w:r>
          </w:p>
          <w:p>
            <w:pPr>
              <w:widowControl/>
              <w:spacing w:line="240" w:lineRule="exact"/>
              <w:jc w:val="left"/>
              <w:rPr>
                <w:color w:val="000000"/>
                <w:kern w:val="0"/>
                <w:sz w:val="20"/>
                <w:szCs w:val="20"/>
              </w:rPr>
            </w:pPr>
            <w:r>
              <w:rPr>
                <w:color w:val="000000"/>
                <w:kern w:val="0"/>
                <w:sz w:val="20"/>
                <w:szCs w:val="20"/>
              </w:rPr>
              <w:t>第五十二条   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p>
          <w:p>
            <w:pPr>
              <w:widowControl/>
              <w:spacing w:line="240" w:lineRule="exact"/>
              <w:jc w:val="left"/>
              <w:rPr>
                <w:color w:val="000000"/>
                <w:kern w:val="0"/>
                <w:sz w:val="20"/>
                <w:szCs w:val="20"/>
              </w:rPr>
            </w:pPr>
            <w:r>
              <w:rPr>
                <w:color w:val="000000"/>
                <w:kern w:val="0"/>
                <w:sz w:val="20"/>
                <w:szCs w:val="20"/>
              </w:rPr>
              <w:t>第二十九条   禁止在本法第五十八条第一项所列管道附属设施的上方架设电力线路、通信线路或者在储气库构造区域范围内进行工程挖掘、工程钻探、采矿。</w:t>
            </w:r>
          </w:p>
          <w:p>
            <w:pPr>
              <w:widowControl/>
              <w:spacing w:line="240" w:lineRule="exact"/>
              <w:jc w:val="left"/>
              <w:rPr>
                <w:color w:val="000000"/>
                <w:kern w:val="0"/>
                <w:sz w:val="20"/>
                <w:szCs w:val="20"/>
              </w:rPr>
            </w:pPr>
            <w:r>
              <w:rPr>
                <w:color w:val="000000"/>
                <w:kern w:val="0"/>
                <w:sz w:val="20"/>
                <w:szCs w:val="20"/>
              </w:rPr>
              <w:t>第三十条   在管道线路中心线两侧各五米地域范围内，禁止下列危害管道安全的行为：</w:t>
            </w:r>
          </w:p>
          <w:p>
            <w:pPr>
              <w:widowControl/>
              <w:spacing w:line="240" w:lineRule="exact"/>
              <w:jc w:val="left"/>
              <w:rPr>
                <w:color w:val="000000"/>
                <w:kern w:val="0"/>
                <w:sz w:val="20"/>
                <w:szCs w:val="20"/>
              </w:rPr>
            </w:pPr>
            <w:r>
              <w:rPr>
                <w:color w:val="000000"/>
                <w:kern w:val="0"/>
                <w:sz w:val="20"/>
                <w:szCs w:val="20"/>
              </w:rPr>
              <w:t>（一）种植乔木、灌木、藤类、芦苇、竹子或者其他根系深达管道埋设部位可能损坏管道防腐层的深根植物；（二）取土、采石、用火、堆放重物、排放腐蚀性物质、使用机械工具进行挖掘施工；（三）挖塘、修渠、修晒场、修建水产养殖场、建温室、建家畜棚圈、建房以及修建其他建筑物、构筑物。</w:t>
            </w:r>
          </w:p>
          <w:p>
            <w:pPr>
              <w:widowControl/>
              <w:spacing w:line="240" w:lineRule="exact"/>
              <w:jc w:val="left"/>
              <w:rPr>
                <w:color w:val="000000"/>
                <w:kern w:val="0"/>
                <w:sz w:val="20"/>
                <w:szCs w:val="20"/>
              </w:rPr>
            </w:pPr>
            <w:r>
              <w:rPr>
                <w:color w:val="000000"/>
                <w:kern w:val="0"/>
                <w:sz w:val="20"/>
                <w:szCs w:val="20"/>
              </w:rPr>
              <w:t>第三十二条   在穿越河流的管道线路中心线两侧各五百米地域范围内，禁止抛锚、拖锚、挖砂、挖泥、采石、水下爆破。但是，在保障管道安全的条件下，为防洪和航道通畅而进行的养护疏浚作业除外。</w:t>
            </w:r>
          </w:p>
          <w:p>
            <w:pPr>
              <w:widowControl/>
              <w:spacing w:line="240" w:lineRule="exact"/>
              <w:jc w:val="left"/>
              <w:rPr>
                <w:color w:val="000000"/>
                <w:kern w:val="0"/>
                <w:sz w:val="20"/>
                <w:szCs w:val="20"/>
                <w:lang w:val="zh-CN"/>
              </w:rPr>
            </w:pPr>
            <w:r>
              <w:rPr>
                <w:color w:val="000000"/>
                <w:kern w:val="0"/>
                <w:sz w:val="20"/>
                <w:szCs w:val="20"/>
                <w:lang w:val="zh-CN"/>
              </w:rPr>
              <w:t>第三十三条   在管道专用隧道中心线两侧各一千米地域范围内，除本条第二款规定的情形外，禁止采石、采矿、爆破。</w:t>
            </w:r>
          </w:p>
          <w:p>
            <w:pPr>
              <w:widowControl/>
              <w:spacing w:line="240" w:lineRule="exact"/>
              <w:jc w:val="left"/>
              <w:rPr>
                <w:color w:val="000000"/>
                <w:kern w:val="0"/>
                <w:sz w:val="20"/>
                <w:szCs w:val="20"/>
              </w:rPr>
            </w:pPr>
            <w:r>
              <w:rPr>
                <w:color w:val="000000"/>
                <w:kern w:val="0"/>
                <w:sz w:val="20"/>
                <w:szCs w:val="20"/>
                <w:lang w:val="zh-CN"/>
              </w:rPr>
              <w:t>在前款规定的地域范围内，因修建铁路、公路、水利工程等公共工程，确需实施采石、爆破作业的，应当经管道所在地县级人民政府主管管道保护工作的部门批准，并采取必要的安全防护措施，方可实施。</w:t>
            </w:r>
            <w:r>
              <w:rPr>
                <w:color w:val="000000"/>
                <w:kern w:val="0"/>
                <w:sz w:val="20"/>
                <w:szCs w:val="20"/>
              </w:rPr>
              <w:t xml:space="preserve"> </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对单位处1万元以上3万元以下罚款，个人实施违法行为，对个人处200元以上800元以下罚款</w:t>
            </w:r>
          </w:p>
        </w:tc>
      </w:tr>
      <w:tr>
        <w:tblPrEx>
          <w:tblCellMar>
            <w:top w:w="0" w:type="dxa"/>
            <w:left w:w="108" w:type="dxa"/>
            <w:bottom w:w="0" w:type="dxa"/>
            <w:right w:w="108" w:type="dxa"/>
          </w:tblCellMar>
        </w:tblPrEx>
        <w:trPr>
          <w:trHeight w:val="2505" w:hRule="atLeast"/>
          <w:jc w:val="center"/>
        </w:trPr>
        <w:tc>
          <w:tcPr>
            <w:tcW w:w="646" w:type="dxa"/>
            <w:vMerge w:val="continue"/>
            <w:tcBorders>
              <w:left w:val="single" w:color="auto" w:sz="4" w:space="0"/>
              <w:right w:val="single" w:color="auto" w:sz="4" w:space="0"/>
            </w:tcBorders>
            <w:noWrap w:val="0"/>
            <w:vAlign w:val="center"/>
          </w:tcPr>
          <w:p>
            <w:pPr>
              <w:widowControl/>
              <w:spacing w:line="240" w:lineRule="exact"/>
              <w:jc w:val="center"/>
              <w:rPr>
                <w:color w:val="000000"/>
                <w:kern w:val="0"/>
                <w:sz w:val="20"/>
                <w:szCs w:val="20"/>
              </w:rPr>
            </w:pPr>
          </w:p>
        </w:tc>
        <w:tc>
          <w:tcPr>
            <w:tcW w:w="2067" w:type="dxa"/>
            <w:vMerge w:val="continue"/>
            <w:tcBorders>
              <w:left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left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对单位处3万元以上6万元以下罚款，对个人处800元以上1400元以下罚款</w:t>
            </w:r>
          </w:p>
        </w:tc>
      </w:tr>
      <w:tr>
        <w:tblPrEx>
          <w:tblCellMar>
            <w:top w:w="0" w:type="dxa"/>
            <w:left w:w="108" w:type="dxa"/>
            <w:bottom w:w="0" w:type="dxa"/>
            <w:right w:w="108" w:type="dxa"/>
          </w:tblCellMar>
        </w:tblPrEx>
        <w:trPr>
          <w:trHeight w:val="2812" w:hRule="atLeas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p>
        </w:tc>
        <w:tc>
          <w:tcPr>
            <w:tcW w:w="206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对单位处6万元以上10万元以下罚款，对个人处1400元以上2000元以下罚款</w:t>
            </w:r>
          </w:p>
        </w:tc>
      </w:tr>
      <w:tr>
        <w:tblPrEx>
          <w:tblCellMar>
            <w:top w:w="0" w:type="dxa"/>
            <w:left w:w="108" w:type="dxa"/>
            <w:bottom w:w="0" w:type="dxa"/>
            <w:right w:w="108" w:type="dxa"/>
          </w:tblCellMar>
        </w:tblPrEx>
        <w:trPr>
          <w:trHeight w:val="2104" w:hRule="atLeast"/>
          <w:jc w:val="center"/>
        </w:trPr>
        <w:tc>
          <w:tcPr>
            <w:tcW w:w="64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26</w:t>
            </w:r>
          </w:p>
        </w:tc>
        <w:tc>
          <w:tcPr>
            <w:tcW w:w="2067"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未经批准，进行采石、采矿、爆破、勘探、钻探、穿跨越管道作业或新建、改建、扩建铁路、公路、河渠、架设电力线路等施工作业的处罚</w:t>
            </w:r>
          </w:p>
        </w:tc>
        <w:tc>
          <w:tcPr>
            <w:tcW w:w="7963"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《石油天然气管道保护法》</w:t>
            </w:r>
          </w:p>
          <w:p>
            <w:pPr>
              <w:widowControl/>
              <w:spacing w:line="240" w:lineRule="exact"/>
              <w:jc w:val="left"/>
              <w:rPr>
                <w:color w:val="000000"/>
                <w:kern w:val="0"/>
                <w:sz w:val="20"/>
                <w:szCs w:val="20"/>
                <w:lang w:val="zh-CN"/>
              </w:rPr>
            </w:pPr>
            <w:r>
              <w:rPr>
                <w:color w:val="000000"/>
                <w:kern w:val="0"/>
                <w:sz w:val="20"/>
                <w:szCs w:val="20"/>
                <w:lang w:val="zh-CN"/>
              </w:rPr>
              <w:t>第五十三条   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p>
            <w:pPr>
              <w:widowControl/>
              <w:spacing w:line="240" w:lineRule="exact"/>
              <w:jc w:val="left"/>
              <w:rPr>
                <w:color w:val="000000"/>
                <w:kern w:val="0"/>
                <w:sz w:val="20"/>
                <w:szCs w:val="20"/>
                <w:lang w:val="zh-CN"/>
              </w:rPr>
            </w:pPr>
            <w:r>
              <w:rPr>
                <w:color w:val="000000"/>
                <w:kern w:val="0"/>
                <w:sz w:val="20"/>
                <w:szCs w:val="20"/>
                <w:lang w:val="zh-CN"/>
              </w:rPr>
              <w:t>第三十三条   在管道专用隧道中心线两侧各一千米地域范围内，除本条第二款规定的情形外，禁止采石、采矿、爆破。</w:t>
            </w:r>
          </w:p>
          <w:p>
            <w:pPr>
              <w:widowControl/>
              <w:spacing w:line="240" w:lineRule="exact"/>
              <w:jc w:val="left"/>
              <w:rPr>
                <w:color w:val="000000"/>
                <w:kern w:val="0"/>
                <w:sz w:val="20"/>
                <w:szCs w:val="20"/>
                <w:lang w:val="zh-CN"/>
              </w:rPr>
            </w:pPr>
            <w:r>
              <w:rPr>
                <w:color w:val="000000"/>
                <w:kern w:val="0"/>
                <w:sz w:val="20"/>
                <w:szCs w:val="20"/>
                <w:lang w:val="zh-CN"/>
              </w:rPr>
              <w:t>在前款规定的地域范围内，因修建铁路、公路、水利工程等公共工程，确需实施采石、爆破作业的，应当经管道所在地县级人民政府主管管道保护工作的部门批准，并采取必要的安全防护措施，方可实施。</w:t>
            </w:r>
          </w:p>
          <w:p>
            <w:pPr>
              <w:widowControl/>
              <w:spacing w:line="240" w:lineRule="exact"/>
              <w:jc w:val="left"/>
              <w:rPr>
                <w:color w:val="000000"/>
                <w:kern w:val="0"/>
                <w:sz w:val="20"/>
                <w:szCs w:val="20"/>
              </w:rPr>
            </w:pPr>
            <w:r>
              <w:rPr>
                <w:color w:val="000000"/>
                <w:kern w:val="0"/>
                <w:sz w:val="20"/>
                <w:szCs w:val="20"/>
              </w:rPr>
              <w:t>第三十五条   进行下列施工作业，施工单位应当向管道所在地县级人民政府主管管道保护工作的部门提出申请：（一）穿跨越管道的施工作业；（二）在管道线路中心线两侧各五米至五十米和本法第五十八条第一项所列管道附属设施周边一百米地域范围内，新建、改建、扩建铁路、公路、河渠，架设电力线路，埋设地下电缆、光缆，设置安全接地体、避雷接地体；（三）在管道线路中心线两侧各二百米和本法第五十八条第一项所列管道附属设施周边五百米地域范围内，进行爆破、地震法勘探或者工程挖掘、工程钻探、采矿。</w:t>
            </w:r>
          </w:p>
          <w:p>
            <w:pPr>
              <w:widowControl/>
              <w:spacing w:line="240" w:lineRule="exact"/>
              <w:jc w:val="left"/>
              <w:rPr>
                <w:color w:val="000000"/>
                <w:kern w:val="0"/>
                <w:sz w:val="20"/>
                <w:szCs w:val="20"/>
              </w:rPr>
            </w:pPr>
            <w:r>
              <w:rPr>
                <w:color w:val="000000"/>
                <w:kern w:val="0"/>
                <w:sz w:val="20"/>
                <w:szCs w:val="20"/>
              </w:rPr>
              <w:t>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处1万元以上2万元以下罚款</w:t>
            </w:r>
          </w:p>
        </w:tc>
      </w:tr>
      <w:tr>
        <w:tblPrEx>
          <w:tblCellMar>
            <w:top w:w="0" w:type="dxa"/>
            <w:left w:w="108" w:type="dxa"/>
            <w:bottom w:w="0" w:type="dxa"/>
            <w:right w:w="108" w:type="dxa"/>
          </w:tblCellMar>
        </w:tblPrEx>
        <w:trPr>
          <w:trHeight w:val="2049" w:hRule="atLeast"/>
          <w:jc w:val="center"/>
        </w:trPr>
        <w:tc>
          <w:tcPr>
            <w:tcW w:w="646" w:type="dxa"/>
            <w:vMerge w:val="continue"/>
            <w:tcBorders>
              <w:left w:val="single" w:color="auto" w:sz="4" w:space="0"/>
              <w:right w:val="single" w:color="auto" w:sz="4" w:space="0"/>
            </w:tcBorders>
            <w:noWrap w:val="0"/>
            <w:vAlign w:val="center"/>
          </w:tcPr>
          <w:p>
            <w:pPr>
              <w:widowControl/>
              <w:spacing w:line="240" w:lineRule="exact"/>
              <w:jc w:val="center"/>
              <w:rPr>
                <w:color w:val="000000"/>
                <w:kern w:val="0"/>
                <w:sz w:val="20"/>
                <w:szCs w:val="20"/>
              </w:rPr>
            </w:pPr>
          </w:p>
        </w:tc>
        <w:tc>
          <w:tcPr>
            <w:tcW w:w="2067" w:type="dxa"/>
            <w:vMerge w:val="continue"/>
            <w:tcBorders>
              <w:left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left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处2万元以上3万元以下罚款</w:t>
            </w:r>
          </w:p>
        </w:tc>
      </w:tr>
      <w:tr>
        <w:tblPrEx>
          <w:tblCellMar>
            <w:top w:w="0" w:type="dxa"/>
            <w:left w:w="108" w:type="dxa"/>
            <w:bottom w:w="0" w:type="dxa"/>
            <w:right w:w="108" w:type="dxa"/>
          </w:tblCellMar>
        </w:tblPrEx>
        <w:trPr>
          <w:trHeight w:val="1302" w:hRule="atLeas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p>
        </w:tc>
        <w:tc>
          <w:tcPr>
            <w:tcW w:w="206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处3万元以上5万元以下罚款</w:t>
            </w:r>
          </w:p>
        </w:tc>
      </w:tr>
      <w:tr>
        <w:tblPrEx>
          <w:tblCellMar>
            <w:top w:w="0" w:type="dxa"/>
            <w:left w:w="108" w:type="dxa"/>
            <w:bottom w:w="0" w:type="dxa"/>
            <w:right w:w="108" w:type="dxa"/>
          </w:tblCellMar>
        </w:tblPrEx>
        <w:trPr>
          <w:trHeight w:val="649" w:hRule="atLeast"/>
          <w:jc w:val="center"/>
        </w:trPr>
        <w:tc>
          <w:tcPr>
            <w:tcW w:w="64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27</w:t>
            </w:r>
          </w:p>
        </w:tc>
        <w:tc>
          <w:tcPr>
            <w:tcW w:w="2067"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擅自开启、关闭管道阀门或移动、毁损、涂改管道标志等违反管道保护规定的处罚</w:t>
            </w:r>
          </w:p>
        </w:tc>
        <w:tc>
          <w:tcPr>
            <w:tcW w:w="7963"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《石油天然气管道保护法》</w:t>
            </w:r>
          </w:p>
          <w:p>
            <w:pPr>
              <w:widowControl/>
              <w:spacing w:line="240" w:lineRule="exact"/>
              <w:jc w:val="left"/>
              <w:rPr>
                <w:color w:val="000000"/>
                <w:kern w:val="0"/>
                <w:sz w:val="20"/>
                <w:szCs w:val="20"/>
              </w:rPr>
            </w:pPr>
            <w:r>
              <w:rPr>
                <w:color w:val="000000"/>
                <w:kern w:val="0"/>
                <w:sz w:val="20"/>
                <w:szCs w:val="20"/>
              </w:rPr>
              <w:t>第五十四条   违反本法规定，有下列行为之一的，由县级以上地方人民政府主管管道保护工作的部门责令改正；情节严重的，处二百元以上一千元以下的罚款：</w:t>
            </w:r>
          </w:p>
          <w:p>
            <w:pPr>
              <w:widowControl/>
              <w:spacing w:line="240" w:lineRule="exact"/>
              <w:jc w:val="left"/>
              <w:rPr>
                <w:color w:val="000000"/>
                <w:kern w:val="0"/>
                <w:sz w:val="20"/>
                <w:szCs w:val="20"/>
              </w:rPr>
            </w:pPr>
            <w:r>
              <w:rPr>
                <w:color w:val="000000"/>
                <w:kern w:val="0"/>
                <w:sz w:val="20"/>
                <w:szCs w:val="20"/>
              </w:rPr>
              <w:t>（一）擅自开启、关闭管道阀门的；（二）移动、毁损、涂改管道标志的；（三）在埋地管道上方巡查便道上行驶重型车辆的；（四）在地面管道线路、架空管道线路和管桥上行走或者放置重物的；（五）阻碍依法进行的管道建设的。</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从轻处罚</w:t>
            </w:r>
          </w:p>
        </w:tc>
        <w:tc>
          <w:tcPr>
            <w:tcW w:w="31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处200元以上400元以下罚款</w:t>
            </w:r>
          </w:p>
        </w:tc>
      </w:tr>
      <w:tr>
        <w:tblPrEx>
          <w:tblCellMar>
            <w:top w:w="0" w:type="dxa"/>
            <w:left w:w="108" w:type="dxa"/>
            <w:bottom w:w="0" w:type="dxa"/>
            <w:right w:w="108" w:type="dxa"/>
          </w:tblCellMar>
        </w:tblPrEx>
        <w:trPr>
          <w:trHeight w:val="589" w:hRule="atLeast"/>
          <w:jc w:val="center"/>
        </w:trPr>
        <w:tc>
          <w:tcPr>
            <w:tcW w:w="646" w:type="dxa"/>
            <w:vMerge w:val="continue"/>
            <w:tcBorders>
              <w:left w:val="single" w:color="auto" w:sz="4" w:space="0"/>
              <w:right w:val="single" w:color="auto" w:sz="4" w:space="0"/>
            </w:tcBorders>
            <w:noWrap w:val="0"/>
            <w:vAlign w:val="center"/>
          </w:tcPr>
          <w:p>
            <w:pPr>
              <w:widowControl/>
              <w:spacing w:line="240" w:lineRule="exact"/>
              <w:jc w:val="center"/>
              <w:rPr>
                <w:color w:val="000000"/>
                <w:kern w:val="0"/>
                <w:sz w:val="20"/>
                <w:szCs w:val="20"/>
              </w:rPr>
            </w:pPr>
          </w:p>
        </w:tc>
        <w:tc>
          <w:tcPr>
            <w:tcW w:w="2067" w:type="dxa"/>
            <w:vMerge w:val="continue"/>
            <w:tcBorders>
              <w:left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left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一般处罚</w:t>
            </w:r>
          </w:p>
        </w:tc>
        <w:tc>
          <w:tcPr>
            <w:tcW w:w="31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处400元以上700元以下罚款</w:t>
            </w:r>
          </w:p>
        </w:tc>
      </w:tr>
      <w:tr>
        <w:tblPrEx>
          <w:tblCellMar>
            <w:top w:w="0" w:type="dxa"/>
            <w:left w:w="108" w:type="dxa"/>
            <w:bottom w:w="0" w:type="dxa"/>
            <w:right w:w="108" w:type="dxa"/>
          </w:tblCellMar>
        </w:tblPrEx>
        <w:trPr>
          <w:trHeight w:val="605" w:hRule="atLeas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p>
        </w:tc>
        <w:tc>
          <w:tcPr>
            <w:tcW w:w="206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796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20"/>
                <w:szCs w:val="20"/>
              </w:rPr>
            </w:pPr>
            <w:r>
              <w:rPr>
                <w:color w:val="000000"/>
                <w:kern w:val="0"/>
                <w:sz w:val="20"/>
                <w:szCs w:val="20"/>
              </w:rPr>
              <w:t>从重处罚</w:t>
            </w:r>
          </w:p>
        </w:tc>
        <w:tc>
          <w:tcPr>
            <w:tcW w:w="31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20"/>
                <w:szCs w:val="20"/>
              </w:rPr>
            </w:pPr>
            <w:r>
              <w:rPr>
                <w:color w:val="000000"/>
                <w:kern w:val="0"/>
                <w:sz w:val="20"/>
                <w:szCs w:val="20"/>
              </w:rPr>
              <w:t>处700元以上1000元以下罚款</w:t>
            </w:r>
          </w:p>
        </w:tc>
      </w:tr>
    </w:tbl>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3085B"/>
    <w:rsid w:val="39B30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2021-06-21T02:32:00Z</dcterms:created>
  <dc:creator>周碧荣</dc:creator>
  <cp:lastModifiedBy>周碧荣</cp:lastModifiedBy>
  <dcterms:modified xsi:type="dcterms:W3CDTF">2021-06-21T02:51:27Z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BA636F210630465389EF4FBEB4961BB8</vt:lpwstr>
  </property>
</Properties>
</file>